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C" w:rsidRDefault="00D35AB6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BB747C" w:rsidRDefault="00BB747C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BB747C" w:rsidRDefault="00D35AB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</w:t>
      </w:r>
      <w:r>
        <w:rPr>
          <w:rFonts w:ascii="方正小标宋简体" w:eastAsia="方正小标宋简体" w:hAnsi="仿宋" w:hint="eastAsia"/>
          <w:sz w:val="44"/>
          <w:szCs w:val="44"/>
        </w:rPr>
        <w:t>十</w:t>
      </w:r>
      <w:r>
        <w:rPr>
          <w:rFonts w:ascii="方正小标宋简体" w:eastAsia="方正小标宋简体" w:hAnsi="仿宋" w:hint="eastAsia"/>
          <w:sz w:val="44"/>
          <w:szCs w:val="44"/>
        </w:rPr>
        <w:t>届中国创新创业大赛广西赛区暨</w:t>
      </w:r>
      <w:r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</w:p>
    <w:p w:rsidR="00BB747C" w:rsidRDefault="00D35AB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广西创新创业大赛新一代信息</w:t>
      </w:r>
    </w:p>
    <w:p w:rsidR="00BB747C" w:rsidRDefault="00D35AB6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技术产业复赛成绩</w:t>
      </w:r>
    </w:p>
    <w:p w:rsidR="00BB747C" w:rsidRDefault="00BB747C">
      <w:pPr>
        <w:spacing w:line="540" w:lineRule="exact"/>
        <w:rPr>
          <w:rFonts w:ascii="仿宋" w:eastAsia="仿宋" w:hAnsi="仿宋"/>
          <w:sz w:val="32"/>
          <w:szCs w:val="32"/>
        </w:rPr>
      </w:pPr>
    </w:p>
    <w:tbl>
      <w:tblPr>
        <w:tblW w:w="932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21"/>
        <w:gridCol w:w="3827"/>
        <w:gridCol w:w="992"/>
        <w:gridCol w:w="872"/>
      </w:tblGrid>
      <w:tr w:rsidR="00BB747C">
        <w:trPr>
          <w:trHeight w:val="624"/>
        </w:trPr>
        <w:tc>
          <w:tcPr>
            <w:tcW w:w="9322" w:type="dxa"/>
            <w:gridSpan w:val="5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tabs>
                <w:tab w:val="left" w:pos="2241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新一代信息技术（成长组）</w:t>
            </w:r>
          </w:p>
        </w:tc>
      </w:tr>
      <w:tr w:rsidR="00BB747C">
        <w:trPr>
          <w:trHeight w:val="567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公司名称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复赛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得分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复赛排名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广西芯百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微电子有限公司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新一代无线通讯射频前端芯片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92.7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阜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民科技有限公司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3D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机器视觉芯片和算法研发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91.84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广西邕城云科技有限公司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邕城云新型智能显示终端与临床应用融合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91.24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北海市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冠标智慧声谷科技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千米传音物联网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云计算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开启一个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智能新篇章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88.36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广西翼界科技有限公司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面向空地协同的无人机数据中继解决方案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86.35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广西永裕半导体科技有限公司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一种贴片型近红外接收传感器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86.3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梧州宙斯科技有限责任公司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船旺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供给水运平台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86.27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桂林星汉科技股份有限公司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智能采血管理系统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广西融安蚂蚁农业发展有限公司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融安金桔数字农业生态供应链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广西东信易联科技有限公司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面向东盟的互联网新型通信及生活服务应用平台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85.48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柳州市秋野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家生态农业综合发展有限公司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互联网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扶贫红薯创新深加工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广西北部湾在线投资控股有限公司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基于区块链数字公证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Ai.SaaS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知识产权生态系统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广西泊客网络科技有限公司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气体钢瓶精准溯源系统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广西新创科技有限公司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无人驾驶之车路协同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84.99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南宁云启网络科技有限公司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ClouDoc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文档云存储协作平台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84.62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</w:tr>
      <w:tr w:rsidR="00BB747C">
        <w:trPr>
          <w:trHeight w:val="975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广西飞熊科技有限公司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桥隧坡一体化智能监测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广西翔兰科技有限公司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行为识别系统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广西融水县杆创农业有限公司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杆洞妹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品牌三产融合发展模式助力乡村振兴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桂林旭研机电科技有限公司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高性价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比表贴应用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硅胶弹性按键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84.03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广西艾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科普物联技术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基于光纤传感的智慧大坝结构健康监测系统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83.97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桂林锐德检测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认证技术有限公司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食品重要有害化学物质检测系统的研发创新及应用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广西南宁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瞬目千维影视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传媒有限公司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流量密码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——IP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商业转化者，品牌定制营销官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83.94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广西数字金服科技有限公司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广西综合金融服务平台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83.93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桂林安慧科技有限公司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磐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链：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企业级区块链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网络服务管理平台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83.81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广西点成金科技有限公司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左江龙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嵌入式多模态智能轮椅车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桂林仁立达科技有限责任公司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一种方便与断路器集成使用的防雷模块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83.69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桂林珩源科技有限公司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铝电解槽分布式阳极状态参数智能在线检测与控制系统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83.54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广西尚食科技有限公司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微信社群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工具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群接龙小程序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28</w:t>
            </w:r>
          </w:p>
        </w:tc>
      </w:tr>
      <w:tr w:rsidR="00BB747C">
        <w:trPr>
          <w:trHeight w:val="315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云上广西网络科技有限公司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自动驾驶行车日志链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83.36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29</w:t>
            </w:r>
          </w:p>
        </w:tc>
      </w:tr>
      <w:tr w:rsidR="00BB747C">
        <w:trPr>
          <w:trHeight w:val="675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广西大元商贸有限公司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新消费数字化品牌营销综合服务平台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广西小度汽车电子科技有限公司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小度景区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广西钦州数研科技有限公司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中小企业财务智能共享平台搭建项目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桂林中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检数据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科技服务有限公司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基于智能大数据的好活云灵活就业综合服务平台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83.17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南宁中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清文化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传播有限公司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Zdata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视频直播流量引擎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广西南宁魔丽科技有限公司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智慧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Twins——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基于北斗时空信息平台的数字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孪生云服务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82.86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桂林市金水网络科技有限公司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基于互联网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医疗健康的基本公共卫生服务系统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82.84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贺州市富川互通科技有限公司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智能音箱生产及销售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82.84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广西软视科技股份有限公司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LED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紫光显示应用技术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广西麟祉照明科技有限公司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麟祉</w:t>
            </w:r>
            <w:proofErr w:type="spellStart"/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LoRa-AIoT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无线智能照明系统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82.58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柳州市美申园食品科技有限公司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酸笋生物加工与深加工项目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82.56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桂林中电广信科技有限公司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深时空地质资料复活器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--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海量大可变尺度地质影像动态知识发现系统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82.55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广西越知网络股份有限公司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建筑工程人的宝藏钥匙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——“U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建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电子小名片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桂林市云飞网络科技有限公司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《灰仔兔带你飞》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创新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科普动漫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IP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广西臻冠食品科技有限公司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提升螺蛳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粉整体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保质期到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个月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82.41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桂林众研电子科技有限公司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智能水位图像识别系统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82.11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柳州市联盟文化传媒有限公司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传智云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82.09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广西临届数字科技有限公司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基于《星愿奇缘》原创动画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IP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的商业变现应用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82.09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桂林宜康电子科技有限公司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动作捕捉与评测系统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81.67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桂林市舞易体育发展有限公司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舞易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CLUB——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金牌舞蹈教育行业原创内容提供商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广西杰星科技有限公司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云播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720VR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全景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广西数广和泰大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数据科技有限公司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数广和泰智慧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幼教大数据综合服务平台项目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81.45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广西风范科技有限公司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拓跋人才智慧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云测训系统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81.28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广西百色英晖科技有限公司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网络与数据安全智能服务平台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81.13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广西易腾网络科技有限公司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互联网＋快采无忧商业计划书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80.61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防城港东信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云科技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防城港市东湾智慧园区提升工程（一期）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桂林天石科技有限公司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田园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智导项目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80.15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广西厚发商贸有限公司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美家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桂林蓝港科技有限公司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基于虚拟仿真技术在国家全域旅游服务标准的应用与研究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80.05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桂林市菽谷食品科技有限公司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脱毒大豆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80.02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趣创想创客空间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管理有限责任公司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青少年科技文化创新教育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79.89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桂林鹊跃枝头科技有限公司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基于旅游资源共享以短视频为核心信息载体的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一键式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旅游平台研发与应用示范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79.63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广西印彩科技有限公司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轨道量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轻轨形变检测系统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79.24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桂林小开心电子商务服务有限责任公司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一种乡村振兴的新工具、好帮手、有重要创新的电商平台系统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小开心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APP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北海忽米网络科技有限公司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面向农业的物联网聚合服务平台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78.71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唐潮科技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就业创业大数据智慧管理服务平台系统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78.23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桂林华睿科技有限责任公司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飞行着陆姿态跟踪监视系统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柳州五菱汽车科技有限公司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菱智行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共享车观光车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广西亚盛信息技术有限公司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漏洞扫描与安全检测系统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广西趣弹教育科技有限公司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趣弹音乐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轻乐器在线教育服务平台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广西嘉特环影电子产品制造有限公司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全景执法记录仪无死角解决方案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广西释码智能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动物虹膜识别技术及应用研究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624"/>
        </w:trPr>
        <w:tc>
          <w:tcPr>
            <w:tcW w:w="9322" w:type="dxa"/>
            <w:gridSpan w:val="5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val="zh-CN"/>
              </w:rPr>
              <w:lastRenderedPageBreak/>
              <w:t>新一代信息技术（初创组）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公司名称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复赛排名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广西七识数字科技有限公司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智慧工业互联网平台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90.32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广西瞪羚科技有限公司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安全物联网监测预警云平台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89.73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南宁清智电子科技有限公司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芯片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电子双轮驱动，助力中国汽车自主创新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南宁清智车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“MCU+”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85.61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广西天迈数字科技有限公司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场景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旅游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智慧化服务技术研发与应用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85.51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柳州长鸣文化科技有限公司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火车模型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广西中科凯泽科技发展有限公司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面向智慧城市的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云、边、端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协同的计算机视觉技术研究和应用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85.19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桂林普创时空信息科技有限公司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北斗分布式滑坡监测评估系统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柳州云德电子科技有限公司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汽车智能化的域控制器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中央计算平台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共性平台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广西数字创新科技有限公司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基于区块链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数字公证</w:t>
            </w: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Ai.SaaS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生态系统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桂林研创半导体科技有限责任公司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高密度印制电路基板微细焊盘强度检测仪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广西自贸区信昱互联网医院有限公司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昱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互联网医院远程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诊断技术项目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84.18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铱鸣芯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智能化失能卧床照护系统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84.1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广西东信健康科技发展有限公司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广西智慧养老综合服务平台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慧康养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83.76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广西中科数据科技有限公司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基于物理层级数值分析技术的灾害监测预警系统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83.35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桂林美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人工智能医疗科技有限公司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皮肤医生（美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研究院）</w:t>
            </w:r>
          </w:p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三甲医院皮肤科认证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82.87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柳州京拍档信息科技有限公司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直播大厦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82.79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柳州骏远信息技术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多业务智慧工厂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数字化物联监管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终端及云平台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82.26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广西百大深蓝网络科技有限责任公司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零售业网点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竞争兵旗推演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82.03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广西康德圣智能科技有限公司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洗洗乐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智能洗浴机器人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广西高农智能科技有限公司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人工智能无人驾驶特种应急监测陆空两栖飞行车辆的研制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81.63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广西管企来科技发展有限公司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管企来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新管理新零售系统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80.88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北海城湾科技发展有限公司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智慧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文旅数字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交互平台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80.72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22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桂林市享售科技有限公司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速联享售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——SSIOT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校园物联网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无人售租集成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体系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80.39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广西优视智能科技有限公司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综合管理平台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79.44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汇发云计算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</w:t>
            </w: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SaaS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技术的数字化治理平台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79.38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25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桂林奥视智能科技有限公司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基于高精度定位技术的居家服务机器人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26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广西数融信息科技有限公司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预付式消费服务、监管平台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78.78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27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广西鹿寨米谷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学旅行有限公司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38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农业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文旅推进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乡村振兴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78.12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28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广西知仁创新电子科技有限公司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工厂遇见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智能制造生产线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77.95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29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广西趣象信息科技有限公司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党小云智慧党建</w:t>
            </w:r>
            <w:proofErr w:type="gramEnd"/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77.73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桂林华标信息技术有限公司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云端工业设备服务（</w:t>
            </w:r>
            <w:proofErr w:type="spell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SaaS</w:t>
            </w:r>
            <w:proofErr w:type="spell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）产品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77.07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31</w:t>
            </w: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柳州箩筐信息科技有限公司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设备全生命周期解决方案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广西维构网络科技有限公司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3D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实景导航（导视）营销系统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广西豆丁企业管理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区域运营矩阵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B747C">
        <w:trPr>
          <w:trHeight w:val="379"/>
        </w:trPr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广西数广日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海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物联科技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广西气瓶安全追溯平台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D35AB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弃赛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/>
            <w:vAlign w:val="center"/>
          </w:tcPr>
          <w:p w:rsidR="00BB747C" w:rsidRDefault="00BB747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B747C" w:rsidRDefault="006E1E76" w:rsidP="006E1E76">
      <w:pPr>
        <w:spacing w:line="540" w:lineRule="exac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等线" w:cs="Times New Roman"/>
          <w:bCs/>
          <w:sz w:val="32"/>
          <w:szCs w:val="32"/>
        </w:rPr>
        <w:t xml:space="preserve"> </w:t>
      </w:r>
    </w:p>
    <w:sectPr w:rsidR="00BB747C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B6" w:rsidRDefault="00D35AB6">
      <w:r>
        <w:separator/>
      </w:r>
    </w:p>
  </w:endnote>
  <w:endnote w:type="continuationSeparator" w:id="0">
    <w:p w:rsidR="00D35AB6" w:rsidRDefault="00D3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C" w:rsidRDefault="00D35AB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747C" w:rsidRDefault="00D35AB6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1E76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B747C" w:rsidRDefault="00D35AB6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E1E76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B6" w:rsidRDefault="00D35AB6">
      <w:r>
        <w:separator/>
      </w:r>
    </w:p>
  </w:footnote>
  <w:footnote w:type="continuationSeparator" w:id="0">
    <w:p w:rsidR="00D35AB6" w:rsidRDefault="00D3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E1E76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B747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AB6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91777FB"/>
    <w:rsid w:val="0B124E04"/>
    <w:rsid w:val="0B2752DD"/>
    <w:rsid w:val="0D1957AD"/>
    <w:rsid w:val="0EDB6B53"/>
    <w:rsid w:val="0FF47AF5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B8B5576"/>
    <w:rsid w:val="1D674064"/>
    <w:rsid w:val="1F3E3A75"/>
    <w:rsid w:val="227D3DF3"/>
    <w:rsid w:val="2282533D"/>
    <w:rsid w:val="229014B0"/>
    <w:rsid w:val="229719C7"/>
    <w:rsid w:val="25B91365"/>
    <w:rsid w:val="25BF5220"/>
    <w:rsid w:val="26433F05"/>
    <w:rsid w:val="28442178"/>
    <w:rsid w:val="298A65D7"/>
    <w:rsid w:val="29F058E6"/>
    <w:rsid w:val="2C242ED1"/>
    <w:rsid w:val="2D3463E9"/>
    <w:rsid w:val="2DF779FC"/>
    <w:rsid w:val="2EAC24EC"/>
    <w:rsid w:val="305D77E0"/>
    <w:rsid w:val="31210F0A"/>
    <w:rsid w:val="319159E5"/>
    <w:rsid w:val="321D18F4"/>
    <w:rsid w:val="34023F79"/>
    <w:rsid w:val="35AA6A24"/>
    <w:rsid w:val="36D85266"/>
    <w:rsid w:val="37444439"/>
    <w:rsid w:val="3C6A0720"/>
    <w:rsid w:val="3DE326FD"/>
    <w:rsid w:val="3E89245B"/>
    <w:rsid w:val="40AD0362"/>
    <w:rsid w:val="42AA1185"/>
    <w:rsid w:val="43627BEF"/>
    <w:rsid w:val="43716E6D"/>
    <w:rsid w:val="43DC4490"/>
    <w:rsid w:val="44301747"/>
    <w:rsid w:val="45656EB5"/>
    <w:rsid w:val="46E7143C"/>
    <w:rsid w:val="47D95DAE"/>
    <w:rsid w:val="480E4705"/>
    <w:rsid w:val="48BB6CFE"/>
    <w:rsid w:val="4A24487A"/>
    <w:rsid w:val="4B786420"/>
    <w:rsid w:val="4B7A7A93"/>
    <w:rsid w:val="4C28735A"/>
    <w:rsid w:val="4FF75AB2"/>
    <w:rsid w:val="51650C85"/>
    <w:rsid w:val="521378AE"/>
    <w:rsid w:val="52F03CAC"/>
    <w:rsid w:val="53203D57"/>
    <w:rsid w:val="53474F78"/>
    <w:rsid w:val="54663793"/>
    <w:rsid w:val="54CD1485"/>
    <w:rsid w:val="55D44A2E"/>
    <w:rsid w:val="56620DB0"/>
    <w:rsid w:val="56C13BB0"/>
    <w:rsid w:val="575E37AA"/>
    <w:rsid w:val="5D5B70C4"/>
    <w:rsid w:val="5FAF5F59"/>
    <w:rsid w:val="60DE29E9"/>
    <w:rsid w:val="62F311B5"/>
    <w:rsid w:val="64064C59"/>
    <w:rsid w:val="65E339CB"/>
    <w:rsid w:val="65F75EA3"/>
    <w:rsid w:val="67F053D5"/>
    <w:rsid w:val="6808542B"/>
    <w:rsid w:val="69327F5C"/>
    <w:rsid w:val="69C31C80"/>
    <w:rsid w:val="6D0515B9"/>
    <w:rsid w:val="6D313897"/>
    <w:rsid w:val="6D666D51"/>
    <w:rsid w:val="70432D8A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8F936-7C1F-4D21-9CFE-2DE2D18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681</Words>
  <Characters>3888</Characters>
  <Application>Microsoft Office Word</Application>
  <DocSecurity>0</DocSecurity>
  <Lines>32</Lines>
  <Paragraphs>9</Paragraphs>
  <ScaleCrop>false</ScaleCrop>
  <Company>Lenovo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</cp:lastModifiedBy>
  <cp:revision>2</cp:revision>
  <cp:lastPrinted>2021-09-14T02:34:00Z</cp:lastPrinted>
  <dcterms:created xsi:type="dcterms:W3CDTF">2021-09-15T03:59:00Z</dcterms:created>
  <dcterms:modified xsi:type="dcterms:W3CDTF">2021-09-15T03:59:00Z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