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C1D276">
      <w:pPr>
        <w:pStyle w:val="11"/>
        <w:spacing w:before="0" w:beforeAutospacing="0" w:after="0" w:afterAutospacing="0" w:line="400" w:lineRule="exact"/>
        <w:jc w:val="both"/>
        <w:outlineLvl w:val="0"/>
        <w:rPr>
          <w:rFonts w:hint="eastAsia"/>
        </w:rPr>
      </w:pPr>
      <w:bookmarkStart w:id="0" w:name="_Toc8744"/>
      <w:bookmarkStart w:id="1" w:name="_Toc28910"/>
      <w:bookmarkStart w:id="2" w:name="_Toc182325837"/>
      <w:r>
        <w:rPr>
          <w:rFonts w:hint="eastAsia" w:ascii="黑体" w:hAnsi="黑体" w:eastAsia="黑体" w:cs="黑体"/>
          <w:sz w:val="32"/>
          <w:szCs w:val="32"/>
        </w:rPr>
        <w:t>附件</w:t>
      </w:r>
      <w:bookmarkEnd w:id="0"/>
      <w:bookmarkEnd w:id="1"/>
      <w:bookmarkEnd w:id="2"/>
    </w:p>
    <w:p w14:paraId="53D7E9B5">
      <w:pPr>
        <w:jc w:val="center"/>
        <w:rPr>
          <w:rFonts w:hint="eastAsia" w:hAnsi="宋体"/>
          <w:b/>
          <w:sz w:val="36"/>
          <w:szCs w:val="36"/>
        </w:rPr>
      </w:pPr>
    </w:p>
    <w:p w14:paraId="6ED89739">
      <w:pPr>
        <w:jc w:val="center"/>
        <w:rPr>
          <w:rFonts w:hint="eastAsia" w:hAnsi="宋体"/>
          <w:b/>
          <w:sz w:val="36"/>
          <w:szCs w:val="36"/>
        </w:rPr>
      </w:pPr>
    </w:p>
    <w:p w14:paraId="356E394E">
      <w:pPr>
        <w:jc w:val="center"/>
        <w:rPr>
          <w:rFonts w:hint="eastAsia" w:hAnsi="宋体"/>
          <w:b/>
          <w:sz w:val="36"/>
          <w:szCs w:val="36"/>
        </w:rPr>
      </w:pPr>
    </w:p>
    <w:p w14:paraId="48DF73AB">
      <w:pPr>
        <w:jc w:val="center"/>
        <w:rPr>
          <w:rFonts w:hint="eastAsia" w:hAnsi="宋体"/>
          <w:b/>
          <w:sz w:val="36"/>
          <w:szCs w:val="36"/>
        </w:rPr>
      </w:pPr>
    </w:p>
    <w:p w14:paraId="40113D37">
      <w:pPr>
        <w:jc w:val="center"/>
        <w:rPr>
          <w:rFonts w:hint="eastAsia" w:hAnsi="宋体"/>
          <w:b/>
          <w:sz w:val="36"/>
          <w:szCs w:val="36"/>
        </w:rPr>
      </w:pPr>
    </w:p>
    <w:p w14:paraId="2F98583C">
      <w:pPr>
        <w:jc w:val="center"/>
        <w:rPr>
          <w:rFonts w:hint="eastAsia" w:ascii="方正小标宋简体" w:hAnsi="宋体" w:eastAsia="方正小标宋简体"/>
          <w:sz w:val="52"/>
          <w:szCs w:val="52"/>
        </w:rPr>
      </w:pPr>
      <w:r>
        <w:rPr>
          <w:rFonts w:hint="eastAsia" w:ascii="方正小标宋简体" w:hAnsi="宋体" w:eastAsia="方正小标宋简体"/>
          <w:sz w:val="52"/>
          <w:szCs w:val="52"/>
        </w:rPr>
        <w:t>水污染防治先进技术与产品</w:t>
      </w:r>
    </w:p>
    <w:p w14:paraId="3A1C6589">
      <w:pPr>
        <w:jc w:val="center"/>
        <w:rPr>
          <w:rFonts w:hint="eastAsia" w:ascii="方正小标宋简体" w:hAnsi="宋体" w:eastAsia="方正小标宋简体"/>
          <w:sz w:val="52"/>
          <w:szCs w:val="52"/>
        </w:rPr>
      </w:pPr>
      <w:r>
        <w:rPr>
          <w:rFonts w:hint="eastAsia" w:ascii="方正小标宋简体" w:hAnsi="宋体" w:eastAsia="方正小标宋简体"/>
          <w:sz w:val="52"/>
          <w:szCs w:val="52"/>
        </w:rPr>
        <w:t>指导目录</w:t>
      </w:r>
    </w:p>
    <w:p w14:paraId="664FEF84">
      <w:pPr>
        <w:jc w:val="center"/>
        <w:rPr>
          <w:rFonts w:hint="eastAsia" w:ascii="楷体_GB2312" w:hAnsi="楷体_GB2312" w:eastAsia="楷体_GB2312" w:cs="楷体_GB2312"/>
          <w:bCs/>
          <w:sz w:val="32"/>
          <w:szCs w:val="32"/>
        </w:rPr>
      </w:pPr>
      <w:r>
        <w:rPr>
          <w:rFonts w:hint="eastAsia" w:ascii="楷体_GB2312" w:hAnsi="楷体_GB2312" w:eastAsia="楷体_GB2312" w:cs="楷体_GB2312"/>
          <w:bCs/>
          <w:sz w:val="32"/>
          <w:szCs w:val="32"/>
        </w:rPr>
        <w:t>（第八批）</w:t>
      </w:r>
    </w:p>
    <w:p w14:paraId="14D9A8E6">
      <w:pPr>
        <w:jc w:val="center"/>
        <w:rPr>
          <w:rFonts w:hint="eastAsia" w:ascii="宋体" w:hAnsi="宋体"/>
          <w:b/>
          <w:sz w:val="36"/>
          <w:szCs w:val="36"/>
        </w:rPr>
      </w:pPr>
    </w:p>
    <w:p w14:paraId="31D47C2B">
      <w:pPr>
        <w:jc w:val="center"/>
        <w:rPr>
          <w:rFonts w:hint="eastAsia" w:ascii="宋体" w:hAnsi="宋体"/>
          <w:b/>
          <w:sz w:val="36"/>
          <w:szCs w:val="36"/>
        </w:rPr>
      </w:pPr>
    </w:p>
    <w:p w14:paraId="430A2B37">
      <w:pPr>
        <w:jc w:val="center"/>
        <w:rPr>
          <w:rFonts w:hint="eastAsia" w:ascii="宋体" w:hAnsi="宋体"/>
          <w:b/>
          <w:sz w:val="36"/>
          <w:szCs w:val="36"/>
        </w:rPr>
      </w:pPr>
    </w:p>
    <w:p w14:paraId="61853AB7">
      <w:pPr>
        <w:jc w:val="center"/>
        <w:rPr>
          <w:rFonts w:hint="eastAsia" w:ascii="宋体" w:hAnsi="宋体"/>
          <w:b/>
          <w:sz w:val="36"/>
          <w:szCs w:val="36"/>
        </w:rPr>
      </w:pPr>
    </w:p>
    <w:p w14:paraId="768CD54D">
      <w:pPr>
        <w:jc w:val="center"/>
        <w:rPr>
          <w:rFonts w:hint="eastAsia" w:ascii="宋体" w:hAnsi="宋体"/>
          <w:b/>
          <w:sz w:val="36"/>
          <w:szCs w:val="36"/>
        </w:rPr>
      </w:pPr>
    </w:p>
    <w:p w14:paraId="704CB72A">
      <w:pPr>
        <w:jc w:val="center"/>
        <w:rPr>
          <w:rFonts w:hint="eastAsia" w:ascii="宋体" w:hAnsi="宋体"/>
          <w:b/>
          <w:sz w:val="36"/>
          <w:szCs w:val="36"/>
        </w:rPr>
      </w:pPr>
    </w:p>
    <w:p w14:paraId="36632A84">
      <w:pPr>
        <w:jc w:val="center"/>
        <w:rPr>
          <w:rFonts w:hint="eastAsia" w:ascii="宋体" w:hAnsi="宋体"/>
          <w:b/>
          <w:sz w:val="36"/>
          <w:szCs w:val="36"/>
        </w:rPr>
      </w:pPr>
    </w:p>
    <w:p w14:paraId="7EEE73D0">
      <w:pPr>
        <w:spacing w:line="400" w:lineRule="exact"/>
        <w:jc w:val="center"/>
        <w:rPr>
          <w:rFonts w:hint="eastAsia" w:ascii="宋体" w:hAnsi="宋体"/>
          <w:b/>
          <w:sz w:val="36"/>
          <w:szCs w:val="36"/>
        </w:rPr>
      </w:pPr>
    </w:p>
    <w:p w14:paraId="5F7BC001">
      <w:pPr>
        <w:jc w:val="center"/>
        <w:rPr>
          <w:rFonts w:hint="eastAsia" w:ascii="宋体" w:hAnsi="宋体"/>
          <w:b/>
          <w:sz w:val="36"/>
          <w:szCs w:val="36"/>
        </w:rPr>
      </w:pPr>
    </w:p>
    <w:p w14:paraId="497CFB8F">
      <w:pPr>
        <w:jc w:val="center"/>
        <w:rPr>
          <w:rFonts w:eastAsia="仿宋_GB2312"/>
          <w:sz w:val="32"/>
          <w:szCs w:val="32"/>
        </w:rPr>
      </w:pPr>
      <w:r>
        <w:rPr>
          <w:rFonts w:eastAsia="仿宋_GB2312"/>
          <w:sz w:val="32"/>
          <w:szCs w:val="32"/>
        </w:rPr>
        <w:t>自治区科技厅</w:t>
      </w:r>
      <w:r>
        <w:rPr>
          <w:rFonts w:hint="eastAsia" w:eastAsia="仿宋_GB2312"/>
          <w:sz w:val="32"/>
          <w:szCs w:val="32"/>
        </w:rPr>
        <w:t xml:space="preserve">  </w:t>
      </w:r>
      <w:r>
        <w:rPr>
          <w:rStyle w:val="23"/>
          <w:rFonts w:eastAsia="仿宋_GB2312"/>
          <w:sz w:val="32"/>
          <w:szCs w:val="32"/>
        </w:rPr>
        <w:t>自治区生态环境厅</w:t>
      </w:r>
    </w:p>
    <w:p w14:paraId="08BD55C4">
      <w:pPr>
        <w:jc w:val="center"/>
        <w:rPr>
          <w:rFonts w:hint="eastAsia" w:ascii="仿宋_GB2312" w:hAnsi="仿宋_GB2312" w:eastAsia="仿宋_GB2312" w:cs="仿宋_GB2312"/>
          <w:sz w:val="32"/>
          <w:szCs w:val="32"/>
        </w:rPr>
      </w:pPr>
      <w:r>
        <w:rPr>
          <w:rFonts w:hint="default" w:ascii="Times New Roman" w:hAnsi="Times New Roman" w:eastAsia="宋体" w:cs="Times New Roman"/>
          <w:sz w:val="32"/>
          <w:szCs w:val="32"/>
        </w:rPr>
        <w:t>2024</w:t>
      </w:r>
      <w:r>
        <w:rPr>
          <w:rFonts w:hint="eastAsia" w:ascii="仿宋_GB2312" w:hAnsi="仿宋_GB2312" w:eastAsia="仿宋_GB2312" w:cs="仿宋_GB2312"/>
          <w:sz w:val="32"/>
          <w:szCs w:val="32"/>
        </w:rPr>
        <w:t>年</w:t>
      </w:r>
      <w:r>
        <w:rPr>
          <w:rFonts w:hint="default" w:ascii="Times New Roman" w:hAnsi="Times New Roman" w:eastAsia="宋体" w:cs="Times New Roman"/>
          <w:sz w:val="32"/>
          <w:szCs w:val="32"/>
        </w:rPr>
        <w:t>11</w:t>
      </w:r>
      <w:r>
        <w:rPr>
          <w:rFonts w:hint="eastAsia" w:ascii="仿宋_GB2312" w:hAnsi="仿宋_GB2312" w:eastAsia="仿宋_GB2312" w:cs="仿宋_GB2312"/>
          <w:sz w:val="32"/>
          <w:szCs w:val="32"/>
        </w:rPr>
        <w:t>月</w:t>
      </w:r>
    </w:p>
    <w:p w14:paraId="41E0B76B">
      <w:pPr>
        <w:pStyle w:val="4"/>
        <w:jc w:val="center"/>
        <w:rPr>
          <w:rFonts w:ascii="方正小标宋简体" w:eastAsia="方正小标宋简体"/>
        </w:rPr>
        <w:sectPr>
          <w:footerReference r:id="rId6" w:type="first"/>
          <w:headerReference r:id="rId3" w:type="default"/>
          <w:footerReference r:id="rId4" w:type="default"/>
          <w:footerReference r:id="rId5" w:type="even"/>
          <w:pgSz w:w="11906" w:h="16838"/>
          <w:pgMar w:top="2098" w:right="1531" w:bottom="1417" w:left="1531" w:header="851" w:footer="1417" w:gutter="0"/>
          <w:pgNumType w:fmt="decimal"/>
          <w:cols w:space="720" w:num="1"/>
          <w:titlePg/>
          <w:docGrid w:type="lines" w:linePitch="312" w:charSpace="0"/>
        </w:sectPr>
      </w:pPr>
    </w:p>
    <w:p w14:paraId="326655D0">
      <w:pPr>
        <w:pStyle w:val="4"/>
        <w:jc w:val="center"/>
        <w:rPr>
          <w:rFonts w:ascii="方正小标宋简体" w:eastAsia="方正小标宋简体"/>
        </w:rPr>
      </w:pPr>
      <w:bookmarkStart w:id="3" w:name="_Toc182325838"/>
      <w:r>
        <w:rPr>
          <w:rFonts w:hint="eastAsia" w:ascii="方正小标宋简体" w:eastAsia="方正小标宋简体"/>
          <w:b w:val="0"/>
          <w:bCs/>
        </w:rPr>
        <w:t>前  言</w:t>
      </w:r>
      <w:bookmarkEnd w:id="3"/>
    </w:p>
    <w:p w14:paraId="26CEAAD5">
      <w:pPr>
        <w:spacing w:line="600" w:lineRule="exact"/>
        <w:ind w:firstLine="640" w:firstLineChars="200"/>
        <w:rPr>
          <w:rStyle w:val="23"/>
          <w:rFonts w:eastAsia="仿宋_GB2312"/>
          <w:color w:val="000000"/>
          <w:sz w:val="32"/>
          <w:szCs w:val="32"/>
        </w:rPr>
      </w:pPr>
      <w:r>
        <w:rPr>
          <w:rStyle w:val="23"/>
          <w:rFonts w:eastAsia="仿宋_GB2312"/>
          <w:color w:val="000000"/>
          <w:sz w:val="32"/>
          <w:szCs w:val="32"/>
        </w:rPr>
        <w:t>“十</w:t>
      </w:r>
      <w:r>
        <w:rPr>
          <w:rStyle w:val="23"/>
          <w:rFonts w:hint="eastAsia" w:eastAsia="仿宋_GB2312"/>
          <w:color w:val="000000"/>
          <w:sz w:val="32"/>
          <w:szCs w:val="32"/>
        </w:rPr>
        <w:t>四</w:t>
      </w:r>
      <w:r>
        <w:rPr>
          <w:rStyle w:val="23"/>
          <w:rFonts w:eastAsia="仿宋_GB2312"/>
          <w:color w:val="000000"/>
          <w:sz w:val="32"/>
          <w:szCs w:val="32"/>
        </w:rPr>
        <w:t>五”以来，随着广西经济的跨越式发展，工业化、城镇化快速推进，以及全球气候变化的影响，全区水环境污染问题日趋凸显。</w:t>
      </w:r>
      <w:r>
        <w:rPr>
          <w:rStyle w:val="23"/>
          <w:rFonts w:hint="eastAsia" w:eastAsia="仿宋_GB2312"/>
          <w:color w:val="000000"/>
          <w:sz w:val="32"/>
          <w:szCs w:val="32"/>
        </w:rPr>
        <w:t>为此，</w:t>
      </w:r>
      <w:r>
        <w:rPr>
          <w:rStyle w:val="23"/>
          <w:rFonts w:eastAsia="仿宋_GB2312"/>
          <w:color w:val="000000"/>
          <w:sz w:val="32"/>
          <w:szCs w:val="32"/>
        </w:rPr>
        <w:t>近年来围绕水环境污染治理、水生态修复，自治区科技厅组织开展了大量的科技攻关研究，形成了一批创新核心技术，有力地支撑了广西生态文明建设。</w:t>
      </w:r>
    </w:p>
    <w:p w14:paraId="4B267BE5">
      <w:pPr>
        <w:spacing w:line="600" w:lineRule="exact"/>
        <w:ind w:firstLine="640" w:firstLineChars="200"/>
        <w:rPr>
          <w:rStyle w:val="23"/>
          <w:rFonts w:eastAsia="仿宋_GB2312"/>
          <w:sz w:val="32"/>
          <w:szCs w:val="32"/>
        </w:rPr>
      </w:pPr>
      <w:r>
        <w:rPr>
          <w:rStyle w:val="23"/>
          <w:rFonts w:eastAsia="仿宋_GB2312"/>
          <w:sz w:val="32"/>
          <w:szCs w:val="32"/>
        </w:rPr>
        <w:t>为深入贯彻</w:t>
      </w:r>
      <w:r>
        <w:rPr>
          <w:rFonts w:eastAsia="仿宋_GB2312"/>
          <w:sz w:val="32"/>
          <w:szCs w:val="32"/>
        </w:rPr>
        <w:t>全国科技创新大会精神</w:t>
      </w:r>
      <w:r>
        <w:rPr>
          <w:rStyle w:val="23"/>
          <w:rFonts w:hint="eastAsia" w:eastAsia="仿宋_GB2312"/>
          <w:sz w:val="32"/>
          <w:szCs w:val="32"/>
        </w:rPr>
        <w:t>，</w:t>
      </w:r>
      <w:r>
        <w:rPr>
          <w:rStyle w:val="23"/>
          <w:rFonts w:eastAsia="仿宋_GB2312"/>
          <w:sz w:val="32"/>
          <w:szCs w:val="32"/>
        </w:rPr>
        <w:t>全面落实《</w:t>
      </w:r>
      <w:bookmarkStart w:id="4" w:name="OLE_LINK1"/>
      <w:bookmarkStart w:id="5" w:name="OLE_LINK2"/>
      <w:r>
        <w:rPr>
          <w:rStyle w:val="23"/>
          <w:rFonts w:eastAsia="仿宋_GB2312"/>
          <w:sz w:val="32"/>
          <w:szCs w:val="32"/>
        </w:rPr>
        <w:t>国务院关于印发水污染防治行动计划的通知</w:t>
      </w:r>
      <w:bookmarkEnd w:id="4"/>
      <w:bookmarkEnd w:id="5"/>
      <w:r>
        <w:rPr>
          <w:rStyle w:val="23"/>
          <w:rFonts w:eastAsia="仿宋_GB2312"/>
          <w:sz w:val="32"/>
          <w:szCs w:val="32"/>
        </w:rPr>
        <w:t>》（国发〔2015〕17号）和《广西壮族自治区人民政府办公厅关于印发广西水污染防治攻坚三年作战方案（2018—2020年）的通知》（桂政办发〔2018〕81号）精神，促进水环境保护</w:t>
      </w:r>
      <w:r>
        <w:rPr>
          <w:rStyle w:val="23"/>
          <w:rFonts w:hint="eastAsia" w:eastAsia="仿宋_GB2312"/>
          <w:sz w:val="32"/>
          <w:szCs w:val="32"/>
        </w:rPr>
        <w:t>领域</w:t>
      </w:r>
      <w:r>
        <w:rPr>
          <w:rStyle w:val="23"/>
          <w:rFonts w:eastAsia="仿宋_GB2312"/>
          <w:sz w:val="32"/>
          <w:szCs w:val="32"/>
        </w:rPr>
        <w:t>科技创新，加快节水、治污和水生态修复等先进技术与产品成果的推广应用，大力推进水污染防治科技进步，提升我区水环境保护</w:t>
      </w:r>
      <w:r>
        <w:rPr>
          <w:rStyle w:val="23"/>
          <w:rFonts w:hint="eastAsia" w:eastAsia="仿宋_GB2312"/>
          <w:sz w:val="32"/>
          <w:szCs w:val="32"/>
        </w:rPr>
        <w:t>与治理</w:t>
      </w:r>
      <w:r>
        <w:rPr>
          <w:rStyle w:val="23"/>
          <w:rFonts w:eastAsia="仿宋_GB2312"/>
          <w:sz w:val="32"/>
          <w:szCs w:val="32"/>
        </w:rPr>
        <w:t>水平。自治区科技厅</w:t>
      </w:r>
      <w:r>
        <w:rPr>
          <w:rStyle w:val="23"/>
          <w:rFonts w:hint="eastAsia" w:eastAsia="仿宋_GB2312"/>
          <w:sz w:val="32"/>
          <w:szCs w:val="32"/>
        </w:rPr>
        <w:t>、生态环境厅</w:t>
      </w:r>
      <w:r>
        <w:rPr>
          <w:rStyle w:val="23"/>
          <w:rFonts w:eastAsia="仿宋_GB2312"/>
          <w:sz w:val="32"/>
          <w:szCs w:val="32"/>
        </w:rPr>
        <w:t>组织开展水污染防治先进技术与产品征集</w:t>
      </w:r>
      <w:r>
        <w:rPr>
          <w:rStyle w:val="23"/>
          <w:rFonts w:hint="eastAsia" w:eastAsia="仿宋_GB2312"/>
          <w:sz w:val="32"/>
          <w:szCs w:val="32"/>
        </w:rPr>
        <w:t>和推荐</w:t>
      </w:r>
      <w:r>
        <w:rPr>
          <w:rStyle w:val="23"/>
          <w:rFonts w:eastAsia="仿宋_GB2312"/>
          <w:sz w:val="32"/>
          <w:szCs w:val="32"/>
        </w:rPr>
        <w:t>工作，对各单位推荐</w:t>
      </w:r>
      <w:r>
        <w:rPr>
          <w:rStyle w:val="23"/>
          <w:rFonts w:hint="eastAsia" w:eastAsia="仿宋_GB2312"/>
          <w:sz w:val="32"/>
          <w:szCs w:val="32"/>
        </w:rPr>
        <w:t>的</w:t>
      </w:r>
      <w:r>
        <w:rPr>
          <w:rStyle w:val="23"/>
          <w:rFonts w:eastAsia="仿宋_GB2312"/>
          <w:sz w:val="32"/>
          <w:szCs w:val="32"/>
        </w:rPr>
        <w:t>技术与产品组织专家进行</w:t>
      </w:r>
      <w:r>
        <w:rPr>
          <w:rStyle w:val="23"/>
          <w:rFonts w:hint="eastAsia" w:eastAsia="仿宋_GB2312"/>
          <w:sz w:val="32"/>
          <w:szCs w:val="32"/>
        </w:rPr>
        <w:t>了</w:t>
      </w:r>
      <w:r>
        <w:rPr>
          <w:rStyle w:val="23"/>
          <w:rFonts w:eastAsia="仿宋_GB2312"/>
          <w:sz w:val="32"/>
          <w:szCs w:val="32"/>
        </w:rPr>
        <w:t>筛选评估，遴选出一批水污染防治先进技术与产品</w:t>
      </w:r>
      <w:r>
        <w:rPr>
          <w:rStyle w:val="23"/>
          <w:rFonts w:hint="eastAsia" w:eastAsia="仿宋_GB2312"/>
          <w:sz w:val="32"/>
          <w:szCs w:val="32"/>
        </w:rPr>
        <w:t>，</w:t>
      </w:r>
      <w:r>
        <w:rPr>
          <w:rStyle w:val="23"/>
          <w:rFonts w:eastAsia="仿宋_GB2312"/>
          <w:sz w:val="32"/>
          <w:szCs w:val="32"/>
        </w:rPr>
        <w:t>编制形成《</w:t>
      </w:r>
      <w:r>
        <w:rPr>
          <w:rFonts w:eastAsia="仿宋_GB2312"/>
          <w:sz w:val="32"/>
          <w:szCs w:val="32"/>
        </w:rPr>
        <w:t>水污染防治先进技术与产品</w:t>
      </w:r>
      <w:r>
        <w:rPr>
          <w:rStyle w:val="23"/>
          <w:rFonts w:eastAsia="仿宋_GB2312"/>
          <w:sz w:val="32"/>
          <w:szCs w:val="32"/>
        </w:rPr>
        <w:t>指导目录（第</w:t>
      </w:r>
      <w:r>
        <w:rPr>
          <w:rStyle w:val="23"/>
          <w:rFonts w:hint="eastAsia" w:eastAsia="仿宋_GB2312"/>
          <w:sz w:val="32"/>
          <w:szCs w:val="32"/>
        </w:rPr>
        <w:t>八</w:t>
      </w:r>
      <w:r>
        <w:rPr>
          <w:rStyle w:val="23"/>
          <w:rFonts w:eastAsia="仿宋_GB2312"/>
          <w:sz w:val="32"/>
          <w:szCs w:val="32"/>
        </w:rPr>
        <w:t>批）》。入选技术均通过工程示范或用户使用等方式得到应用，并进行了第三方</w:t>
      </w:r>
      <w:r>
        <w:rPr>
          <w:rStyle w:val="23"/>
          <w:rFonts w:hint="eastAsia" w:eastAsia="仿宋_GB2312"/>
          <w:sz w:val="32"/>
          <w:szCs w:val="32"/>
        </w:rPr>
        <w:t>监测</w:t>
      </w:r>
      <w:r>
        <w:rPr>
          <w:rStyle w:val="23"/>
          <w:rFonts w:eastAsia="仿宋_GB2312"/>
          <w:sz w:val="32"/>
          <w:szCs w:val="32"/>
        </w:rPr>
        <w:t>或检验，具备进一步推广的前景。</w:t>
      </w:r>
    </w:p>
    <w:p w14:paraId="2CE47E2C">
      <w:pPr>
        <w:spacing w:line="600" w:lineRule="exact"/>
        <w:ind w:firstLine="640" w:firstLineChars="200"/>
        <w:rPr>
          <w:rStyle w:val="23"/>
          <w:rFonts w:eastAsia="仿宋_GB2312"/>
          <w:sz w:val="32"/>
          <w:szCs w:val="32"/>
        </w:rPr>
      </w:pPr>
      <w:r>
        <w:rPr>
          <w:rStyle w:val="23"/>
          <w:rFonts w:eastAsia="仿宋_GB2312"/>
          <w:sz w:val="32"/>
          <w:szCs w:val="32"/>
        </w:rPr>
        <w:t>为便于使用者查阅和掌握整体情况，本指导目录分为技术目录和技术简介两部分。第一部分技术目录中，简单介绍了每项技术名称、技术简要说明、适用范围以及示范应用情况；第二部分</w:t>
      </w:r>
      <w:r>
        <w:rPr>
          <w:rStyle w:val="23"/>
          <w:rFonts w:hint="eastAsia" w:eastAsia="仿宋_GB2312"/>
          <w:sz w:val="32"/>
          <w:szCs w:val="32"/>
          <w:lang w:eastAsia="zh-CN"/>
        </w:rPr>
        <w:t>技术简介</w:t>
      </w:r>
      <w:r>
        <w:rPr>
          <w:rStyle w:val="23"/>
          <w:rFonts w:eastAsia="仿宋_GB2312"/>
          <w:sz w:val="32"/>
          <w:szCs w:val="32"/>
        </w:rPr>
        <w:t>中</w:t>
      </w:r>
      <w:r>
        <w:rPr>
          <w:rStyle w:val="23"/>
          <w:rFonts w:hint="eastAsia" w:eastAsia="仿宋_GB2312"/>
          <w:sz w:val="32"/>
          <w:szCs w:val="32"/>
          <w:lang w:eastAsia="zh-CN"/>
        </w:rPr>
        <w:t>，</w:t>
      </w:r>
      <w:r>
        <w:rPr>
          <w:rStyle w:val="23"/>
          <w:rFonts w:eastAsia="仿宋_GB2312"/>
          <w:sz w:val="32"/>
          <w:szCs w:val="32"/>
        </w:rPr>
        <w:t>较详细地介绍了各项技术的具体内容、示范应用的典型案例、技术提供单位的信息等。</w:t>
      </w:r>
    </w:p>
    <w:p w14:paraId="18E18CAA">
      <w:pPr>
        <w:spacing w:line="600" w:lineRule="exact"/>
        <w:ind w:firstLine="640" w:firstLineChars="200"/>
        <w:rPr>
          <w:rStyle w:val="23"/>
          <w:rFonts w:eastAsia="仿宋_GB2312"/>
          <w:sz w:val="32"/>
          <w:szCs w:val="32"/>
        </w:rPr>
      </w:pPr>
      <w:r>
        <w:rPr>
          <w:rStyle w:val="23"/>
          <w:rFonts w:eastAsia="仿宋_GB2312"/>
          <w:sz w:val="32"/>
          <w:szCs w:val="32"/>
        </w:rPr>
        <w:t>任何机构或个人使用本指导目录所列技术，请认真研究分析该技术在相关应用中的适用性，并根据《</w:t>
      </w:r>
      <w:r>
        <w:rPr>
          <w:rStyle w:val="23"/>
          <w:rFonts w:hint="eastAsia" w:eastAsia="仿宋_GB2312"/>
          <w:sz w:val="32"/>
          <w:szCs w:val="32"/>
        </w:rPr>
        <w:t>中华人民共和国民法典</w:t>
      </w:r>
      <w:r>
        <w:rPr>
          <w:rStyle w:val="23"/>
          <w:rFonts w:eastAsia="仿宋_GB2312"/>
          <w:sz w:val="32"/>
          <w:szCs w:val="32"/>
        </w:rPr>
        <w:t>》等</w:t>
      </w:r>
      <w:r>
        <w:rPr>
          <w:rStyle w:val="23"/>
          <w:rFonts w:hint="eastAsia" w:eastAsia="仿宋_GB2312"/>
          <w:sz w:val="32"/>
          <w:szCs w:val="32"/>
        </w:rPr>
        <w:t>国家现行</w:t>
      </w:r>
      <w:r>
        <w:rPr>
          <w:rStyle w:val="23"/>
          <w:rFonts w:eastAsia="仿宋_GB2312"/>
          <w:sz w:val="32"/>
          <w:szCs w:val="32"/>
        </w:rPr>
        <w:t>法律法规，与技术提供方约定双方权利与义务，在技术交易和使用中严格履行供需双方的责任与义务。</w:t>
      </w:r>
    </w:p>
    <w:p w14:paraId="020ECD83">
      <w:pPr>
        <w:spacing w:line="600" w:lineRule="exact"/>
        <w:ind w:firstLine="640" w:firstLineChars="200"/>
        <w:rPr>
          <w:rStyle w:val="23"/>
          <w:rFonts w:eastAsia="仿宋_GB2312"/>
          <w:sz w:val="32"/>
          <w:szCs w:val="32"/>
        </w:rPr>
      </w:pPr>
    </w:p>
    <w:p w14:paraId="50334C4B">
      <w:pPr>
        <w:spacing w:line="600" w:lineRule="exact"/>
        <w:ind w:firstLine="640" w:firstLineChars="200"/>
        <w:rPr>
          <w:rStyle w:val="23"/>
          <w:rFonts w:eastAsia="仿宋_GB2312"/>
          <w:sz w:val="32"/>
          <w:szCs w:val="32"/>
        </w:rPr>
      </w:pPr>
    </w:p>
    <w:p w14:paraId="6201C2B5">
      <w:pPr>
        <w:spacing w:line="600" w:lineRule="exact"/>
        <w:ind w:firstLine="640" w:firstLineChars="200"/>
        <w:rPr>
          <w:rStyle w:val="23"/>
          <w:rFonts w:eastAsia="仿宋_GB2312"/>
          <w:sz w:val="32"/>
          <w:szCs w:val="32"/>
        </w:rPr>
      </w:pPr>
    </w:p>
    <w:p w14:paraId="09FB5EDD">
      <w:pPr>
        <w:spacing w:line="600" w:lineRule="exact"/>
        <w:ind w:firstLine="640" w:firstLineChars="200"/>
        <w:rPr>
          <w:rStyle w:val="23"/>
          <w:rFonts w:eastAsia="仿宋_GB2312"/>
          <w:sz w:val="32"/>
          <w:szCs w:val="32"/>
        </w:rPr>
      </w:pPr>
    </w:p>
    <w:p w14:paraId="7747A499">
      <w:pPr>
        <w:spacing w:line="600" w:lineRule="exact"/>
        <w:ind w:firstLine="640" w:firstLineChars="200"/>
        <w:rPr>
          <w:rStyle w:val="23"/>
          <w:rFonts w:eastAsia="仿宋_GB2312"/>
          <w:sz w:val="32"/>
          <w:szCs w:val="32"/>
        </w:rPr>
      </w:pPr>
    </w:p>
    <w:p w14:paraId="32A9451E">
      <w:pPr>
        <w:spacing w:line="600" w:lineRule="exact"/>
        <w:ind w:firstLine="640" w:firstLineChars="200"/>
        <w:rPr>
          <w:rStyle w:val="23"/>
          <w:rFonts w:eastAsia="仿宋_GB2312"/>
          <w:sz w:val="32"/>
          <w:szCs w:val="32"/>
        </w:rPr>
      </w:pPr>
    </w:p>
    <w:p w14:paraId="675ECC77">
      <w:pPr>
        <w:spacing w:line="600" w:lineRule="exact"/>
        <w:ind w:firstLine="640" w:firstLineChars="200"/>
        <w:rPr>
          <w:rStyle w:val="23"/>
          <w:rFonts w:eastAsia="仿宋_GB2312"/>
          <w:sz w:val="32"/>
          <w:szCs w:val="32"/>
        </w:rPr>
      </w:pPr>
    </w:p>
    <w:p w14:paraId="63FA9FBB">
      <w:pPr>
        <w:spacing w:line="600" w:lineRule="exact"/>
        <w:ind w:firstLine="640" w:firstLineChars="200"/>
        <w:rPr>
          <w:rStyle w:val="23"/>
          <w:rFonts w:eastAsia="仿宋_GB2312"/>
          <w:sz w:val="32"/>
          <w:szCs w:val="32"/>
        </w:rPr>
      </w:pPr>
    </w:p>
    <w:p w14:paraId="07C800E4">
      <w:pPr>
        <w:spacing w:line="600" w:lineRule="exact"/>
        <w:ind w:firstLine="640" w:firstLineChars="200"/>
        <w:rPr>
          <w:rStyle w:val="23"/>
          <w:rFonts w:eastAsia="仿宋_GB2312"/>
          <w:sz w:val="32"/>
          <w:szCs w:val="32"/>
        </w:rPr>
      </w:pPr>
    </w:p>
    <w:p w14:paraId="280B036F">
      <w:pPr>
        <w:spacing w:line="600" w:lineRule="exact"/>
        <w:ind w:firstLine="640" w:firstLineChars="200"/>
        <w:rPr>
          <w:rStyle w:val="23"/>
          <w:rFonts w:eastAsia="仿宋_GB2312"/>
          <w:sz w:val="32"/>
          <w:szCs w:val="32"/>
        </w:rPr>
      </w:pPr>
    </w:p>
    <w:p w14:paraId="5BD3829E">
      <w:pPr>
        <w:spacing w:line="600" w:lineRule="exact"/>
        <w:ind w:firstLine="640" w:firstLineChars="200"/>
        <w:rPr>
          <w:rStyle w:val="23"/>
          <w:rFonts w:eastAsia="仿宋_GB2312"/>
          <w:sz w:val="32"/>
          <w:szCs w:val="32"/>
        </w:rPr>
      </w:pPr>
    </w:p>
    <w:p w14:paraId="4D141C59">
      <w:pPr>
        <w:spacing w:line="600" w:lineRule="exact"/>
        <w:ind w:firstLine="640" w:firstLineChars="200"/>
        <w:rPr>
          <w:rStyle w:val="23"/>
          <w:rFonts w:eastAsia="仿宋_GB2312"/>
          <w:sz w:val="32"/>
          <w:szCs w:val="32"/>
        </w:rPr>
      </w:pPr>
    </w:p>
    <w:p w14:paraId="1201523C">
      <w:pPr>
        <w:spacing w:line="600" w:lineRule="exact"/>
        <w:ind w:firstLine="640" w:firstLineChars="200"/>
        <w:rPr>
          <w:rStyle w:val="23"/>
          <w:rFonts w:eastAsia="仿宋_GB2312"/>
          <w:sz w:val="32"/>
          <w:szCs w:val="32"/>
        </w:rPr>
      </w:pPr>
    </w:p>
    <w:p w14:paraId="69346347">
      <w:pPr>
        <w:pStyle w:val="4"/>
        <w:jc w:val="center"/>
      </w:pPr>
      <w:bookmarkStart w:id="6" w:name="_Toc562448036_WPSOffice_Type2"/>
    </w:p>
    <w:p w14:paraId="1851FE9E">
      <w:pPr>
        <w:pStyle w:val="4"/>
        <w:jc w:val="center"/>
      </w:pPr>
      <w:r>
        <w:t>目录</w:t>
      </w:r>
    </w:p>
    <w:p w14:paraId="5699EF86">
      <w:pPr>
        <w:pStyle w:val="19"/>
        <w:tabs>
          <w:tab w:val="right" w:leader="dot" w:pos="8844"/>
        </w:tabs>
        <w:rPr>
          <w:rFonts w:hint="eastAsia" w:ascii="仿宋" w:hAnsi="仿宋" w:eastAsia="仿宋" w:cs="仿宋"/>
          <w:sz w:val="28"/>
          <w:szCs w:val="28"/>
        </w:rPr>
      </w:pPr>
      <w:r>
        <w:rPr>
          <w:rFonts w:hint="eastAsia" w:ascii="仿宋" w:hAnsi="仿宋" w:eastAsia="仿宋" w:cs="仿宋"/>
          <w:b/>
          <w:bCs/>
          <w:sz w:val="28"/>
          <w:szCs w:val="28"/>
        </w:rPr>
        <w:fldChar w:fldCharType="begin"/>
      </w:r>
      <w:r>
        <w:rPr>
          <w:rFonts w:hint="eastAsia" w:ascii="仿宋" w:hAnsi="仿宋" w:eastAsia="仿宋" w:cs="仿宋"/>
          <w:sz w:val="28"/>
          <w:szCs w:val="28"/>
        </w:rPr>
        <w:instrText xml:space="preserve"> HYPERLINK \l _Toc466572604_WPSOffice_Level1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第一部分  技术目录</w:t>
      </w:r>
      <w:r>
        <w:rPr>
          <w:rFonts w:hint="eastAsia" w:ascii="仿宋" w:hAnsi="仿宋" w:eastAsia="仿宋" w:cs="仿宋"/>
          <w:b w:val="0"/>
          <w:bCs w:val="0"/>
          <w:sz w:val="28"/>
          <w:szCs w:val="28"/>
        </w:rPr>
        <w:tab/>
      </w:r>
      <w:bookmarkStart w:id="7" w:name="_Toc466572604_WPSOffice_Level1Page"/>
      <w:r>
        <w:rPr>
          <w:rFonts w:hint="eastAsia" w:ascii="Times New Roman" w:hAnsi="Times New Roman" w:eastAsia="仿宋_GB2312" w:cs="Times New Roman"/>
          <w:sz w:val="28"/>
          <w:szCs w:val="28"/>
          <w:lang w:val="en-US" w:eastAsia="zh-CN" w:bidi="ar-SA"/>
        </w:rPr>
        <w:t>6</w:t>
      </w:r>
      <w:bookmarkEnd w:id="7"/>
      <w:r>
        <w:rPr>
          <w:rFonts w:hint="eastAsia" w:ascii="仿宋" w:hAnsi="仿宋" w:eastAsia="仿宋" w:cs="仿宋"/>
          <w:b/>
          <w:bCs/>
          <w:sz w:val="28"/>
          <w:szCs w:val="28"/>
        </w:rPr>
        <w:fldChar w:fldCharType="end"/>
      </w:r>
    </w:p>
    <w:p w14:paraId="3EF10906">
      <w:pPr>
        <w:pStyle w:val="19"/>
        <w:tabs>
          <w:tab w:val="right" w:leader="dot" w:pos="8844"/>
        </w:tabs>
        <w:rPr>
          <w:rFonts w:hint="eastAsia" w:ascii="仿宋" w:hAnsi="仿宋" w:eastAsia="仿宋" w:cs="仿宋"/>
          <w:sz w:val="28"/>
          <w:szCs w:val="28"/>
        </w:rPr>
      </w:pPr>
      <w:r>
        <w:rPr>
          <w:rFonts w:hint="eastAsia" w:ascii="仿宋" w:hAnsi="仿宋" w:eastAsia="仿宋" w:cs="仿宋"/>
          <w:b/>
          <w:bCs/>
          <w:sz w:val="28"/>
          <w:szCs w:val="28"/>
        </w:rPr>
        <w:fldChar w:fldCharType="begin"/>
      </w:r>
      <w:r>
        <w:rPr>
          <w:rFonts w:hint="eastAsia" w:ascii="仿宋" w:hAnsi="仿宋" w:eastAsia="仿宋" w:cs="仿宋"/>
          <w:sz w:val="28"/>
          <w:szCs w:val="28"/>
        </w:rPr>
        <w:instrText xml:space="preserve"> HYPERLINK \l _Toc1306508255_WPSOffice_Level1 </w:instrText>
      </w:r>
      <w:r>
        <w:rPr>
          <w:rFonts w:hint="eastAsia" w:ascii="仿宋" w:hAnsi="仿宋" w:eastAsia="仿宋" w:cs="仿宋"/>
          <w:b/>
          <w:bCs/>
          <w:sz w:val="28"/>
          <w:szCs w:val="28"/>
        </w:rPr>
        <w:fldChar w:fldCharType="separate"/>
      </w:r>
      <w:r>
        <w:rPr>
          <w:rFonts w:hint="eastAsia" w:ascii="仿宋" w:hAnsi="仿宋" w:eastAsia="仿宋" w:cs="仿宋"/>
          <w:b/>
          <w:bCs/>
          <w:sz w:val="28"/>
          <w:szCs w:val="28"/>
        </w:rPr>
        <w:t>第二部分  技术简介</w:t>
      </w:r>
      <w:r>
        <w:rPr>
          <w:rFonts w:hint="eastAsia" w:ascii="仿宋" w:hAnsi="仿宋" w:eastAsia="仿宋" w:cs="仿宋"/>
          <w:b w:val="0"/>
          <w:bCs w:val="0"/>
          <w:sz w:val="28"/>
          <w:szCs w:val="28"/>
        </w:rPr>
        <w:tab/>
      </w:r>
      <w:bookmarkStart w:id="8" w:name="_Toc1306508255_WPSOffice_Level1Page"/>
      <w:r>
        <w:rPr>
          <w:rFonts w:hint="eastAsia" w:ascii="Times New Roman" w:hAnsi="Times New Roman" w:eastAsia="仿宋_GB2312" w:cs="Times New Roman"/>
          <w:sz w:val="28"/>
          <w:szCs w:val="28"/>
          <w:lang w:val="en-US" w:eastAsia="zh-CN" w:bidi="ar-SA"/>
        </w:rPr>
        <w:t>9</w:t>
      </w:r>
      <w:bookmarkEnd w:id="8"/>
      <w:r>
        <w:rPr>
          <w:rFonts w:hint="eastAsia" w:ascii="仿宋" w:hAnsi="仿宋" w:eastAsia="仿宋" w:cs="仿宋"/>
          <w:b/>
          <w:bCs/>
          <w:sz w:val="28"/>
          <w:szCs w:val="28"/>
        </w:rPr>
        <w:fldChar w:fldCharType="end"/>
      </w:r>
    </w:p>
    <w:p w14:paraId="446ADE4D">
      <w:pPr>
        <w:pStyle w:val="22"/>
        <w:tabs>
          <w:tab w:val="right" w:leader="dot" w:pos="8844"/>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_Toc205995391_WPSOffice_Level2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一、用于白酒废水处理的同步脱氮-自养脱氮联合处理技术</w:t>
      </w:r>
      <w:r>
        <w:rPr>
          <w:rFonts w:hint="default" w:ascii="Times New Roman" w:hAnsi="Times New Roman" w:eastAsia="仿宋_GB2312" w:cs="Times New Roman"/>
          <w:sz w:val="28"/>
          <w:szCs w:val="28"/>
        </w:rPr>
        <w:tab/>
      </w:r>
      <w:bookmarkStart w:id="9" w:name="_Toc205995391_WPSOffice_Level2Page"/>
      <w:r>
        <w:rPr>
          <w:rFonts w:hint="default" w:ascii="Times New Roman" w:hAnsi="Times New Roman" w:eastAsia="仿宋_GB2312" w:cs="Times New Roman"/>
          <w:sz w:val="28"/>
          <w:szCs w:val="28"/>
        </w:rPr>
        <w:t>10</w:t>
      </w:r>
      <w:bookmarkEnd w:id="9"/>
      <w:r>
        <w:rPr>
          <w:rFonts w:hint="default" w:ascii="Times New Roman" w:hAnsi="Times New Roman" w:eastAsia="仿宋_GB2312" w:cs="Times New Roman"/>
          <w:sz w:val="28"/>
          <w:szCs w:val="28"/>
        </w:rPr>
        <w:fldChar w:fldCharType="end"/>
      </w:r>
    </w:p>
    <w:p w14:paraId="294D83D5">
      <w:pPr>
        <w:pStyle w:val="22"/>
        <w:tabs>
          <w:tab w:val="right" w:leader="dot" w:pos="8844"/>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_Toc677436084_WPSOffice_Level2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二、上流式多相循环抗钙型厌氧反应器</w:t>
      </w:r>
      <w:r>
        <w:rPr>
          <w:rFonts w:hint="default" w:ascii="Times New Roman" w:hAnsi="Times New Roman" w:eastAsia="仿宋_GB2312" w:cs="Times New Roman"/>
          <w:sz w:val="28"/>
          <w:szCs w:val="28"/>
        </w:rPr>
        <w:tab/>
      </w:r>
      <w:bookmarkStart w:id="10" w:name="_Toc677436084_WPSOffice_Level2Page"/>
      <w:r>
        <w:rPr>
          <w:rFonts w:hint="default" w:ascii="Times New Roman" w:hAnsi="Times New Roman" w:eastAsia="仿宋_GB2312" w:cs="Times New Roman"/>
          <w:sz w:val="28"/>
          <w:szCs w:val="28"/>
        </w:rPr>
        <w:t>14</w:t>
      </w:r>
      <w:bookmarkEnd w:id="10"/>
      <w:r>
        <w:rPr>
          <w:rFonts w:hint="default" w:ascii="Times New Roman" w:hAnsi="Times New Roman" w:eastAsia="仿宋_GB2312" w:cs="Times New Roman"/>
          <w:sz w:val="28"/>
          <w:szCs w:val="28"/>
        </w:rPr>
        <w:fldChar w:fldCharType="end"/>
      </w:r>
    </w:p>
    <w:p w14:paraId="0FD7621C">
      <w:pPr>
        <w:pStyle w:val="22"/>
        <w:tabs>
          <w:tab w:val="right" w:leader="dot" w:pos="8844"/>
        </w:tabs>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_Toc1048871907_WPSOffice_Level2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三、DMBR双膜内循环生物反应器</w:t>
      </w:r>
      <w:r>
        <w:rPr>
          <w:rFonts w:hint="default" w:ascii="Times New Roman" w:hAnsi="Times New Roman" w:eastAsia="仿宋_GB2312" w:cs="Times New Roman"/>
          <w:sz w:val="28"/>
          <w:szCs w:val="28"/>
        </w:rPr>
        <w:tab/>
      </w:r>
      <w:bookmarkStart w:id="11" w:name="_Toc1048871907_WPSOffice_Level2Page"/>
      <w:r>
        <w:rPr>
          <w:rFonts w:hint="default" w:ascii="Times New Roman" w:hAnsi="Times New Roman" w:eastAsia="仿宋_GB2312" w:cs="Times New Roman"/>
          <w:sz w:val="28"/>
          <w:szCs w:val="28"/>
        </w:rPr>
        <w:t>18</w:t>
      </w:r>
      <w:bookmarkEnd w:id="11"/>
      <w:r>
        <w:rPr>
          <w:rFonts w:hint="default" w:ascii="Times New Roman" w:hAnsi="Times New Roman" w:eastAsia="仿宋_GB2312" w:cs="Times New Roman"/>
          <w:sz w:val="28"/>
          <w:szCs w:val="28"/>
        </w:rPr>
        <w:fldChar w:fldCharType="end"/>
      </w:r>
    </w:p>
    <w:p w14:paraId="15937EFC">
      <w:pPr>
        <w:pStyle w:val="22"/>
        <w:tabs>
          <w:tab w:val="right" w:leader="dot" w:pos="8844"/>
        </w:tabs>
        <w:rPr>
          <w:rFonts w:hint="eastAsia" w:ascii="仿宋" w:hAnsi="仿宋" w:eastAsia="仿宋" w:cs="仿宋"/>
          <w:sz w:val="28"/>
          <w:szCs w:val="28"/>
        </w:rPr>
      </w:pP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HYPERLINK \l _Toc1740180926_WPSOffice_Level2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四、上流式多相废水处理氧化塔</w:t>
      </w:r>
      <w:r>
        <w:rPr>
          <w:rFonts w:hint="default" w:ascii="Times New Roman" w:hAnsi="Times New Roman" w:eastAsia="仿宋_GB2312" w:cs="Times New Roman"/>
          <w:sz w:val="28"/>
          <w:szCs w:val="28"/>
        </w:rPr>
        <w:tab/>
      </w:r>
      <w:bookmarkStart w:id="12" w:name="_Toc1740180926_WPSOffice_Level2Page"/>
      <w:r>
        <w:rPr>
          <w:rFonts w:hint="default" w:ascii="Times New Roman" w:hAnsi="Times New Roman" w:eastAsia="仿宋_GB2312" w:cs="Times New Roman"/>
          <w:sz w:val="28"/>
          <w:szCs w:val="28"/>
        </w:rPr>
        <w:t>22</w:t>
      </w:r>
      <w:bookmarkEnd w:id="12"/>
      <w:r>
        <w:rPr>
          <w:rFonts w:hint="default" w:ascii="Times New Roman" w:hAnsi="Times New Roman" w:eastAsia="仿宋_GB2312" w:cs="Times New Roman"/>
          <w:sz w:val="28"/>
          <w:szCs w:val="28"/>
        </w:rPr>
        <w:fldChar w:fldCharType="end"/>
      </w:r>
      <w:bookmarkEnd w:id="6"/>
    </w:p>
    <w:p w14:paraId="0C546FE0">
      <w:pPr>
        <w:pStyle w:val="22"/>
        <w:tabs>
          <w:tab w:val="right" w:leader="dot" w:pos="8844"/>
        </w:tabs>
        <w:rPr>
          <w:rFonts w:hint="eastAsia" w:ascii="宋体" w:hAnsi="宋体"/>
        </w:rPr>
        <w:sectPr>
          <w:footerReference r:id="rId7" w:type="default"/>
          <w:pgSz w:w="11906" w:h="16838"/>
          <w:pgMar w:top="2098" w:right="1531" w:bottom="1417" w:left="1531" w:header="851" w:footer="1417" w:gutter="0"/>
          <w:pgNumType w:fmt="decimal"/>
          <w:cols w:space="720" w:num="1"/>
          <w:docGrid w:type="lines" w:linePitch="312" w:charSpace="0"/>
        </w:sectPr>
      </w:pPr>
    </w:p>
    <w:p w14:paraId="0AF7C7DF">
      <w:pPr>
        <w:spacing w:after="100" w:afterAutospacing="1"/>
        <w:jc w:val="center"/>
        <w:rPr>
          <w:rFonts w:hint="eastAsia" w:ascii="宋体" w:hAnsi="宋体"/>
          <w:b/>
          <w:sz w:val="36"/>
          <w:szCs w:val="36"/>
        </w:rPr>
      </w:pPr>
    </w:p>
    <w:p w14:paraId="14E199D4">
      <w:pPr>
        <w:spacing w:after="100" w:afterAutospacing="1"/>
        <w:jc w:val="center"/>
        <w:rPr>
          <w:rFonts w:hint="eastAsia" w:ascii="宋体" w:hAnsi="宋体"/>
          <w:b/>
          <w:sz w:val="36"/>
          <w:szCs w:val="36"/>
        </w:rPr>
      </w:pPr>
    </w:p>
    <w:p w14:paraId="5002563E">
      <w:pPr>
        <w:spacing w:after="100" w:afterAutospacing="1"/>
        <w:jc w:val="center"/>
        <w:rPr>
          <w:rFonts w:hint="eastAsia" w:ascii="宋体" w:hAnsi="宋体"/>
          <w:b/>
          <w:sz w:val="36"/>
          <w:szCs w:val="36"/>
        </w:rPr>
      </w:pPr>
    </w:p>
    <w:p w14:paraId="594A30F6">
      <w:pPr>
        <w:spacing w:after="100" w:afterAutospacing="1"/>
        <w:jc w:val="center"/>
        <w:rPr>
          <w:rFonts w:hint="eastAsia" w:ascii="宋体" w:hAnsi="宋体"/>
          <w:b/>
          <w:sz w:val="36"/>
          <w:szCs w:val="36"/>
        </w:rPr>
      </w:pPr>
    </w:p>
    <w:p w14:paraId="0D143E21">
      <w:pPr>
        <w:spacing w:after="100" w:afterAutospacing="1"/>
        <w:jc w:val="center"/>
        <w:rPr>
          <w:rFonts w:hint="eastAsia" w:ascii="宋体" w:hAnsi="宋体"/>
          <w:b/>
          <w:sz w:val="36"/>
          <w:szCs w:val="36"/>
        </w:rPr>
      </w:pPr>
    </w:p>
    <w:p w14:paraId="37DD87AA">
      <w:pPr>
        <w:spacing w:after="100" w:afterAutospacing="1"/>
        <w:jc w:val="center"/>
        <w:rPr>
          <w:rFonts w:hint="eastAsia" w:ascii="宋体" w:hAnsi="宋体"/>
          <w:b/>
          <w:sz w:val="36"/>
          <w:szCs w:val="36"/>
        </w:rPr>
      </w:pPr>
    </w:p>
    <w:p w14:paraId="5C79AB19">
      <w:pPr>
        <w:pStyle w:val="4"/>
        <w:jc w:val="center"/>
        <w:rPr>
          <w:rFonts w:ascii="方正小标宋简体" w:eastAsia="方正小标宋简体"/>
        </w:rPr>
      </w:pPr>
      <w:bookmarkStart w:id="13" w:name="_Toc466572604_WPSOffice_Level1"/>
      <w:bookmarkStart w:id="14" w:name="_Toc182325840"/>
      <w:r>
        <w:rPr>
          <w:rFonts w:hint="eastAsia" w:ascii="方正小标宋简体" w:eastAsia="方正小标宋简体"/>
        </w:rPr>
        <w:t>第一部分  技术目录</w:t>
      </w:r>
      <w:bookmarkEnd w:id="13"/>
      <w:bookmarkEnd w:id="14"/>
    </w:p>
    <w:p w14:paraId="7B67C674">
      <w:pPr>
        <w:spacing w:line="200" w:lineRule="exact"/>
        <w:rPr>
          <w:rFonts w:hint="eastAsia" w:ascii="宋体" w:hAnsi="宋体"/>
          <w:sz w:val="36"/>
          <w:szCs w:val="36"/>
        </w:rPr>
      </w:pPr>
      <w:r>
        <w:rPr>
          <w:rFonts w:hint="eastAsia" w:ascii="方正小标宋简体" w:eastAsia="方正小标宋简体"/>
        </w:rPr>
        <w:br w:type="page"/>
      </w:r>
    </w:p>
    <w:tbl>
      <w:tblPr>
        <w:tblStyle w:val="13"/>
        <w:tblpPr w:leftFromText="180" w:rightFromText="180" w:vertAnchor="text" w:horzAnchor="page" w:tblpX="1506" w:tblpY="213"/>
        <w:tblOverlap w:val="never"/>
        <w:tblW w:w="5272"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434"/>
        <w:gridCol w:w="872"/>
        <w:gridCol w:w="4504"/>
        <w:gridCol w:w="1601"/>
        <w:gridCol w:w="2142"/>
      </w:tblGrid>
      <w:tr w14:paraId="66F3A1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37" w:hRule="atLeast"/>
          <w:tblHeader/>
        </w:trPr>
        <w:tc>
          <w:tcPr>
            <w:tcW w:w="227" w:type="pct"/>
            <w:tcBorders>
              <w:top w:val="single" w:color="000000" w:sz="4" w:space="0"/>
              <w:left w:val="single" w:color="000000" w:sz="4" w:space="0"/>
              <w:bottom w:val="single" w:color="000000" w:sz="4" w:space="0"/>
              <w:right w:val="single" w:color="000000" w:sz="4" w:space="0"/>
            </w:tcBorders>
            <w:noWrap w:val="0"/>
            <w:vAlign w:val="center"/>
          </w:tcPr>
          <w:p w14:paraId="06569104">
            <w:pPr>
              <w:adjustRightInd w:val="0"/>
              <w:snapToGrid w:val="0"/>
              <w:spacing w:line="320" w:lineRule="exact"/>
              <w:jc w:val="center"/>
              <w:rPr>
                <w:rFonts w:hint="eastAsia" w:ascii="黑体" w:hAnsi="黑体" w:eastAsia="黑体" w:cs="黑体"/>
                <w:b w:val="0"/>
                <w:bCs/>
                <w:sz w:val="21"/>
                <w:szCs w:val="21"/>
              </w:rPr>
            </w:pPr>
            <w:r>
              <w:rPr>
                <w:rFonts w:hint="eastAsia" w:ascii="黑体" w:hAnsi="黑体" w:eastAsia="黑体" w:cs="黑体"/>
                <w:b w:val="0"/>
                <w:bCs/>
                <w:sz w:val="21"/>
                <w:szCs w:val="21"/>
              </w:rPr>
              <w:t>序号</w:t>
            </w:r>
          </w:p>
        </w:tc>
        <w:tc>
          <w:tcPr>
            <w:tcW w:w="456" w:type="pct"/>
            <w:tcBorders>
              <w:top w:val="single" w:color="000000" w:sz="4" w:space="0"/>
              <w:left w:val="single" w:color="000000" w:sz="4" w:space="0"/>
              <w:bottom w:val="single" w:color="000000" w:sz="4" w:space="0"/>
              <w:right w:val="single" w:color="000000" w:sz="4" w:space="0"/>
            </w:tcBorders>
            <w:noWrap w:val="0"/>
            <w:vAlign w:val="center"/>
          </w:tcPr>
          <w:p w14:paraId="2B55F5ED">
            <w:pPr>
              <w:adjustRightInd w:val="0"/>
              <w:snapToGrid w:val="0"/>
              <w:spacing w:line="320" w:lineRule="exact"/>
              <w:jc w:val="center"/>
              <w:rPr>
                <w:rFonts w:hint="eastAsia" w:ascii="黑体" w:hAnsi="黑体" w:eastAsia="黑体" w:cs="黑体"/>
                <w:b w:val="0"/>
                <w:bCs/>
                <w:sz w:val="21"/>
                <w:szCs w:val="21"/>
              </w:rPr>
            </w:pPr>
            <w:r>
              <w:rPr>
                <w:rFonts w:hint="eastAsia" w:ascii="黑体" w:hAnsi="黑体" w:eastAsia="黑体" w:cs="黑体"/>
                <w:b w:val="0"/>
                <w:bCs/>
                <w:sz w:val="21"/>
                <w:szCs w:val="21"/>
              </w:rPr>
              <w:t>技术</w:t>
            </w:r>
          </w:p>
          <w:p w14:paraId="06CD2CAE">
            <w:pPr>
              <w:adjustRightInd w:val="0"/>
              <w:snapToGrid w:val="0"/>
              <w:spacing w:line="320" w:lineRule="exact"/>
              <w:jc w:val="center"/>
              <w:rPr>
                <w:rFonts w:hint="eastAsia" w:ascii="黑体" w:hAnsi="黑体" w:eastAsia="黑体" w:cs="黑体"/>
                <w:b w:val="0"/>
                <w:bCs/>
                <w:sz w:val="21"/>
                <w:szCs w:val="21"/>
              </w:rPr>
            </w:pPr>
            <w:r>
              <w:rPr>
                <w:rFonts w:hint="eastAsia" w:ascii="黑体" w:hAnsi="黑体" w:eastAsia="黑体" w:cs="黑体"/>
                <w:b w:val="0"/>
                <w:bCs/>
                <w:sz w:val="21"/>
                <w:szCs w:val="21"/>
              </w:rPr>
              <w:t>名称</w:t>
            </w:r>
          </w:p>
        </w:tc>
        <w:tc>
          <w:tcPr>
            <w:tcW w:w="2357" w:type="pct"/>
            <w:tcBorders>
              <w:top w:val="single" w:color="000000" w:sz="4" w:space="0"/>
              <w:left w:val="single" w:color="000000" w:sz="4" w:space="0"/>
              <w:bottom w:val="single" w:color="000000" w:sz="4" w:space="0"/>
              <w:right w:val="single" w:color="000000" w:sz="4" w:space="0"/>
            </w:tcBorders>
            <w:noWrap w:val="0"/>
            <w:vAlign w:val="center"/>
          </w:tcPr>
          <w:p w14:paraId="678EF721">
            <w:pPr>
              <w:adjustRightInd w:val="0"/>
              <w:snapToGrid w:val="0"/>
              <w:spacing w:line="320" w:lineRule="exact"/>
              <w:jc w:val="center"/>
              <w:rPr>
                <w:rFonts w:hint="eastAsia" w:ascii="黑体" w:hAnsi="黑体" w:eastAsia="黑体" w:cs="黑体"/>
                <w:b w:val="0"/>
                <w:bCs/>
                <w:sz w:val="21"/>
                <w:szCs w:val="21"/>
              </w:rPr>
            </w:pPr>
            <w:r>
              <w:rPr>
                <w:rFonts w:hint="eastAsia" w:ascii="黑体" w:hAnsi="黑体" w:eastAsia="黑体" w:cs="黑体"/>
                <w:b w:val="0"/>
                <w:bCs/>
                <w:sz w:val="21"/>
                <w:szCs w:val="21"/>
              </w:rPr>
              <w:t>技术简要说明</w:t>
            </w:r>
          </w:p>
        </w:tc>
        <w:tc>
          <w:tcPr>
            <w:tcW w:w="838" w:type="pct"/>
            <w:tcBorders>
              <w:top w:val="single" w:color="000000" w:sz="4" w:space="0"/>
              <w:left w:val="single" w:color="000000" w:sz="4" w:space="0"/>
              <w:bottom w:val="single" w:color="000000" w:sz="4" w:space="0"/>
              <w:right w:val="single" w:color="000000" w:sz="4" w:space="0"/>
            </w:tcBorders>
            <w:noWrap w:val="0"/>
            <w:vAlign w:val="center"/>
          </w:tcPr>
          <w:p w14:paraId="1B01AE6E">
            <w:pPr>
              <w:adjustRightInd w:val="0"/>
              <w:snapToGrid w:val="0"/>
              <w:spacing w:line="320" w:lineRule="exact"/>
              <w:jc w:val="center"/>
              <w:rPr>
                <w:rFonts w:hint="eastAsia" w:ascii="黑体" w:hAnsi="黑体" w:eastAsia="黑体" w:cs="黑体"/>
                <w:b w:val="0"/>
                <w:bCs/>
                <w:sz w:val="21"/>
                <w:szCs w:val="21"/>
              </w:rPr>
            </w:pPr>
            <w:r>
              <w:rPr>
                <w:rFonts w:hint="eastAsia" w:ascii="黑体" w:hAnsi="黑体" w:eastAsia="黑体" w:cs="黑体"/>
                <w:b w:val="0"/>
                <w:bCs/>
                <w:sz w:val="21"/>
                <w:szCs w:val="21"/>
              </w:rPr>
              <w:t>适用范围</w:t>
            </w:r>
          </w:p>
        </w:tc>
        <w:tc>
          <w:tcPr>
            <w:tcW w:w="1121" w:type="pct"/>
            <w:tcBorders>
              <w:top w:val="single" w:color="000000" w:sz="4" w:space="0"/>
              <w:left w:val="single" w:color="000000" w:sz="4" w:space="0"/>
              <w:bottom w:val="single" w:color="000000" w:sz="4" w:space="0"/>
              <w:right w:val="single" w:color="000000" w:sz="4" w:space="0"/>
            </w:tcBorders>
            <w:noWrap w:val="0"/>
            <w:vAlign w:val="center"/>
          </w:tcPr>
          <w:p w14:paraId="6B5D3B6E">
            <w:pPr>
              <w:adjustRightInd w:val="0"/>
              <w:snapToGrid w:val="0"/>
              <w:spacing w:line="320" w:lineRule="exact"/>
              <w:jc w:val="center"/>
              <w:rPr>
                <w:rFonts w:hint="eastAsia" w:ascii="黑体" w:hAnsi="黑体" w:eastAsia="黑体" w:cs="黑体"/>
                <w:b w:val="0"/>
                <w:bCs/>
                <w:sz w:val="21"/>
                <w:szCs w:val="21"/>
              </w:rPr>
            </w:pPr>
            <w:r>
              <w:rPr>
                <w:rFonts w:hint="eastAsia" w:ascii="黑体" w:hAnsi="黑体" w:eastAsia="黑体" w:cs="黑体"/>
                <w:b w:val="0"/>
                <w:bCs/>
                <w:sz w:val="21"/>
                <w:szCs w:val="21"/>
              </w:rPr>
              <w:t>示范应用情况</w:t>
            </w:r>
          </w:p>
        </w:tc>
      </w:tr>
      <w:tr w14:paraId="547BC7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385" w:hRule="atLeast"/>
        </w:trPr>
        <w:tc>
          <w:tcPr>
            <w:tcW w:w="227" w:type="pct"/>
            <w:tcBorders>
              <w:top w:val="single" w:color="000000" w:sz="4" w:space="0"/>
              <w:left w:val="single" w:color="000000" w:sz="4" w:space="0"/>
              <w:bottom w:val="single" w:color="000000" w:sz="4" w:space="0"/>
              <w:right w:val="single" w:color="000000" w:sz="4" w:space="0"/>
            </w:tcBorders>
            <w:noWrap w:val="0"/>
            <w:vAlign w:val="center"/>
          </w:tcPr>
          <w:p w14:paraId="0BB63214">
            <w:pPr>
              <w:spacing w:line="360" w:lineRule="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1</w:t>
            </w:r>
          </w:p>
        </w:tc>
        <w:tc>
          <w:tcPr>
            <w:tcW w:w="456" w:type="pct"/>
            <w:tcBorders>
              <w:top w:val="single" w:color="000000" w:sz="4" w:space="0"/>
              <w:left w:val="single" w:color="000000" w:sz="4" w:space="0"/>
              <w:bottom w:val="single" w:color="000000" w:sz="4" w:space="0"/>
              <w:right w:val="single" w:color="000000" w:sz="4" w:space="0"/>
            </w:tcBorders>
            <w:noWrap w:val="0"/>
            <w:vAlign w:val="center"/>
          </w:tcPr>
          <w:p w14:paraId="2326E5B8">
            <w:pPr>
              <w:spacing w:line="360" w:lineRule="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用于白酒废水处理的同步脱氮-自养脱氮联合处理技术</w:t>
            </w:r>
          </w:p>
        </w:tc>
        <w:tc>
          <w:tcPr>
            <w:tcW w:w="2357" w:type="pct"/>
            <w:tcBorders>
              <w:top w:val="single" w:color="000000" w:sz="4" w:space="0"/>
              <w:left w:val="single" w:color="000000" w:sz="4" w:space="0"/>
              <w:bottom w:val="single" w:color="000000" w:sz="4" w:space="0"/>
              <w:right w:val="single" w:color="000000" w:sz="4" w:space="0"/>
            </w:tcBorders>
            <w:noWrap w:val="0"/>
            <w:vAlign w:val="center"/>
          </w:tcPr>
          <w:p w14:paraId="5E341FD8">
            <w:pPr>
              <w:spacing w:line="360" w:lineRule="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1）本技术方案流程为：预处理→不完全厌氧消化和完全厌氧消化联合处理→泥水分离→同步脱氮→短程硝化→自养生物脱氮→深度处理。（2）本技术解决纯硫填充床脱硝在白酒废水深度脱硝运行的稳定性和可靠性。确定纯硫填充床生产运行负荷及其他参数，实现自养生物脱氮技术在白酒废水中的应用。（3）采用同步脱氮-短程硝化-深度自养脱氮代替传统的A/O脱氮工艺，脱氮负荷高，反应池容积小，能耗低，污泥产量少，而且不需要外加碳源。</w:t>
            </w:r>
          </w:p>
        </w:tc>
        <w:tc>
          <w:tcPr>
            <w:tcW w:w="838" w:type="pct"/>
            <w:tcBorders>
              <w:top w:val="single" w:color="000000" w:sz="4" w:space="0"/>
              <w:left w:val="single" w:color="000000" w:sz="4" w:space="0"/>
              <w:bottom w:val="single" w:color="000000" w:sz="4" w:space="0"/>
              <w:right w:val="single" w:color="000000" w:sz="4" w:space="0"/>
            </w:tcBorders>
            <w:noWrap w:val="0"/>
            <w:vAlign w:val="center"/>
          </w:tcPr>
          <w:p w14:paraId="07C4E6FE">
            <w:pPr>
              <w:spacing w:line="300" w:lineRule="exact"/>
              <w:jc w:val="both"/>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pacing w:val="-11"/>
                <w:sz w:val="21"/>
                <w:szCs w:val="21"/>
              </w:rPr>
              <w:t>适用于废水中COD浓度小于18000mg/L，氨氮浓度小于400mg/L，总氮小于500mg/L，总磷小于150mg/L，氯离子浓度小于1000mg/L。</w:t>
            </w:r>
          </w:p>
        </w:tc>
        <w:tc>
          <w:tcPr>
            <w:tcW w:w="1121" w:type="pct"/>
            <w:tcBorders>
              <w:top w:val="single" w:color="000000" w:sz="4" w:space="0"/>
              <w:left w:val="single" w:color="000000" w:sz="4" w:space="0"/>
              <w:bottom w:val="single" w:color="000000" w:sz="4" w:space="0"/>
              <w:right w:val="single" w:color="000000" w:sz="4" w:space="0"/>
            </w:tcBorders>
            <w:noWrap w:val="0"/>
            <w:vAlign w:val="center"/>
          </w:tcPr>
          <w:p w14:paraId="17991F8F">
            <w:pPr>
              <w:spacing w:line="360" w:lineRule="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该技术在仁怀市名酒工业园区第一集中净水厂、第三集中净水厂和仁怀市陈家咀白酒废水处理厂中实现了工程化应用，为其他高浓度有机废水的处理起到了典型应用示范作用。</w:t>
            </w:r>
          </w:p>
        </w:tc>
      </w:tr>
      <w:tr w14:paraId="36274E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19" w:hRule="atLeast"/>
        </w:trPr>
        <w:tc>
          <w:tcPr>
            <w:tcW w:w="227" w:type="pct"/>
            <w:tcBorders>
              <w:top w:val="single" w:color="000000" w:sz="4" w:space="0"/>
              <w:left w:val="single" w:color="000000" w:sz="4" w:space="0"/>
              <w:bottom w:val="single" w:color="000000" w:sz="4" w:space="0"/>
              <w:right w:val="single" w:color="000000" w:sz="4" w:space="0"/>
            </w:tcBorders>
            <w:noWrap w:val="0"/>
            <w:vAlign w:val="center"/>
          </w:tcPr>
          <w:p w14:paraId="163C899B">
            <w:pPr>
              <w:spacing w:line="360" w:lineRule="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2</w:t>
            </w:r>
          </w:p>
        </w:tc>
        <w:tc>
          <w:tcPr>
            <w:tcW w:w="456" w:type="pct"/>
            <w:tcBorders>
              <w:top w:val="single" w:color="000000" w:sz="4" w:space="0"/>
              <w:left w:val="single" w:color="000000" w:sz="4" w:space="0"/>
              <w:bottom w:val="single" w:color="000000" w:sz="4" w:space="0"/>
              <w:right w:val="single" w:color="000000" w:sz="4" w:space="0"/>
            </w:tcBorders>
            <w:noWrap w:val="0"/>
            <w:vAlign w:val="center"/>
          </w:tcPr>
          <w:p w14:paraId="082BE37D">
            <w:pPr>
              <w:spacing w:line="360" w:lineRule="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上流式多相循环抗钙型厌氧反应器</w:t>
            </w:r>
          </w:p>
        </w:tc>
        <w:tc>
          <w:tcPr>
            <w:tcW w:w="2357" w:type="pct"/>
            <w:tcBorders>
              <w:top w:val="single" w:color="000000" w:sz="4" w:space="0"/>
              <w:left w:val="single" w:color="000000" w:sz="4" w:space="0"/>
              <w:bottom w:val="single" w:color="000000" w:sz="4" w:space="0"/>
              <w:right w:val="single" w:color="000000" w:sz="4" w:space="0"/>
            </w:tcBorders>
            <w:noWrap w:val="0"/>
            <w:vAlign w:val="center"/>
          </w:tcPr>
          <w:p w14:paraId="1274DD4D">
            <w:pPr>
              <w:spacing w:line="360" w:lineRule="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针对第三代厌氧反应器处理再生纸造纸废水，易发生系统钙化，导致系统运行处理效率降低的问题，研究反应器内颗粒污泥生境调控与多维多相流态控制对颗粒污泥钙化过程的抑制作用，开发一套新型的抗钙化运行厌氧反应器，能够在钙离子浓度800~1200mg/L的高钙环境下稳定运行，并在产业化规模中试平台放大研究，建立示范项目开展长期的系统优化及数据收集。解决高钙废水厌氧处理污泥钙化、钙截留量大、COD去除率低、处理效果不稳定等问题。</w:t>
            </w:r>
          </w:p>
        </w:tc>
        <w:tc>
          <w:tcPr>
            <w:tcW w:w="838" w:type="pct"/>
            <w:tcBorders>
              <w:top w:val="single" w:color="000000" w:sz="4" w:space="0"/>
              <w:left w:val="single" w:color="000000" w:sz="4" w:space="0"/>
              <w:bottom w:val="single" w:color="000000" w:sz="4" w:space="0"/>
              <w:right w:val="single" w:color="000000" w:sz="4" w:space="0"/>
            </w:tcBorders>
            <w:noWrap w:val="0"/>
            <w:vAlign w:val="center"/>
          </w:tcPr>
          <w:p w14:paraId="213F6A2D">
            <w:pPr>
              <w:spacing w:line="300" w:lineRule="exact"/>
              <w:jc w:val="both"/>
              <w:rPr>
                <w:rFonts w:hint="default" w:ascii="Times New Roman" w:hAnsi="Times New Roman" w:eastAsia="仿宋_GB2312" w:cs="Times New Roman"/>
                <w:color w:val="000000"/>
                <w:spacing w:val="-11"/>
                <w:sz w:val="21"/>
                <w:szCs w:val="21"/>
              </w:rPr>
            </w:pPr>
            <w:r>
              <w:rPr>
                <w:rFonts w:hint="default" w:ascii="Times New Roman" w:hAnsi="Times New Roman" w:eastAsia="仿宋_GB2312" w:cs="Times New Roman"/>
                <w:color w:val="000000"/>
                <w:spacing w:val="-11"/>
                <w:sz w:val="21"/>
                <w:szCs w:val="21"/>
              </w:rPr>
              <w:t>适用于进水含SCOD浓度高达5000mg/L和COD浓度高达1500mg/L废水；容积负荷范围为8-18kgCOD/m</w:t>
            </w:r>
            <w:r>
              <w:rPr>
                <w:rFonts w:hint="default" w:ascii="Times New Roman" w:hAnsi="Times New Roman" w:eastAsia="仿宋_GB2312" w:cs="Times New Roman"/>
                <w:color w:val="000000"/>
                <w:spacing w:val="-11"/>
                <w:sz w:val="21"/>
                <w:szCs w:val="21"/>
                <w:vertAlign w:val="baseline"/>
              </w:rPr>
              <w:t>3</w:t>
            </w:r>
            <w:r>
              <w:rPr>
                <w:rFonts w:hint="default" w:ascii="Times New Roman" w:hAnsi="Times New Roman" w:eastAsia="仿宋_GB2312" w:cs="Times New Roman"/>
                <w:color w:val="000000"/>
                <w:spacing w:val="-11"/>
                <w:sz w:val="21"/>
                <w:szCs w:val="21"/>
              </w:rPr>
              <w:t>，反应器高度20-28m，有效缩减占地面积。</w:t>
            </w:r>
          </w:p>
          <w:p w14:paraId="02883B98">
            <w:pPr>
              <w:spacing w:line="360" w:lineRule="auto"/>
              <w:rPr>
                <w:rFonts w:hint="default" w:ascii="Times New Roman" w:hAnsi="Times New Roman" w:eastAsia="仿宋_GB2312" w:cs="Times New Roman"/>
                <w:color w:val="000000"/>
                <w:sz w:val="21"/>
                <w:szCs w:val="21"/>
              </w:rPr>
            </w:pPr>
          </w:p>
        </w:tc>
        <w:tc>
          <w:tcPr>
            <w:tcW w:w="1121" w:type="pct"/>
            <w:tcBorders>
              <w:top w:val="single" w:color="000000" w:sz="4" w:space="0"/>
              <w:left w:val="single" w:color="000000" w:sz="4" w:space="0"/>
              <w:bottom w:val="single" w:color="000000" w:sz="4" w:space="0"/>
              <w:right w:val="single" w:color="000000" w:sz="4" w:space="0"/>
            </w:tcBorders>
            <w:noWrap w:val="0"/>
            <w:vAlign w:val="center"/>
          </w:tcPr>
          <w:p w14:paraId="16AC7882">
            <w:pPr>
              <w:spacing w:line="300" w:lineRule="exact"/>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pacing w:val="-17"/>
                <w:sz w:val="21"/>
                <w:szCs w:val="21"/>
              </w:rPr>
              <w:t>应用于潮州市潮安区弘和纸品有限公司污水处理系统技改项目，进水SCOD≤5000mg/L，出水SCOD≤2000mg/L；应用于可口可乐（广西）饮料有限公司1000T/D 废水处理工程，进水COD 2500mg/L以内，出水COD小于500mg/L。</w:t>
            </w:r>
          </w:p>
        </w:tc>
      </w:tr>
      <w:tr w14:paraId="7FAE7F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27" w:type="pct"/>
            <w:tcBorders>
              <w:top w:val="single" w:color="000000" w:sz="4" w:space="0"/>
              <w:left w:val="single" w:color="000000" w:sz="4" w:space="0"/>
              <w:bottom w:val="single" w:color="000000" w:sz="4" w:space="0"/>
              <w:right w:val="single" w:color="000000" w:sz="4" w:space="0"/>
            </w:tcBorders>
            <w:noWrap w:val="0"/>
            <w:vAlign w:val="center"/>
          </w:tcPr>
          <w:p w14:paraId="60E39C39">
            <w:pPr>
              <w:spacing w:line="360" w:lineRule="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3</w:t>
            </w:r>
          </w:p>
        </w:tc>
        <w:tc>
          <w:tcPr>
            <w:tcW w:w="456" w:type="pct"/>
            <w:tcBorders>
              <w:top w:val="single" w:color="000000" w:sz="4" w:space="0"/>
              <w:left w:val="single" w:color="000000" w:sz="4" w:space="0"/>
              <w:bottom w:val="single" w:color="000000" w:sz="4" w:space="0"/>
              <w:right w:val="single" w:color="000000" w:sz="4" w:space="0"/>
            </w:tcBorders>
            <w:noWrap w:val="0"/>
            <w:vAlign w:val="center"/>
          </w:tcPr>
          <w:p w14:paraId="1A0455D0">
            <w:pPr>
              <w:spacing w:line="360" w:lineRule="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DMBR双膜内循环生物反应器</w:t>
            </w:r>
          </w:p>
        </w:tc>
        <w:tc>
          <w:tcPr>
            <w:tcW w:w="2357" w:type="pct"/>
            <w:tcBorders>
              <w:top w:val="single" w:color="000000" w:sz="4" w:space="0"/>
              <w:left w:val="single" w:color="000000" w:sz="4" w:space="0"/>
              <w:bottom w:val="single" w:color="000000" w:sz="4" w:space="0"/>
              <w:right w:val="single" w:color="000000" w:sz="4" w:space="0"/>
            </w:tcBorders>
            <w:noWrap w:val="0"/>
            <w:vAlign w:val="center"/>
          </w:tcPr>
          <w:p w14:paraId="018F38AF">
            <w:pPr>
              <w:spacing w:line="360" w:lineRule="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DMBR技术通过将生物膜技术、间歇曝气技术、膜分离技术有机结合，在反应器内构建生物膜反应区和微滤膜过滤区，提高了系统的处理效率和稳定性。通过间歇曝气技术，在生物膜反应区形成厌氧-缺氧-好氧的微生物生长环境，完成厌氧释磷、缺氧脱氮和好氧吸磷反应，实现同步脱氮除磷。采用自主研发抗污染PVDF中空纤维膜耦合膜阻垢剂，解决传统MBR系统在处理过程中遇到的膜污染和运行成本问题。</w:t>
            </w:r>
          </w:p>
        </w:tc>
        <w:tc>
          <w:tcPr>
            <w:tcW w:w="838" w:type="pct"/>
            <w:tcBorders>
              <w:top w:val="single" w:color="000000" w:sz="4" w:space="0"/>
              <w:left w:val="single" w:color="000000" w:sz="4" w:space="0"/>
              <w:bottom w:val="single" w:color="000000" w:sz="4" w:space="0"/>
              <w:right w:val="single" w:color="000000" w:sz="4" w:space="0"/>
            </w:tcBorders>
            <w:noWrap w:val="0"/>
            <w:vAlign w:val="center"/>
          </w:tcPr>
          <w:p w14:paraId="0B13684D">
            <w:pPr>
              <w:spacing w:line="360" w:lineRule="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DMBR技术主要用于中、小规模生活污水治理，如建制镇和乡村生活污水处理、旅游景区生活污水处理、综合性医院污水处理等废水治理</w:t>
            </w:r>
          </w:p>
        </w:tc>
        <w:tc>
          <w:tcPr>
            <w:tcW w:w="1121" w:type="pct"/>
            <w:tcBorders>
              <w:top w:val="single" w:color="000000" w:sz="4" w:space="0"/>
              <w:left w:val="single" w:color="000000" w:sz="4" w:space="0"/>
              <w:bottom w:val="single" w:color="000000" w:sz="4" w:space="0"/>
              <w:right w:val="single" w:color="000000" w:sz="4" w:space="0"/>
            </w:tcBorders>
            <w:noWrap w:val="0"/>
            <w:vAlign w:val="center"/>
          </w:tcPr>
          <w:p w14:paraId="720C05EC">
            <w:pPr>
              <w:spacing w:line="360" w:lineRule="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截至2024年，已在广西梧州龙圩区、北海市铁山港区、来宾市兴宾区、隆安县、都安县等市县乡镇污水处理厂推广实施50多个工程案例，均稳定运行，起到了典型技术示范作用。</w:t>
            </w:r>
          </w:p>
        </w:tc>
      </w:tr>
      <w:tr w14:paraId="1AD242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atLeast"/>
        </w:trPr>
        <w:tc>
          <w:tcPr>
            <w:tcW w:w="227" w:type="pct"/>
            <w:tcBorders>
              <w:top w:val="single" w:color="000000" w:sz="4" w:space="0"/>
              <w:left w:val="single" w:color="000000" w:sz="4" w:space="0"/>
              <w:bottom w:val="single" w:color="000000" w:sz="4" w:space="0"/>
              <w:right w:val="single" w:color="000000" w:sz="4" w:space="0"/>
            </w:tcBorders>
            <w:noWrap w:val="0"/>
            <w:vAlign w:val="center"/>
          </w:tcPr>
          <w:p w14:paraId="12105473">
            <w:pPr>
              <w:spacing w:line="360" w:lineRule="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4</w:t>
            </w:r>
          </w:p>
        </w:tc>
        <w:tc>
          <w:tcPr>
            <w:tcW w:w="456" w:type="pct"/>
            <w:tcBorders>
              <w:top w:val="single" w:color="000000" w:sz="4" w:space="0"/>
              <w:left w:val="single" w:color="000000" w:sz="4" w:space="0"/>
              <w:bottom w:val="single" w:color="000000" w:sz="4" w:space="0"/>
              <w:right w:val="single" w:color="000000" w:sz="4" w:space="0"/>
            </w:tcBorders>
            <w:noWrap w:val="0"/>
            <w:vAlign w:val="center"/>
          </w:tcPr>
          <w:p w14:paraId="47A366A3">
            <w:pPr>
              <w:spacing w:line="360" w:lineRule="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上流式多相废水处理氧化塔</w:t>
            </w:r>
          </w:p>
        </w:tc>
        <w:tc>
          <w:tcPr>
            <w:tcW w:w="2357" w:type="pct"/>
            <w:tcBorders>
              <w:top w:val="single" w:color="000000" w:sz="4" w:space="0"/>
              <w:left w:val="single" w:color="000000" w:sz="4" w:space="0"/>
              <w:bottom w:val="single" w:color="000000" w:sz="4" w:space="0"/>
              <w:right w:val="single" w:color="000000" w:sz="4" w:space="0"/>
            </w:tcBorders>
            <w:noWrap w:val="0"/>
            <w:vAlign w:val="center"/>
          </w:tcPr>
          <w:p w14:paraId="5D92D268">
            <w:pPr>
              <w:spacing w:line="360" w:lineRule="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上流式多相废水处理氧化塔，对难生化降解工业废水进行深度处理，可使外排废水的水质稳定达到国家排放要求，确保工业废水处理后的外排废水水质达标，从而减少污染物排放，为新的环保排放标准提供工程产业化实施的途径，对保护环境及工业发展具有重要的意义。上流式多相废水处理氧化塔（UHOFe）融合了流化床技术、异相氧化技术和载体覆膜技术为一体，在完全氧化降解COD的同时，大大降低了运行成本。</w:t>
            </w:r>
          </w:p>
        </w:tc>
        <w:tc>
          <w:tcPr>
            <w:tcW w:w="838" w:type="pct"/>
            <w:tcBorders>
              <w:top w:val="single" w:color="000000" w:sz="4" w:space="0"/>
              <w:left w:val="single" w:color="000000" w:sz="4" w:space="0"/>
              <w:bottom w:val="single" w:color="000000" w:sz="4" w:space="0"/>
              <w:right w:val="single" w:color="000000" w:sz="4" w:space="0"/>
            </w:tcBorders>
            <w:noWrap w:val="0"/>
            <w:vAlign w:val="center"/>
          </w:tcPr>
          <w:p w14:paraId="4E9FC707">
            <w:pPr>
              <w:spacing w:line="360" w:lineRule="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上流式多相废水处理氧化塔及其难生化降解处理技术适用于造纸、医药行业废水和垃圾渗滤液等难生化降解废水处理。</w:t>
            </w:r>
          </w:p>
        </w:tc>
        <w:tc>
          <w:tcPr>
            <w:tcW w:w="1121" w:type="pct"/>
            <w:tcBorders>
              <w:top w:val="single" w:color="000000" w:sz="4" w:space="0"/>
              <w:left w:val="single" w:color="000000" w:sz="4" w:space="0"/>
              <w:bottom w:val="single" w:color="000000" w:sz="4" w:space="0"/>
              <w:right w:val="single" w:color="000000" w:sz="4" w:space="0"/>
            </w:tcBorders>
            <w:noWrap w:val="0"/>
            <w:vAlign w:val="center"/>
          </w:tcPr>
          <w:p w14:paraId="7DE763EE">
            <w:pPr>
              <w:spacing w:line="360" w:lineRule="auto"/>
              <w:rPr>
                <w:rFonts w:hint="default" w:ascii="Times New Roman" w:hAnsi="Times New Roman" w:eastAsia="仿宋_GB2312" w:cs="Times New Roman"/>
                <w:color w:val="000000"/>
                <w:sz w:val="21"/>
                <w:szCs w:val="21"/>
              </w:rPr>
            </w:pPr>
            <w:r>
              <w:rPr>
                <w:rFonts w:hint="default" w:ascii="Times New Roman" w:hAnsi="Times New Roman" w:eastAsia="仿宋_GB2312" w:cs="Times New Roman"/>
                <w:color w:val="000000"/>
                <w:sz w:val="21"/>
                <w:szCs w:val="21"/>
              </w:rPr>
              <w:t>应用于广西博冠纸业有限公司造纸与发酵废水资源化处理和超低碳排放优化，2013-2015年累计回收生物质能（厌氧沼气）1100万m</w:t>
            </w:r>
            <w:r>
              <w:rPr>
                <w:rFonts w:hint="default" w:ascii="Times New Roman" w:hAnsi="Times New Roman" w:eastAsia="仿宋_GB2312" w:cs="Times New Roman"/>
                <w:color w:val="000000"/>
                <w:sz w:val="21"/>
                <w:szCs w:val="21"/>
                <w:vertAlign w:val="baseline"/>
              </w:rPr>
              <w:t>3</w:t>
            </w:r>
            <w:r>
              <w:rPr>
                <w:rFonts w:hint="default" w:ascii="Times New Roman" w:hAnsi="Times New Roman" w:eastAsia="仿宋_GB2312" w:cs="Times New Roman"/>
                <w:color w:val="000000"/>
                <w:sz w:val="21"/>
                <w:szCs w:val="21"/>
              </w:rPr>
              <w:t>（甲烷含量＞95%）</w:t>
            </w:r>
          </w:p>
        </w:tc>
      </w:tr>
    </w:tbl>
    <w:p w14:paraId="6C77A930">
      <w:pPr>
        <w:spacing w:line="360" w:lineRule="auto"/>
        <w:rPr>
          <w:rFonts w:hint="default" w:ascii="Times New Roman" w:hAnsi="Times New Roman" w:eastAsia="仿宋_GB2312" w:cs="Times New Roman"/>
          <w:color w:val="000000"/>
          <w:sz w:val="21"/>
          <w:szCs w:val="21"/>
        </w:rPr>
        <w:sectPr>
          <w:footerReference r:id="rId8" w:type="default"/>
          <w:footerReference r:id="rId9" w:type="even"/>
          <w:pgSz w:w="11906" w:h="16838"/>
          <w:pgMar w:top="2098" w:right="1531" w:bottom="1417" w:left="1531" w:header="851" w:footer="1417" w:gutter="0"/>
          <w:pgNumType w:fmt="decimal"/>
          <w:cols w:space="720" w:num="1"/>
          <w:docGrid w:type="linesAndChars" w:linePitch="312" w:charSpace="0"/>
        </w:sectPr>
      </w:pPr>
    </w:p>
    <w:p w14:paraId="30246A03">
      <w:pPr>
        <w:spacing w:after="0" w:afterAutospacing="0" w:line="360" w:lineRule="auto"/>
        <w:jc w:val="left"/>
        <w:rPr>
          <w:rFonts w:hint="default" w:ascii="Times New Roman" w:hAnsi="Times New Roman" w:eastAsia="仿宋"/>
          <w:b w:val="0"/>
          <w:color w:val="000000"/>
          <w:sz w:val="21"/>
          <w:szCs w:val="21"/>
        </w:rPr>
      </w:pPr>
    </w:p>
    <w:p w14:paraId="0D433179">
      <w:pPr>
        <w:spacing w:after="100" w:afterAutospacing="1"/>
        <w:jc w:val="center"/>
        <w:rPr>
          <w:rFonts w:hint="eastAsia" w:ascii="宋体" w:hAnsi="宋体"/>
          <w:b/>
          <w:sz w:val="36"/>
          <w:szCs w:val="36"/>
        </w:rPr>
      </w:pPr>
    </w:p>
    <w:p w14:paraId="6701035A">
      <w:pPr>
        <w:spacing w:after="100" w:afterAutospacing="1"/>
        <w:jc w:val="center"/>
        <w:rPr>
          <w:rFonts w:hint="eastAsia" w:ascii="宋体" w:hAnsi="宋体"/>
          <w:b/>
          <w:sz w:val="36"/>
          <w:szCs w:val="36"/>
        </w:rPr>
      </w:pPr>
    </w:p>
    <w:p w14:paraId="501FAA08">
      <w:pPr>
        <w:spacing w:after="100" w:afterAutospacing="1"/>
        <w:jc w:val="center"/>
        <w:rPr>
          <w:rFonts w:hint="eastAsia" w:ascii="宋体" w:hAnsi="宋体"/>
          <w:b/>
          <w:sz w:val="36"/>
          <w:szCs w:val="36"/>
        </w:rPr>
      </w:pPr>
    </w:p>
    <w:p w14:paraId="0DFCCAF2">
      <w:pPr>
        <w:pStyle w:val="4"/>
        <w:jc w:val="center"/>
        <w:rPr>
          <w:rFonts w:ascii="方正小标宋简体" w:eastAsia="方正小标宋简体"/>
        </w:rPr>
      </w:pPr>
      <w:bookmarkStart w:id="15" w:name="_Toc182325841"/>
      <w:bookmarkStart w:id="16" w:name="_Toc1306508255_WPSOffice_Level1"/>
      <w:r>
        <w:rPr>
          <w:rFonts w:hint="eastAsia" w:ascii="方正小标宋简体" w:eastAsia="方正小标宋简体"/>
        </w:rPr>
        <w:t>第二部分  技术简介</w:t>
      </w:r>
      <w:bookmarkEnd w:id="15"/>
      <w:bookmarkEnd w:id="16"/>
    </w:p>
    <w:p w14:paraId="699EE702">
      <w:pPr>
        <w:pStyle w:val="5"/>
        <w:keepNext w:val="0"/>
        <w:keepLines w:val="0"/>
        <w:pageBreakBefore w:val="0"/>
        <w:widowControl w:val="0"/>
        <w:kinsoku/>
        <w:wordWrap/>
        <w:overflowPunct/>
        <w:topLinePunct w:val="0"/>
        <w:autoSpaceDE w:val="0"/>
        <w:autoSpaceDN w:val="0"/>
        <w:bidi w:val="0"/>
        <w:adjustRightInd/>
        <w:snapToGrid/>
        <w:spacing w:before="0" w:line="560" w:lineRule="exact"/>
        <w:ind w:left="0" w:firstLine="643" w:firstLineChars="200"/>
        <w:jc w:val="left"/>
        <w:textAlignment w:val="auto"/>
        <w:rPr>
          <w:rFonts w:hint="eastAsia" w:ascii="仿宋" w:hAnsi="仿宋" w:eastAsia="仿宋" w:cs="仿宋"/>
          <w:sz w:val="28"/>
          <w:szCs w:val="28"/>
        </w:rPr>
      </w:pPr>
      <w:r>
        <w:rPr>
          <w:rFonts w:hint="eastAsia"/>
          <w:szCs w:val="28"/>
        </w:rPr>
        <w:br w:type="page"/>
      </w:r>
      <w:bookmarkStart w:id="17" w:name="_Toc205995391_WPSOffice_Level2"/>
      <w:bookmarkStart w:id="18" w:name="_Toc182325842"/>
      <w:r>
        <w:rPr>
          <w:rFonts w:hint="eastAsia" w:ascii="黑体" w:hAnsi="黑体" w:eastAsia="黑体" w:cs="黑体"/>
          <w:b w:val="0"/>
          <w:bCs w:val="0"/>
          <w:sz w:val="28"/>
          <w:szCs w:val="28"/>
        </w:rPr>
        <w:t>一、用于白酒废水处理的同步脱氮-自养脱氮联合处理技术</w:t>
      </w:r>
      <w:bookmarkEnd w:id="17"/>
      <w:bookmarkEnd w:id="18"/>
    </w:p>
    <w:p w14:paraId="50DB4EB3">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1. 技术名称：</w:t>
      </w:r>
    </w:p>
    <w:p w14:paraId="3235B96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用于白酒废水处理的同步脱氮</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自养脱氮联合处理技术</w:t>
      </w:r>
    </w:p>
    <w:p w14:paraId="652C805E">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2. 适用行业：</w:t>
      </w:r>
    </w:p>
    <w:p w14:paraId="705A014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白酒酿造废水、垃圾渗滤液</w:t>
      </w:r>
    </w:p>
    <w:p w14:paraId="45781FB1">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3. 技术提供方：</w:t>
      </w:r>
    </w:p>
    <w:p w14:paraId="2358979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桂润环境科技股份有限公司</w:t>
      </w:r>
    </w:p>
    <w:p w14:paraId="42900688">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4. 技术内容：</w:t>
      </w:r>
    </w:p>
    <w:p w14:paraId="2626EE05">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（1）同步脱氮工艺研究：主要包括氨氧化菌（AOB）即亚硝酸细菌的积累和培养，同步脱氮A/O系统水质含氮污染物的形态转变观察与规律研究以及同步脱氮溶解氧自动控制系统开发。</w:t>
      </w:r>
    </w:p>
    <w:p w14:paraId="028DF2D6">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（2）短程硝化</w:t>
      </w:r>
      <w:r>
        <w:rPr>
          <w:rFonts w:hint="eastAsia" w:ascii="Times New Roman" w:hAnsi="Times New Roman" w:eastAsia="仿宋_GB2312" w:cs="Times New Roman"/>
          <w:sz w:val="28"/>
          <w:szCs w:val="28"/>
          <w:lang w:eastAsia="zh-CN"/>
        </w:rPr>
        <w:t>—</w:t>
      </w:r>
      <w:r>
        <w:rPr>
          <w:rFonts w:hint="default" w:ascii="Times New Roman" w:hAnsi="Times New Roman" w:eastAsia="仿宋_GB2312" w:cs="Times New Roman"/>
          <w:sz w:val="28"/>
          <w:szCs w:val="28"/>
        </w:rPr>
        <w:t>反硝化生物脱氮处理工艺研究：研究活性污泥关键控制参数（MLSS、DO、F/M、HRT、SRT等）对脱氮工艺的影响，研究亚硝酸盐累计控制、分布式硝化液循环控制和碳源替代可行性等内容，确定短程硝化-反硝化的关键技术参数</w:t>
      </w:r>
    </w:p>
    <w:p w14:paraId="23A1D65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深度自养生物脱氮工艺研究：研究通过利用纯硫填充床培育自养脱氮硫杆菌，用于深度处理白酒酿造废水二沉池产水，利用自养型脱氮硫杆菌将水中的硝态氮转化成氮气得以去除，降低或取消前端碳源的投加。</w:t>
      </w:r>
    </w:p>
    <w:p w14:paraId="6FCFEA42">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b/>
          <w:sz w:val="28"/>
          <w:szCs w:val="28"/>
        </w:rPr>
        <w:t>5. 环保效果：</w:t>
      </w:r>
    </w:p>
    <w:p w14:paraId="6B624A7D">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运用本项目同步脱氮-深度自养脱氮技术代替传统生物脱氮技术，可以承受较大、多变的废水冲击负荷，同时相较于传统生物脱氮技术，处理工艺系统脱氮效率高、抗冲击负荷能力增强，可实现系统的稳定连续运行，有效去除白酒酿造废水中的污染物质，降低废水色度。同时每去除1kg总氮约节约葡萄糖5kg，每去除1kg总氮约节约运行费用27.5元，脱氮过程有效降低了碳源的投加，碳排放减少，有效降低了脱氮环节的运行费用。同时，本案例工程陈家咀白酒废水处理厂出水排入陈家咀河沟后直接进入赤水河。赤水河流域生物资源丰富、自然景观优美、历史文化厚重，对构建长江上游生态安全屏障有着重要意义。正如波尔多之于葡萄酒，赤水河是孕育了超过60%中国名酒、超过85%酱香型白酒的美酒河。为此，将两岸酒企生产过程中产生的酿酒废水实现达标处理和排放，对于保护赤水河流域及其下游流域生态安全，确保白酒酿造用水纯净、优质，实现白酒酿造产业的可持续发展具有重要社会效益。</w:t>
      </w:r>
    </w:p>
    <w:p w14:paraId="3758533F">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6. 技术示范情况：</w:t>
      </w:r>
    </w:p>
    <w:p w14:paraId="70CE76B9">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目前该技术已在本单位所运营的仁怀市名酒工业园区第一集中净水厂、第三集中净水厂和仁怀市陈家咀白酒废水处理厂中实现了工程化应用，为公司其他高浓度有机废水的处理起到了典型的应用示范作用。在后续，可将其逐步推广至白酒酿造废水、垃圾渗滤液及其他高浓度有机废水处理领域。</w:t>
      </w:r>
    </w:p>
    <w:p w14:paraId="4AD25350">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典型案例有仁怀市陈家咀白酒废水处理厂改造工程，陈家咀白酒废水处理厂主要对二合陈家咀片区白酒生产企业的生产废水进行集中处理，项目厂区占地面积共约12714平方米，污水收集主管网约3.7公里设计污废水处理量为3000m</w:t>
      </w:r>
      <w:r>
        <w:rPr>
          <w:rFonts w:hint="default" w:ascii="Times New Roman" w:hAnsi="Times New Roman" w:eastAsia="仿宋_GB2312" w:cs="Times New Roman"/>
          <w:sz w:val="28"/>
          <w:szCs w:val="28"/>
          <w:vertAlign w:val="superscript"/>
        </w:rPr>
        <w:t>3</w:t>
      </w:r>
      <w:r>
        <w:rPr>
          <w:rFonts w:hint="default" w:ascii="Times New Roman" w:hAnsi="Times New Roman" w:eastAsia="仿宋_GB2312" w:cs="Times New Roman"/>
          <w:sz w:val="28"/>
          <w:szCs w:val="28"/>
        </w:rPr>
        <w:t>/d，于2020年1月5日开工建设，并于2021年12月24日竣工验收，并投入使用。项目主要将原有厌氧单元更改为不完全厌氧消化器和完全厌氧消化反应器，并将原两级AO系统改造多点进水两级AO 系统，并实现短程硝化反硝化运行管理控制要求，同时额外新增硝化反应罐与原硝化罐串联使用，新增一座深度脱氨氮反应池，配套增加循环泵、加药系统等，实现出水总氮≤2mg/L。工艺流程图如下：</w:t>
      </w:r>
    </w:p>
    <w:p w14:paraId="50C76319">
      <w:pPr>
        <w:pStyle w:val="2"/>
        <w:jc w:val="center"/>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drawing>
          <wp:inline distT="0" distB="0" distL="114300" distR="114300">
            <wp:extent cx="3945255" cy="5718175"/>
            <wp:effectExtent l="0" t="0" r="1905" b="12065"/>
            <wp:docPr id="1" name="图片 1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5" descr="图片1"/>
                    <pic:cNvPicPr>
                      <a:picLocks noChangeAspect="1"/>
                    </pic:cNvPicPr>
                  </pic:nvPicPr>
                  <pic:blipFill>
                    <a:blip r:embed="rId13"/>
                    <a:stretch>
                      <a:fillRect/>
                    </a:stretch>
                  </pic:blipFill>
                  <pic:spPr>
                    <a:xfrm>
                      <a:off x="0" y="0"/>
                      <a:ext cx="3945255" cy="5718175"/>
                    </a:xfrm>
                    <a:prstGeom prst="rect">
                      <a:avLst/>
                    </a:prstGeom>
                    <a:noFill/>
                    <a:ln>
                      <a:noFill/>
                    </a:ln>
                  </pic:spPr>
                </pic:pic>
              </a:graphicData>
            </a:graphic>
          </wp:inline>
        </w:drawing>
      </w:r>
    </w:p>
    <w:p w14:paraId="63948A2A">
      <w:pPr>
        <w:pStyle w:val="3"/>
        <w:ind w:firstLine="0" w:firstLineChars="0"/>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工艺流程图</w:t>
      </w:r>
    </w:p>
    <w:p w14:paraId="6E3CD463">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7. 联系方式：</w:t>
      </w:r>
    </w:p>
    <w:p w14:paraId="3D82799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联系人：孙美娟</w:t>
      </w:r>
    </w:p>
    <w:p w14:paraId="35851A7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电  话：19968167482</w:t>
      </w:r>
    </w:p>
    <w:p w14:paraId="219FC3F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地  址：广西南宁市良庆区英岭路35号桂润环保集团</w:t>
      </w:r>
    </w:p>
    <w:p w14:paraId="3D6D17D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邮  编：530200</w:t>
      </w:r>
    </w:p>
    <w:p w14:paraId="504AC0C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E—mail：1875099440@qq.com</w:t>
      </w:r>
    </w:p>
    <w:p w14:paraId="4A0E3F47">
      <w:pPr>
        <w:pStyle w:val="5"/>
        <w:keepNext w:val="0"/>
        <w:keepLines w:val="0"/>
        <w:pageBreakBefore/>
        <w:widowControl w:val="0"/>
        <w:kinsoku/>
        <w:wordWrap/>
        <w:overflowPunct/>
        <w:topLinePunct w:val="0"/>
        <w:autoSpaceDE w:val="0"/>
        <w:autoSpaceDN w:val="0"/>
        <w:bidi w:val="0"/>
        <w:adjustRightInd/>
        <w:snapToGrid/>
        <w:spacing w:before="0" w:line="560" w:lineRule="exact"/>
        <w:ind w:left="0" w:firstLine="560" w:firstLineChars="200"/>
        <w:textAlignment w:val="auto"/>
        <w:rPr>
          <w:rFonts w:hint="eastAsia" w:ascii="黑体" w:hAnsi="黑体" w:eastAsia="黑体" w:cs="黑体"/>
          <w:b w:val="0"/>
          <w:bCs w:val="0"/>
          <w:sz w:val="28"/>
          <w:szCs w:val="28"/>
        </w:rPr>
      </w:pPr>
      <w:bookmarkStart w:id="19" w:name="_Toc677436084_WPSOffice_Level2"/>
      <w:bookmarkStart w:id="20" w:name="_Toc182325843"/>
      <w:r>
        <w:rPr>
          <w:rFonts w:hint="eastAsia" w:ascii="黑体" w:hAnsi="黑体" w:eastAsia="黑体" w:cs="黑体"/>
          <w:b w:val="0"/>
          <w:bCs w:val="0"/>
          <w:sz w:val="28"/>
          <w:szCs w:val="28"/>
        </w:rPr>
        <w:t>二、上流式多相循环抗钙型厌氧反应器</w:t>
      </w:r>
      <w:bookmarkEnd w:id="19"/>
      <w:bookmarkEnd w:id="20"/>
    </w:p>
    <w:p w14:paraId="3C87C1D3">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1. 技术名称：</w:t>
      </w:r>
    </w:p>
    <w:p w14:paraId="56A2A35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上流式多相循环抗钙型厌氧反应器</w:t>
      </w:r>
    </w:p>
    <w:p w14:paraId="45F8E3F0">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2. 适用行业：</w:t>
      </w:r>
    </w:p>
    <w:p w14:paraId="6D911D9F">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适用于采用再生纸作为原料的造纸废水处理</w:t>
      </w:r>
    </w:p>
    <w:p w14:paraId="22526BA7">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3. 技术提供方：</w:t>
      </w:r>
    </w:p>
    <w:p w14:paraId="7F3C739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广西博世科环境科技有限公司</w:t>
      </w:r>
    </w:p>
    <w:p w14:paraId="24FA9D82">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4. 技术内容：</w:t>
      </w:r>
    </w:p>
    <w:p w14:paraId="48E46D0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sz w:val="28"/>
          <w:szCs w:val="28"/>
        </w:rPr>
      </w:pPr>
      <w:bookmarkStart w:id="21" w:name="_Hlk111538921"/>
      <w:r>
        <w:rPr>
          <w:rFonts w:hint="default" w:ascii="Times New Roman" w:hAnsi="Times New Roman" w:eastAsia="仿宋_GB2312" w:cs="Times New Roman"/>
          <w:sz w:val="28"/>
          <w:szCs w:val="28"/>
        </w:rPr>
        <w:t>反应器设计中创新采用了气液、泥水两级分离工艺；多层多相布水技术；低能耗泥水混合泵推循环设计；沼气全密封无损收集等多项高效分离、强化接触、绿色无味的反应器设计技术方案，带来了对现有内循环厌氧反应器的全方位的升级改造，提升高负荷厌氧系统的经济性，获得相关专利授权9项。具体技术内容、研究方法工艺路线如下：</w:t>
      </w:r>
    </w:p>
    <w:p w14:paraId="5DBBF46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技术内容。针对第三代厌氧反应器在再生纸造纸废水处理过程中，易发生系统钙化，导致系统运行处理效率降低的问题，从颗粒污泥微微观层面、反应器内微环境变化的角度开展影响机理研究，完成反应器规模化、系列化研究与装备设计。反应器在钙离子浓度800~1200mg/L的高钙环境下稳定运行，并建立技术集成示范项目，解决高钙废水厌氧处理污泥钙化、钙截留量大、COD去除率低、处理效果不稳定等问题。</w:t>
      </w:r>
    </w:p>
    <w:p w14:paraId="2FE9B488">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研究方法。结合厌氧系统微生物生境调控技术与新型反应器流态控制技术，开发一种可稳定处理高钙镁离子的再生纸造纸废水的厌氧颗粒污泥系统，形成配套用于再生水处理的钙化阻隔预处理方案结合再生纸造纸废水处理，围绕原料差异及添加剂残留带来的影响，研究不同药剂与预处理工艺耦合后，对减缓系统钙化发生风险的效能；优化设计增加调控点，通过局部调控，提高系统效率减少钙化危害，形成配套用于再生水处理钙化污泥快速隔离去除方案。</w:t>
      </w:r>
    </w:p>
    <w:p w14:paraId="0095233C">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工艺路线。经过预酸化池的废水投加了营养盐和酸碱后与厌氧出水外循环水混合后分别通过底层布水系统和上层布水系统进入反应器。在反应器内废水与颗粒污泥充分接触，在厌氧菌的作用下废水中的大部分有机物被转化为甲烷和二氧化碳。产生的沼气通过厌氧塔顶部的锥型结构导流收集后至沼气柜，部分经过一级气液分离的废水通过低扬程循环泵输送至厌氧塔进水，形成内循环，厌氧塔出水部分由顶部出水管流出，另一部分由回流至循环池内。具体工艺路线图如下：</w:t>
      </w:r>
    </w:p>
    <w:p w14:paraId="7A163580">
      <w:pPr>
        <w:pStyle w:val="2"/>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614670" cy="2861945"/>
            <wp:effectExtent l="0" t="0" r="8890" b="3175"/>
            <wp:docPr id="2" name="图片 1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descr="图片2"/>
                    <pic:cNvPicPr>
                      <a:picLocks noChangeAspect="1"/>
                    </pic:cNvPicPr>
                  </pic:nvPicPr>
                  <pic:blipFill>
                    <a:blip r:embed="rId14"/>
                    <a:stretch>
                      <a:fillRect/>
                    </a:stretch>
                  </pic:blipFill>
                  <pic:spPr>
                    <a:xfrm>
                      <a:off x="0" y="0"/>
                      <a:ext cx="5614670" cy="2861945"/>
                    </a:xfrm>
                    <a:prstGeom prst="rect">
                      <a:avLst/>
                    </a:prstGeom>
                    <a:noFill/>
                    <a:ln>
                      <a:noFill/>
                    </a:ln>
                  </pic:spPr>
                </pic:pic>
              </a:graphicData>
            </a:graphic>
          </wp:inline>
        </w:drawing>
      </w:r>
    </w:p>
    <w:p w14:paraId="08CFB9D3">
      <w:pPr>
        <w:pStyle w:val="3"/>
        <w:ind w:firstLine="560"/>
        <w:jc w:val="center"/>
        <w:rPr>
          <w:rFonts w:hint="eastAsia" w:ascii="仿宋" w:hAnsi="仿宋" w:eastAsia="仿宋" w:cs="仿宋"/>
          <w:sz w:val="28"/>
          <w:szCs w:val="28"/>
        </w:rPr>
      </w:pPr>
      <w:r>
        <w:rPr>
          <w:rFonts w:hint="eastAsia" w:ascii="仿宋" w:hAnsi="仿宋" w:eastAsia="仿宋" w:cs="仿宋"/>
          <w:sz w:val="28"/>
          <w:szCs w:val="28"/>
        </w:rPr>
        <w:t>工艺路线图</w:t>
      </w:r>
    </w:p>
    <w:bookmarkEnd w:id="21"/>
    <w:p w14:paraId="0A679D13">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sz w:val="28"/>
          <w:szCs w:val="28"/>
        </w:rPr>
      </w:pPr>
      <w:r>
        <w:rPr>
          <w:rFonts w:hint="default" w:ascii="Times New Roman" w:hAnsi="Times New Roman" w:eastAsia="仿宋_GB2312" w:cs="Times New Roman"/>
          <w:b/>
          <w:bCs/>
          <w:sz w:val="28"/>
          <w:szCs w:val="28"/>
        </w:rPr>
        <w:t>5</w:t>
      </w:r>
      <w:r>
        <w:rPr>
          <w:rFonts w:hint="eastAsia" w:ascii="仿宋" w:hAnsi="仿宋" w:eastAsia="仿宋" w:cs="仿宋"/>
          <w:b/>
          <w:bCs/>
          <w:sz w:val="28"/>
          <w:szCs w:val="28"/>
        </w:rPr>
        <w:t>. 环保效果：</w:t>
      </w:r>
    </w:p>
    <w:p w14:paraId="275C9F3C">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以应用于潮州市潮安区弘和纸品有限公司污水处理系统技改项目等高钙离子有机废水处理项目为例，其节水节能及减排情况如下：</w:t>
      </w:r>
    </w:p>
    <w:p w14:paraId="46D16FD4">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节水节能情况说明。项目实施前受到出水水质的制约，无法实现出水回用。通过该污水处理项目的实施，提高了出水水质，帮助我公司减少新水耗用量500吨/天用于前端生产，相当于为我公司节水500吨/天，中水回用利率增加量28%，单位产品的新水耗量由7.2 m3/t降为4.3 m3/t，单位产品的废水产生量由6 m3/t降为4.8 m3/t。增产沼气1722 m3/d，利用沼气锅炉可替代原有燃煤锅炉系统，节约燃煤资源。</w:t>
      </w:r>
    </w:p>
    <w:p w14:paraId="7ABD27FF">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减排说明。项目实施前，由于原好氧污水处理系统可容纳的有机负荷较低，出水COD较高，通过新增厌氧处理工程，提高了系统对高浓度废水的处理能力，出水COD由5000mg/L降低至90mg/L，相比采用原工艺，折算后COD可减排7.37吨/天。</w:t>
      </w:r>
    </w:p>
    <w:p w14:paraId="2F53F8FB">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6. 技术示范情况：</w:t>
      </w:r>
    </w:p>
    <w:p w14:paraId="7FD73183">
      <w:pPr>
        <w:ind w:firstLine="560" w:firstLineChars="200"/>
        <w:rPr>
          <w:rFonts w:hint="eastAsia" w:ascii="仿宋" w:hAnsi="仿宋" w:eastAsia="仿宋" w:cs="仿宋"/>
          <w:sz w:val="28"/>
          <w:szCs w:val="28"/>
        </w:rPr>
      </w:pPr>
      <w:r>
        <w:rPr>
          <w:rFonts w:hint="default" w:ascii="Times New Roman" w:hAnsi="Times New Roman" w:eastAsia="仿宋_GB2312" w:cs="Times New Roman"/>
          <w:sz w:val="28"/>
          <w:szCs w:val="28"/>
        </w:rPr>
        <w:t>该反应器已成功应用于潮州市潮安区弘和纸品有限公司污水处理系统技改项目等高钙离子有机废水处理项目，厌氧反应器罐体直径6m，罐高度18m，有效容积500m</w:t>
      </w:r>
      <w:r>
        <w:rPr>
          <w:rFonts w:hint="default" w:ascii="Times New Roman" w:hAnsi="Times New Roman" w:eastAsia="仿宋_GB2312" w:cs="Times New Roman"/>
          <w:sz w:val="28"/>
          <w:szCs w:val="28"/>
          <w:vertAlign w:val="superscript"/>
        </w:rPr>
        <w:t>3</w:t>
      </w:r>
      <w:r>
        <w:rPr>
          <w:rFonts w:hint="default" w:ascii="Times New Roman" w:hAnsi="Times New Roman" w:eastAsia="仿宋_GB2312" w:cs="Times New Roman"/>
          <w:sz w:val="28"/>
          <w:szCs w:val="28"/>
        </w:rPr>
        <w:t>，总投资256万元，每吨水建设成本约1700元。系统运稳定运行状态下的SCOD去除率可达70～85%，沼气产率约0.35～0.45 m</w:t>
      </w:r>
      <w:r>
        <w:rPr>
          <w:rFonts w:hint="default" w:ascii="Times New Roman" w:hAnsi="Times New Roman" w:eastAsia="仿宋_GB2312" w:cs="Times New Roman"/>
          <w:sz w:val="28"/>
          <w:szCs w:val="28"/>
          <w:vertAlign w:val="superscript"/>
        </w:rPr>
        <w:t>3</w:t>
      </w:r>
      <w:r>
        <w:rPr>
          <w:rFonts w:hint="default" w:ascii="Times New Roman" w:hAnsi="Times New Roman" w:eastAsia="仿宋_GB2312" w:cs="Times New Roman"/>
          <w:sz w:val="28"/>
          <w:szCs w:val="28"/>
        </w:rPr>
        <w:t>/kgCOD，颗粒污泥产率0.01～0.025 kgTS/kgCOD，污泥沉降速率达到100～180 m/h，进出水钙离子截留量＜200 mg/L；系统出水SCOD1000～3000 mg/L，VFA≤5 mmol/L满足进入好氧系统进一步开展生化处理的要求；系统产生的沼气经变压吸附沼气净化后，H2S 浓度低于100 ppm，甲烷含量达90%以上，满足进入锅炉燃烧和发电的要求；系统产生的颗粒污泥可以储存在厌氧塔或者污泥罐内，可用于后续项目的颗粒</w:t>
      </w:r>
      <w:r>
        <w:rPr>
          <w:rFonts w:hint="eastAsia" w:ascii="仿宋" w:hAnsi="仿宋" w:eastAsia="仿宋" w:cs="仿宋"/>
          <w:sz w:val="28"/>
          <w:szCs w:val="28"/>
        </w:rPr>
        <w:t>污泥接种启动工作，或者销售给其它企业做为厌氧系统启动污泥。</w:t>
      </w:r>
    </w:p>
    <w:p w14:paraId="0904D094">
      <w:pPr>
        <w:pStyle w:val="2"/>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4391025" cy="4972050"/>
            <wp:effectExtent l="0" t="0" r="13335" b="11430"/>
            <wp:docPr id="3" name="图片 1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图片3"/>
                    <pic:cNvPicPr>
                      <a:picLocks noChangeAspect="1"/>
                    </pic:cNvPicPr>
                  </pic:nvPicPr>
                  <pic:blipFill>
                    <a:blip r:embed="rId15"/>
                    <a:stretch>
                      <a:fillRect/>
                    </a:stretch>
                  </pic:blipFill>
                  <pic:spPr>
                    <a:xfrm>
                      <a:off x="0" y="0"/>
                      <a:ext cx="4391025" cy="4972050"/>
                    </a:xfrm>
                    <a:prstGeom prst="rect">
                      <a:avLst/>
                    </a:prstGeom>
                    <a:noFill/>
                    <a:ln>
                      <a:noFill/>
                    </a:ln>
                  </pic:spPr>
                </pic:pic>
              </a:graphicData>
            </a:graphic>
          </wp:inline>
        </w:drawing>
      </w:r>
    </w:p>
    <w:p w14:paraId="19FE82AE">
      <w:pPr>
        <w:pStyle w:val="3"/>
        <w:ind w:firstLine="560"/>
        <w:jc w:val="center"/>
        <w:rPr>
          <w:rFonts w:hint="eastAsia" w:ascii="仿宋" w:hAnsi="仿宋" w:eastAsia="仿宋" w:cs="仿宋"/>
          <w:sz w:val="28"/>
          <w:szCs w:val="28"/>
        </w:rPr>
      </w:pPr>
      <w:r>
        <w:rPr>
          <w:rFonts w:hint="eastAsia" w:ascii="仿宋" w:hAnsi="仿宋" w:eastAsia="仿宋" w:cs="仿宋"/>
          <w:sz w:val="28"/>
          <w:szCs w:val="28"/>
        </w:rPr>
        <w:t>项目现场图</w:t>
      </w:r>
    </w:p>
    <w:p w14:paraId="10FDF437">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eastAsia" w:ascii="仿宋" w:hAnsi="仿宋" w:eastAsia="仿宋" w:cs="仿宋"/>
          <w:b/>
          <w:bCs/>
          <w:sz w:val="28"/>
          <w:szCs w:val="28"/>
        </w:rPr>
      </w:pPr>
      <w:r>
        <w:rPr>
          <w:rFonts w:hint="default" w:ascii="Times New Roman" w:hAnsi="Times New Roman" w:eastAsia="仿宋_GB2312" w:cs="Times New Roman"/>
          <w:b/>
          <w:bCs/>
          <w:sz w:val="28"/>
          <w:szCs w:val="28"/>
        </w:rPr>
        <w:t>7.</w:t>
      </w:r>
      <w:r>
        <w:rPr>
          <w:rFonts w:hint="eastAsia" w:ascii="仿宋" w:hAnsi="仿宋" w:eastAsia="仿宋" w:cs="仿宋"/>
          <w:b/>
          <w:bCs/>
          <w:sz w:val="28"/>
          <w:szCs w:val="28"/>
        </w:rPr>
        <w:t xml:space="preserve"> 联系方式：</w:t>
      </w:r>
    </w:p>
    <w:p w14:paraId="30CEC17D">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联系人：朱琦</w:t>
      </w:r>
    </w:p>
    <w:p w14:paraId="6DB99CFD">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电  话：13077774500</w:t>
      </w:r>
    </w:p>
    <w:p w14:paraId="2F14B29E">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地  址：广西南宁高新区高安路101号</w:t>
      </w:r>
    </w:p>
    <w:p w14:paraId="4A39F6F1">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邮  编：530007</w:t>
      </w:r>
    </w:p>
    <w:p w14:paraId="57984CB2">
      <w:pP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E—mail：gx994500@bossco.cc</w:t>
      </w:r>
    </w:p>
    <w:p w14:paraId="7223C3C8">
      <w:pPr>
        <w:pStyle w:val="5"/>
        <w:keepNext w:val="0"/>
        <w:keepLines w:val="0"/>
        <w:pageBreakBefore/>
        <w:widowControl w:val="0"/>
        <w:kinsoku/>
        <w:wordWrap/>
        <w:overflowPunct/>
        <w:topLinePunct w:val="0"/>
        <w:autoSpaceDE w:val="0"/>
        <w:autoSpaceDN w:val="0"/>
        <w:bidi w:val="0"/>
        <w:adjustRightInd/>
        <w:snapToGrid/>
        <w:spacing w:before="0" w:line="560" w:lineRule="exact"/>
        <w:ind w:left="0" w:firstLine="560" w:firstLineChars="200"/>
        <w:textAlignment w:val="auto"/>
        <w:rPr>
          <w:rFonts w:hint="default" w:ascii="Times New Roman" w:hAnsi="Times New Roman" w:eastAsia="黑体" w:cs="Times New Roman"/>
          <w:b w:val="0"/>
          <w:bCs w:val="0"/>
          <w:kern w:val="2"/>
          <w:sz w:val="28"/>
          <w:szCs w:val="28"/>
        </w:rPr>
      </w:pPr>
      <w:bookmarkStart w:id="22" w:name="_Toc1048871907_WPSOffice_Level2"/>
      <w:bookmarkStart w:id="23" w:name="_Toc182325844"/>
      <w:r>
        <w:rPr>
          <w:rFonts w:hint="default" w:ascii="Times New Roman" w:hAnsi="Times New Roman" w:eastAsia="黑体" w:cs="Times New Roman"/>
          <w:b w:val="0"/>
          <w:bCs w:val="0"/>
          <w:kern w:val="2"/>
          <w:sz w:val="28"/>
          <w:szCs w:val="28"/>
        </w:rPr>
        <w:t>三、</w:t>
      </w:r>
      <w:r>
        <w:rPr>
          <w:rFonts w:hint="default" w:ascii="Times New Roman" w:hAnsi="Times New Roman" w:eastAsia="黑体" w:cs="Times New Roman"/>
          <w:b w:val="0"/>
          <w:bCs w:val="0"/>
          <w:sz w:val="28"/>
          <w:szCs w:val="28"/>
        </w:rPr>
        <w:t>DMBR双膜内循环生物反应器</w:t>
      </w:r>
      <w:bookmarkEnd w:id="22"/>
      <w:bookmarkEnd w:id="23"/>
    </w:p>
    <w:p w14:paraId="36455E25">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1. 技术名称：</w:t>
      </w:r>
    </w:p>
    <w:p w14:paraId="27E92D1B">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DMBR双膜内循环生物反应器</w:t>
      </w:r>
    </w:p>
    <w:p w14:paraId="53B593A0">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2. 适用行业：</w:t>
      </w:r>
    </w:p>
    <w:p w14:paraId="30BBEF57">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垃圾渗滤液处理、中小规模生活污水治理</w:t>
      </w:r>
    </w:p>
    <w:p w14:paraId="24B1C22A">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3. 技术提供方：</w:t>
      </w:r>
    </w:p>
    <w:p w14:paraId="7DBFACB0">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桂润环境科技股份有限公司</w:t>
      </w:r>
    </w:p>
    <w:p w14:paraId="6F7C7C3B">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4. 技术内容：</w:t>
      </w:r>
    </w:p>
    <w:p w14:paraId="503DF23E">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（1）研究双膜内循环生物反应器结构设计方案</w:t>
      </w:r>
    </w:p>
    <w:p w14:paraId="07FFDA5C">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根据污水处理工艺要求，结合考虑设备运行机制及占地面积，前期对设备内部结构及工艺设计进行分析。双膜内循环生物反应器设有导流板，导流板将双膜内循环生物反应器分隔为填料生物膜反应区和微滤膜过滤区，填料生物膜反应区设有生物膜填料和布水装置，微滤膜过滤区安装有浸入式微滤膜组件和集水装置；填料生物膜反应区和微滤膜过滤区底部分别设有第一曝气装置和第二曝气装置，第一曝气装置和第二曝气装置分别通过第二进气电动阀和第一进气电动阀与气泵连接并能够形成曝气气流；双膜内循环生物反应器中设有水位浮球开关；浸入式微滤膜组件的输出端通过集水装置连接自吸泵。</w:t>
      </w:r>
    </w:p>
    <w:p w14:paraId="22E6CD0E">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（2）研究双膜内循环生物反应器内各工艺流程设计</w:t>
      </w:r>
    </w:p>
    <w:p w14:paraId="639A99B5">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在传统工艺方法前提下，研发一种形成厌氧-缺氧-好氧环境的双膜内循环生物一体化装置，达到微生物好氧硝化、缺氧脱氮、厌氧除磷的效果。设备工艺采用填料生物膜反应区和微滤膜过滤区的双膜循环处理技术，结合曝气充氧促进微生物降解有机污染物，达到交替间歇处理模式。</w:t>
      </w:r>
    </w:p>
    <w:p w14:paraId="1E5FF0C8">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（3）PVDF中空纤维膜关键制备技术及其耦合膜用阻垢剂应用研究</w:t>
      </w:r>
    </w:p>
    <w:p w14:paraId="2C4D5AED">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通过膜液配方（如PVP、PGP等添加剂含量）和生产工艺参数（如纺丝速度、凝固浴温度、清洗槽温度等）优化，制备出合适的膜孔径和膜通量的PVDF中空纤维膜丝，并通过工程应用研究进一步优化改进，获得性能优异的污水治理用PVDF中空纤维膜材料，提高污水污染物去除效率；通过研究膜用阻垢剂组分、配比及最佳使用浓度对延缓膜污堵的影响，优化阻垢剂配方及投加量，达到减少药剂使用成本和提高膜抗污堵能力的目的，获得保持正常膜通量的阻垢剂最佳使用方法，降低污水处理成本。</w:t>
      </w:r>
    </w:p>
    <w:p w14:paraId="18FC7D11">
      <w:pPr>
        <w:keepNext w:val="0"/>
        <w:keepLines w:val="0"/>
        <w:pageBreakBefore w:val="0"/>
        <w:widowControl w:val="0"/>
        <w:kinsoku/>
        <w:wordWrap/>
        <w:overflowPunct/>
        <w:topLinePunct w:val="0"/>
        <w:autoSpaceDE/>
        <w:autoSpaceDN/>
        <w:bidi w:val="0"/>
        <w:adjustRightInd w:val="0"/>
        <w:snapToGrid/>
        <w:spacing w:line="560" w:lineRule="exact"/>
        <w:ind w:firstLine="562" w:firstLineChars="200"/>
        <w:jc w:val="left"/>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5. 工艺流程：</w:t>
      </w:r>
    </w:p>
    <w:p w14:paraId="541BC36E">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主要步骤：（1）污废水经过格栅、格网除去2mm以上的颗粒物和杂物，避免堵塞后续设备。（2）经隔渣后的污废水经泵提升到到双膜内循环生物处理系统。废水在双膜内循环生物反应器反应后，混合液在气流的作用下形成内循环，流经微滤膜过滤区，脱落的生物膜和颗粒物被微滤膜截留，随水流返回生物膜反应区，清水透过微滤膜组件汇入集水装置。（3）集水系统出来的清水流经管道式紫处线消毒，经过消毒后达标处排。双膜内循环生物处理工艺流程图如下图所示：</w:t>
      </w:r>
    </w:p>
    <w:p w14:paraId="16120882">
      <w:pPr>
        <w:jc w:val="center"/>
        <w:rPr>
          <w:rFonts w:hint="eastAsia" w:ascii="仿宋" w:hAnsi="仿宋" w:eastAsia="仿宋" w:cs="仿宋"/>
          <w:sz w:val="28"/>
          <w:szCs w:val="28"/>
          <w:lang w:eastAsia="zh-CN"/>
        </w:rPr>
      </w:pPr>
      <w:r>
        <w:rPr>
          <w:rFonts w:hint="eastAsia" w:ascii="仿宋" w:hAnsi="仿宋" w:eastAsia="仿宋" w:cs="仿宋"/>
          <w:sz w:val="28"/>
          <w:szCs w:val="28"/>
          <w:lang w:eastAsia="zh-CN"/>
        </w:rPr>
        <w:drawing>
          <wp:inline distT="0" distB="0" distL="114300" distR="114300">
            <wp:extent cx="5609590" cy="2919095"/>
            <wp:effectExtent l="0" t="0" r="13970" b="6985"/>
            <wp:docPr id="4" name="图片 18"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 descr="图片5"/>
                    <pic:cNvPicPr>
                      <a:picLocks noChangeAspect="1"/>
                    </pic:cNvPicPr>
                  </pic:nvPicPr>
                  <pic:blipFill>
                    <a:blip r:embed="rId16"/>
                    <a:stretch>
                      <a:fillRect/>
                    </a:stretch>
                  </pic:blipFill>
                  <pic:spPr>
                    <a:xfrm>
                      <a:off x="0" y="0"/>
                      <a:ext cx="5609590" cy="2919095"/>
                    </a:xfrm>
                    <a:prstGeom prst="rect">
                      <a:avLst/>
                    </a:prstGeom>
                    <a:noFill/>
                    <a:ln>
                      <a:noFill/>
                    </a:ln>
                  </pic:spPr>
                </pic:pic>
              </a:graphicData>
            </a:graphic>
          </wp:inline>
        </w:drawing>
      </w:r>
    </w:p>
    <w:p w14:paraId="436CEB9D">
      <w:pPr>
        <w:pStyle w:val="2"/>
        <w:jc w:val="center"/>
        <w:rPr>
          <w:rFonts w:hint="eastAsia" w:ascii="仿宋" w:hAnsi="仿宋" w:eastAsia="仿宋" w:cs="仿宋"/>
          <w:sz w:val="28"/>
          <w:szCs w:val="28"/>
        </w:rPr>
      </w:pPr>
      <w:r>
        <w:rPr>
          <w:rFonts w:hint="eastAsia" w:ascii="仿宋" w:hAnsi="仿宋" w:eastAsia="仿宋" w:cs="仿宋"/>
          <w:sz w:val="28"/>
          <w:szCs w:val="28"/>
        </w:rPr>
        <w:t>双膜内循环生物处理工艺流程图</w:t>
      </w:r>
    </w:p>
    <w:p w14:paraId="6582E532">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6. 技术创新性：</w:t>
      </w:r>
    </w:p>
    <w:p w14:paraId="772C845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1）采用交替间歇曝气充氧方式，充氧能耗降低。（2）反应器在生物膜填料区和微滤膜过滤区实现气水内循环，增强系统脱氮除磷效果。（3）反应器内生物链长，微生物物种丰富，消解污泥使剩余污泥少。（4）系统内悬浮污泥浓度降低，降低微滤膜组件运行负荷，延长使用寿命。（5）PVDF中空纤维膜耦合膜用阻垢剂，减少洗膜次数，减低运行成本。</w:t>
      </w:r>
    </w:p>
    <w:p w14:paraId="6054F11A">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7. 环保效果：</w:t>
      </w:r>
    </w:p>
    <w:p w14:paraId="70C71B4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MBR技术极大地提高了污水处理的效率与出水水质，使得处理后的水能够更广泛地回用于农业灌溉、城市绿化、工业冷却等多个领域，有效缓解了水资源短缺问题。其次，该技术减少了传统污水处理过程中产生的污泥量，降低了污泥处理的难度与成本，减少了温室气体如甲烷等的排放，有助于应对全球气候变化挑战。此外，MBR技术对于去除污水中的有害物质如重金属、难降解有机物等效果显著，有助于保护水生态环境，维护生物多样性，提升生态环境质量。</w:t>
      </w:r>
    </w:p>
    <w:p w14:paraId="32559A7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以来宾市兴宾区城厢镇污水处理厂工程项目为例。本项目一次性投资费用1,118.92万元，其中设备投资904万元。运行费用1.26元/吨，年运行成本约45.99万元。使用自主研研发的PVDF中空纤维膜耦合膜用阻垢剂处理后，膜组件通量下降为14.4%，运行期间膜清洗频率下降31.3%，运行费用减少。本工程完成污染物年削减量CODCr：78.621t；TP：0.9125t；TN：9.125t；氨氮：8.906t。</w:t>
      </w:r>
    </w:p>
    <w:p w14:paraId="0EBC2AA7">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default" w:ascii="Times New Roman" w:hAnsi="Times New Roman" w:eastAsia="仿宋_GB2312" w:cs="Times New Roman"/>
          <w:b/>
          <w:bCs/>
          <w:color w:val="auto"/>
          <w:sz w:val="28"/>
          <w:szCs w:val="28"/>
        </w:rPr>
      </w:pPr>
      <w:r>
        <w:rPr>
          <w:rFonts w:hint="default" w:ascii="Times New Roman" w:hAnsi="Times New Roman" w:eastAsia="仿宋_GB2312" w:cs="Times New Roman"/>
          <w:b/>
          <w:bCs/>
          <w:color w:val="auto"/>
          <w:sz w:val="28"/>
          <w:szCs w:val="28"/>
        </w:rPr>
        <w:t>9. 联系方式：</w:t>
      </w:r>
    </w:p>
    <w:p w14:paraId="4F024202">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联系人：孙美娟</w:t>
      </w:r>
    </w:p>
    <w:p w14:paraId="4DC83EC3">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电  话：19968167482</w:t>
      </w:r>
    </w:p>
    <w:p w14:paraId="72542C0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地  址：南宁市良庆区英岭路35号</w:t>
      </w:r>
    </w:p>
    <w:p w14:paraId="415B25F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邮  编：530219</w:t>
      </w:r>
    </w:p>
    <w:p w14:paraId="1FB7FBA1">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E—mail：</w:t>
      </w:r>
      <w:r>
        <w:rPr>
          <w:rFonts w:hint="default" w:ascii="Times New Roman" w:hAnsi="Times New Roman" w:eastAsia="仿宋_GB2312" w:cs="Times New Roman"/>
          <w:color w:val="auto"/>
          <w:sz w:val="28"/>
          <w:szCs w:val="28"/>
        </w:rPr>
        <w:fldChar w:fldCharType="begin"/>
      </w:r>
      <w:r>
        <w:rPr>
          <w:rFonts w:hint="default" w:ascii="Times New Roman" w:hAnsi="Times New Roman" w:eastAsia="仿宋_GB2312" w:cs="Times New Roman"/>
          <w:color w:val="auto"/>
          <w:sz w:val="28"/>
          <w:szCs w:val="28"/>
        </w:rPr>
        <w:instrText xml:space="preserve">HYPERLINK "mailto:1875099440@qq.com"</w:instrText>
      </w:r>
      <w:r>
        <w:rPr>
          <w:rFonts w:hint="default" w:ascii="Times New Roman" w:hAnsi="Times New Roman" w:eastAsia="仿宋_GB2312" w:cs="Times New Roman"/>
          <w:color w:val="auto"/>
          <w:sz w:val="28"/>
          <w:szCs w:val="28"/>
        </w:rPr>
        <w:fldChar w:fldCharType="separate"/>
      </w:r>
      <w:r>
        <w:rPr>
          <w:rStyle w:val="17"/>
          <w:rFonts w:hint="default" w:ascii="Times New Roman" w:hAnsi="Times New Roman" w:eastAsia="仿宋_GB2312" w:cs="Times New Roman"/>
          <w:color w:val="auto"/>
          <w:sz w:val="28"/>
          <w:szCs w:val="28"/>
        </w:rPr>
        <w:t>1875099440@qq.com</w:t>
      </w:r>
      <w:r>
        <w:rPr>
          <w:rStyle w:val="17"/>
          <w:rFonts w:hint="default" w:ascii="Times New Roman" w:hAnsi="Times New Roman" w:eastAsia="仿宋_GB2312" w:cs="Times New Roman"/>
          <w:color w:val="auto"/>
          <w:sz w:val="28"/>
          <w:szCs w:val="28"/>
        </w:rPr>
        <w:fldChar w:fldCharType="end"/>
      </w:r>
    </w:p>
    <w:p w14:paraId="37447607">
      <w:pPr>
        <w:pStyle w:val="20"/>
        <w:keepNext w:val="0"/>
        <w:keepLines w:val="0"/>
        <w:pageBreakBefore w:val="0"/>
        <w:widowControl w:val="0"/>
        <w:kinsoku/>
        <w:wordWrap/>
        <w:overflowPunct/>
        <w:topLinePunct w:val="0"/>
        <w:autoSpaceDE/>
        <w:autoSpaceDN/>
        <w:bidi w:val="0"/>
        <w:adjustRightInd/>
        <w:snapToGrid/>
        <w:spacing w:line="560" w:lineRule="exact"/>
        <w:ind w:firstLine="560" w:firstLineChars="200"/>
        <w:jc w:val="left"/>
        <w:textAlignment w:val="auto"/>
        <w:rPr>
          <w:rFonts w:hint="eastAsia" w:ascii="仿宋" w:hAnsi="仿宋" w:eastAsia="仿宋" w:cs="仿宋"/>
          <w:color w:val="auto"/>
          <w:kern w:val="2"/>
          <w:sz w:val="28"/>
          <w:szCs w:val="28"/>
        </w:rPr>
      </w:pPr>
    </w:p>
    <w:p w14:paraId="408BF9FA">
      <w:pPr>
        <w:pStyle w:val="5"/>
        <w:keepNext w:val="0"/>
        <w:keepLines w:val="0"/>
        <w:pageBreakBefore/>
        <w:widowControl w:val="0"/>
        <w:kinsoku/>
        <w:wordWrap/>
        <w:overflowPunct/>
        <w:topLinePunct w:val="0"/>
        <w:autoSpaceDE w:val="0"/>
        <w:autoSpaceDN w:val="0"/>
        <w:bidi w:val="0"/>
        <w:adjustRightInd/>
        <w:snapToGrid/>
        <w:spacing w:before="0" w:line="560" w:lineRule="exact"/>
        <w:ind w:left="0" w:firstLine="560" w:firstLineChars="200"/>
        <w:textAlignment w:val="auto"/>
        <w:rPr>
          <w:rFonts w:hint="eastAsia" w:ascii="黑体" w:hAnsi="黑体" w:eastAsia="黑体" w:cs="黑体"/>
          <w:b w:val="0"/>
          <w:bCs w:val="0"/>
          <w:sz w:val="28"/>
          <w:szCs w:val="28"/>
        </w:rPr>
      </w:pPr>
      <w:bookmarkStart w:id="24" w:name="_Toc1740180926_WPSOffice_Level2"/>
      <w:bookmarkStart w:id="25" w:name="_Toc182325845"/>
      <w:r>
        <w:rPr>
          <w:rFonts w:hint="eastAsia" w:ascii="黑体" w:hAnsi="黑体" w:eastAsia="黑体" w:cs="黑体"/>
          <w:b w:val="0"/>
          <w:bCs w:val="0"/>
          <w:sz w:val="28"/>
          <w:szCs w:val="28"/>
        </w:rPr>
        <w:t>四、上流式多相废水处理氧化塔</w:t>
      </w:r>
      <w:bookmarkEnd w:id="24"/>
      <w:bookmarkEnd w:id="25"/>
    </w:p>
    <w:p w14:paraId="5395FE24">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1. 技术名称：</w:t>
      </w:r>
    </w:p>
    <w:p w14:paraId="4A24C6A1">
      <w:pPr>
        <w:ind w:firstLine="560" w:firstLineChars="200"/>
        <w:rPr>
          <w:rFonts w:hint="default" w:ascii="Times New Roman" w:hAnsi="Times New Roman" w:eastAsia="仿宋_GB2312" w:cs="Times New Roman"/>
          <w:sz w:val="28"/>
          <w:szCs w:val="28"/>
        </w:rPr>
      </w:pPr>
      <w:bookmarkStart w:id="26" w:name="_Hlk182304425"/>
      <w:r>
        <w:rPr>
          <w:rFonts w:hint="default" w:ascii="Times New Roman" w:hAnsi="Times New Roman" w:eastAsia="仿宋_GB2312" w:cs="Times New Roman"/>
          <w:sz w:val="28"/>
          <w:szCs w:val="28"/>
        </w:rPr>
        <w:t>上流式多相废水处理氧化塔</w:t>
      </w:r>
    </w:p>
    <w:bookmarkEnd w:id="26"/>
    <w:p w14:paraId="35125CD2">
      <w:pPr>
        <w:keepNext w:val="0"/>
        <w:keepLines w:val="0"/>
        <w:pageBreakBefore w:val="0"/>
        <w:widowControl w:val="0"/>
        <w:kinsoku/>
        <w:wordWrap/>
        <w:overflowPunct/>
        <w:topLinePunct w:val="0"/>
        <w:autoSpaceDE/>
        <w:autoSpaceDN/>
        <w:bidi w:val="0"/>
        <w:adjustRightInd/>
        <w:snapToGrid/>
        <w:spacing w:line="560" w:lineRule="exact"/>
        <w:ind w:firstLine="562" w:firstLineChars="200"/>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2. 适用行业：</w:t>
      </w:r>
    </w:p>
    <w:p w14:paraId="2538A17E">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适用于制浆造纸中段废水、化工废水、制药废水处理</w:t>
      </w:r>
    </w:p>
    <w:p w14:paraId="0A7F6282">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3. 技术提供方：</w:t>
      </w:r>
    </w:p>
    <w:p w14:paraId="3732B93A">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广西博世科环境科技有限公司</w:t>
      </w:r>
    </w:p>
    <w:p w14:paraId="63228116">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left"/>
        <w:textAlignment w:val="auto"/>
        <w:rPr>
          <w:rFonts w:hint="default" w:ascii="Times New Roman" w:hAnsi="Times New Roman" w:eastAsia="仿宋_GB2312" w:cs="Times New Roman"/>
          <w:b/>
          <w:bCs/>
          <w:sz w:val="28"/>
          <w:szCs w:val="28"/>
        </w:rPr>
      </w:pPr>
      <w:r>
        <w:rPr>
          <w:rFonts w:hint="default" w:ascii="Times New Roman" w:hAnsi="Times New Roman" w:eastAsia="仿宋_GB2312" w:cs="Times New Roman"/>
          <w:b/>
          <w:bCs/>
          <w:sz w:val="28"/>
          <w:szCs w:val="28"/>
        </w:rPr>
        <w:t>4. 技术内容：</w:t>
      </w:r>
    </w:p>
    <w:p w14:paraId="715324DF">
      <w:pPr>
        <w:ind w:firstLine="560" w:firstLineChars="200"/>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针对上流式多相废水处理氧化塔开展以下技术研究与设计：（1）在氧化塔内加入石英砂载体，循环水使塔内保持一定的上升流速，使特制填料颗粒呈流化态。（2）芬顿试剂在反应过程中，产生的铁盐以结晶的形式覆膜到载体的表面上，起到异相催化氧化作用。（3）将UHOFe深度处理技术融合合成负载氧化铁催化技术、超声波与光催化协同降解技术和H2O2缓释技术，在完全氧化降解COD、去除色度的同时，通过憎水基团向亲水基团的改变，减少了絮凝剂的使用，大大降低了运行成本。（4）完成工业化规模上流式多相氧化塔（UHOFe）的结构设计，实现UHOFe在难生化降解有机工业废水处理上的应用。具体工艺流程如下图所示：</w:t>
      </w:r>
    </w:p>
    <w:p w14:paraId="185E66F2">
      <w:pPr>
        <w:pStyle w:val="3"/>
        <w:spacing w:line="240" w:lineRule="auto"/>
        <w:ind w:firstLine="0" w:firstLineChars="0"/>
        <w:jc w:val="center"/>
        <w:rPr>
          <w:rFonts w:hint="eastAsia" w:ascii="Times New Roman" w:hAnsi="Times New Roman" w:eastAsia="仿宋_GB2312" w:cs="Times New Roman"/>
          <w:sz w:val="28"/>
          <w:szCs w:val="28"/>
          <w:lang w:eastAsia="zh-CN"/>
        </w:rPr>
      </w:pPr>
      <w:r>
        <w:rPr>
          <w:rFonts w:hint="eastAsia" w:ascii="Times New Roman" w:hAnsi="Times New Roman" w:eastAsia="仿宋_GB2312" w:cs="Times New Roman"/>
          <w:sz w:val="28"/>
          <w:szCs w:val="28"/>
          <w:lang w:eastAsia="zh-CN"/>
        </w:rPr>
        <w:drawing>
          <wp:inline distT="0" distB="0" distL="114300" distR="114300">
            <wp:extent cx="5610860" cy="7202170"/>
            <wp:effectExtent l="0" t="0" r="12700" b="6350"/>
            <wp:docPr id="5" name="图片 19"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descr="图片6"/>
                    <pic:cNvPicPr>
                      <a:picLocks noChangeAspect="1"/>
                    </pic:cNvPicPr>
                  </pic:nvPicPr>
                  <pic:blipFill>
                    <a:blip r:embed="rId17"/>
                    <a:stretch>
                      <a:fillRect/>
                    </a:stretch>
                  </pic:blipFill>
                  <pic:spPr>
                    <a:xfrm>
                      <a:off x="0" y="0"/>
                      <a:ext cx="5610860" cy="7202170"/>
                    </a:xfrm>
                    <a:prstGeom prst="rect">
                      <a:avLst/>
                    </a:prstGeom>
                    <a:noFill/>
                    <a:ln>
                      <a:noFill/>
                    </a:ln>
                  </pic:spPr>
                </pic:pic>
              </a:graphicData>
            </a:graphic>
          </wp:inline>
        </w:drawing>
      </w:r>
    </w:p>
    <w:p w14:paraId="55997FA5">
      <w:pPr>
        <w:pStyle w:val="3"/>
        <w:spacing w:line="240" w:lineRule="auto"/>
        <w:ind w:firstLine="0" w:firstLineChars="0"/>
        <w:jc w:val="center"/>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工艺流程图</w:t>
      </w:r>
    </w:p>
    <w:p w14:paraId="5013BC3A">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5. 环保效果：</w:t>
      </w:r>
    </w:p>
    <w:p w14:paraId="3ABD2C6D">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获得拥有自主知识产权的上流式多相氧化塔及其废水处理工艺技术。完成单塔6000—10000m</w:t>
      </w:r>
      <w:r>
        <w:rPr>
          <w:rFonts w:hint="default" w:ascii="Times New Roman" w:hAnsi="Times New Roman" w:eastAsia="仿宋_GB2312" w:cs="Times New Roman"/>
          <w:bCs/>
          <w:sz w:val="28"/>
          <w:szCs w:val="28"/>
          <w:vertAlign w:val="superscript"/>
        </w:rPr>
        <w:t>3</w:t>
      </w:r>
      <w:r>
        <w:rPr>
          <w:rFonts w:hint="default" w:ascii="Times New Roman" w:hAnsi="Times New Roman" w:eastAsia="仿宋_GB2312" w:cs="Times New Roman"/>
          <w:bCs/>
          <w:sz w:val="28"/>
          <w:szCs w:val="28"/>
        </w:rPr>
        <w:t>/d规模上流式多相氧化塔开发以及产业化应用建设。以应用于金浪浆业的桉木化机浆生产过程中产生的难生化降解的有机污染物深度氧化降解处理为例。项目总投资约365万元，其中设备投资252万元，基建投资48万元，其他投资65万元，年运行费用740万元。制浆废水深度处理出水达到COD≤100mg/L，BOD≤20mg/L，SS≤50mg/L，色度≤50倍；制浆造纸废水深度处理出水达到COD≤90mg/L，BOD≤20mg/L、SS≤30mg/L、色度≤50倍。污水处理站外排废水中的COD、BOD5、SS、pH值、总氮、氨氮、色度等主要指标均符合《制浆造纸工业水污染色体物排放标准》（GB3544-2008）。</w:t>
      </w:r>
    </w:p>
    <w:p w14:paraId="3BBAA5CB">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仿宋_GB2312" w:cs="Times New Roman"/>
          <w:bCs/>
          <w:sz w:val="28"/>
          <w:szCs w:val="28"/>
        </w:rPr>
      </w:pPr>
      <w:r>
        <w:rPr>
          <w:rFonts w:hint="default" w:ascii="Times New Roman" w:hAnsi="Times New Roman" w:eastAsia="仿宋_GB2312" w:cs="Times New Roman"/>
          <w:b/>
          <w:sz w:val="28"/>
          <w:szCs w:val="28"/>
        </w:rPr>
        <w:t>6. 技术示范情况：</w:t>
      </w:r>
    </w:p>
    <w:p w14:paraId="37D44395">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该技术用于广西博冠纸业有限公司和广西永凯糖纸集团有限公司的造纸与发酵废水资源化处理和超低碳排放优化，具体示范应用情况如下：</w:t>
      </w:r>
    </w:p>
    <w:p w14:paraId="4190985E">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（1）应用于广西博冠纸业有限公司。采用上流式多级厌氧技术和异相催化氧化深度处理技术处理废水。厌氧处理工程和深度处理工程废水处理量分别为4500mg/d和13000m</w:t>
      </w:r>
      <w:r>
        <w:rPr>
          <w:rFonts w:hint="default" w:ascii="Times New Roman" w:hAnsi="Times New Roman" w:eastAsia="仿宋_GB2312" w:cs="Times New Roman"/>
          <w:bCs/>
          <w:sz w:val="28"/>
          <w:szCs w:val="28"/>
          <w:vertAlign w:val="superscript"/>
        </w:rPr>
        <w:t>2</w:t>
      </w:r>
      <w:r>
        <w:rPr>
          <w:rFonts w:hint="default" w:ascii="Times New Roman" w:hAnsi="Times New Roman" w:eastAsia="仿宋_GB2312" w:cs="Times New Roman"/>
          <w:bCs/>
          <w:sz w:val="28"/>
          <w:szCs w:val="28"/>
        </w:rPr>
        <w:t>/d。2013~2015年累计回收生物质能(厌氧沼气)为1100万m(甲烷含量&gt;95%)。采用新技术实现了废水处理资源化利用和超低排放，取得了明显的经济、环境和社会效益。</w:t>
      </w:r>
    </w:p>
    <w:p w14:paraId="445442A4">
      <w:pPr>
        <w:keepNext w:val="0"/>
        <w:keepLines w:val="0"/>
        <w:pageBreakBefore w:val="0"/>
        <w:widowControl w:val="0"/>
        <w:kinsoku/>
        <w:wordWrap/>
        <w:overflowPunct/>
        <w:topLinePunct w:val="0"/>
        <w:autoSpaceDE/>
        <w:autoSpaceDN/>
        <w:bidi w:val="0"/>
        <w:adjustRightInd/>
        <w:snapToGrid/>
        <w:spacing w:line="560" w:lineRule="exact"/>
        <w:ind w:firstLine="560" w:firstLineChars="200"/>
        <w:jc w:val="both"/>
        <w:textAlignment w:val="auto"/>
        <w:rPr>
          <w:rFonts w:hint="default" w:ascii="Times New Roman" w:hAnsi="Times New Roman" w:eastAsia="仿宋_GB2312" w:cs="Times New Roman"/>
          <w:bCs/>
          <w:sz w:val="28"/>
          <w:szCs w:val="28"/>
        </w:rPr>
      </w:pPr>
      <w:r>
        <w:rPr>
          <w:rFonts w:hint="default" w:ascii="Times New Roman" w:hAnsi="Times New Roman" w:eastAsia="仿宋_GB2312" w:cs="Times New Roman"/>
          <w:bCs/>
          <w:sz w:val="28"/>
          <w:szCs w:val="28"/>
        </w:rPr>
        <w:t>（2）广西永凯糖纸集团有限公司的。采用上流式多级厌氧和异相催化氧化深度处理技术处理废水，厌氧工程和深度处理工程废水处理量分别为11000m</w:t>
      </w:r>
      <w:r>
        <w:rPr>
          <w:rFonts w:hint="default" w:ascii="Times New Roman" w:hAnsi="Times New Roman" w:eastAsia="仿宋_GB2312" w:cs="Times New Roman"/>
          <w:bCs/>
          <w:sz w:val="28"/>
          <w:szCs w:val="28"/>
          <w:vertAlign w:val="superscript"/>
        </w:rPr>
        <w:t>3</w:t>
      </w:r>
      <w:r>
        <w:rPr>
          <w:rFonts w:hint="default" w:ascii="Times New Roman" w:hAnsi="Times New Roman" w:eastAsia="仿宋_GB2312" w:cs="Times New Roman"/>
          <w:bCs/>
          <w:sz w:val="28"/>
          <w:szCs w:val="28"/>
        </w:rPr>
        <w:t>/d和50000m</w:t>
      </w:r>
      <w:r>
        <w:rPr>
          <w:rFonts w:hint="default" w:ascii="Times New Roman" w:hAnsi="Times New Roman" w:eastAsia="仿宋_GB2312" w:cs="Times New Roman"/>
          <w:bCs/>
          <w:sz w:val="28"/>
          <w:szCs w:val="28"/>
          <w:vertAlign w:val="superscript"/>
        </w:rPr>
        <w:t>3</w:t>
      </w:r>
      <w:r>
        <w:rPr>
          <w:rFonts w:hint="default" w:ascii="Times New Roman" w:hAnsi="Times New Roman" w:eastAsia="仿宋_GB2312" w:cs="Times New Roman"/>
          <w:bCs/>
          <w:sz w:val="28"/>
          <w:szCs w:val="28"/>
        </w:rPr>
        <w:t>/d。2013~2015年厌氧活性颗粒污泥产量3000吨，厌氧沼气产量5300万m</w:t>
      </w:r>
      <w:r>
        <w:rPr>
          <w:rFonts w:hint="default" w:ascii="Times New Roman" w:hAnsi="Times New Roman" w:eastAsia="仿宋_GB2312" w:cs="Times New Roman"/>
          <w:bCs/>
          <w:sz w:val="28"/>
          <w:szCs w:val="28"/>
          <w:vertAlign w:val="superscript"/>
        </w:rPr>
        <w:t>3</w:t>
      </w:r>
      <w:r>
        <w:rPr>
          <w:rFonts w:hint="default" w:ascii="Times New Roman" w:hAnsi="Times New Roman" w:eastAsia="仿宋_GB2312" w:cs="Times New Roman"/>
          <w:bCs/>
          <w:sz w:val="28"/>
          <w:szCs w:val="28"/>
        </w:rPr>
        <w:t>（净化后产量3000万m</w:t>
      </w:r>
      <w:r>
        <w:rPr>
          <w:rFonts w:hint="default" w:ascii="Times New Roman" w:hAnsi="Times New Roman" w:eastAsia="仿宋_GB2312" w:cs="Times New Roman"/>
          <w:bCs/>
          <w:sz w:val="28"/>
          <w:szCs w:val="28"/>
          <w:vertAlign w:val="superscript"/>
        </w:rPr>
        <w:t>2</w:t>
      </w:r>
      <w:r>
        <w:rPr>
          <w:rFonts w:hint="default" w:ascii="Times New Roman" w:hAnsi="Times New Roman" w:eastAsia="仿宋_GB2312" w:cs="Times New Roman"/>
          <w:bCs/>
          <w:sz w:val="28"/>
          <w:szCs w:val="28"/>
        </w:rPr>
        <w:t>，甲烷含量&gt;95%)。双氧水、硫酸亚铁、硫酸和氢氧化钠的使用量减少分别为15300吨、22300吨、8100吨和16300吨,处理后废水回用量达40000m</w:t>
      </w:r>
      <w:r>
        <w:rPr>
          <w:rFonts w:hint="default" w:ascii="Times New Roman" w:hAnsi="Times New Roman" w:eastAsia="仿宋_GB2312" w:cs="Times New Roman"/>
          <w:bCs/>
          <w:sz w:val="28"/>
          <w:szCs w:val="28"/>
          <w:vertAlign w:val="superscript"/>
        </w:rPr>
        <w:t>2</w:t>
      </w:r>
      <w:r>
        <w:rPr>
          <w:rFonts w:hint="default" w:ascii="Times New Roman" w:hAnsi="Times New Roman" w:eastAsia="仿宋_GB2312" w:cs="Times New Roman"/>
          <w:bCs/>
          <w:sz w:val="28"/>
          <w:szCs w:val="28"/>
        </w:rPr>
        <w:t>/d。我公司采用新技术后实现了有机污染物资源化利用和超低排放，取得了明显的经济、环境和社会效益。</w:t>
      </w:r>
    </w:p>
    <w:p w14:paraId="6736F813">
      <w:pPr>
        <w:keepNext w:val="0"/>
        <w:keepLines w:val="0"/>
        <w:pageBreakBefore w:val="0"/>
        <w:widowControl w:val="0"/>
        <w:kinsoku/>
        <w:wordWrap/>
        <w:overflowPunct/>
        <w:topLinePunct w:val="0"/>
        <w:autoSpaceDE/>
        <w:autoSpaceDN/>
        <w:bidi w:val="0"/>
        <w:adjustRightInd/>
        <w:snapToGrid/>
        <w:spacing w:line="560" w:lineRule="exact"/>
        <w:ind w:firstLine="562" w:firstLineChars="200"/>
        <w:jc w:val="both"/>
        <w:textAlignment w:val="auto"/>
        <w:rPr>
          <w:rFonts w:hint="default" w:ascii="Times New Roman" w:hAnsi="Times New Roman" w:eastAsia="仿宋_GB2312" w:cs="Times New Roman"/>
          <w:b/>
          <w:sz w:val="28"/>
          <w:szCs w:val="28"/>
        </w:rPr>
      </w:pPr>
      <w:r>
        <w:rPr>
          <w:rFonts w:hint="default" w:ascii="Times New Roman" w:hAnsi="Times New Roman" w:eastAsia="仿宋_GB2312" w:cs="Times New Roman"/>
          <w:b/>
          <w:sz w:val="28"/>
          <w:szCs w:val="28"/>
        </w:rPr>
        <w:t>7. 联系方式：</w:t>
      </w:r>
    </w:p>
    <w:p w14:paraId="3F47653E">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联系人：朱琦</w:t>
      </w:r>
    </w:p>
    <w:p w14:paraId="20580ED6">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电  话：13077774500</w:t>
      </w:r>
    </w:p>
    <w:p w14:paraId="62A6E12B">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地  址：广西南宁高新区高安路101 号</w:t>
      </w:r>
    </w:p>
    <w:p w14:paraId="048CC678">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邮  编：530007</w:t>
      </w:r>
    </w:p>
    <w:p w14:paraId="64D7267F">
      <w:pPr>
        <w:keepNext w:val="0"/>
        <w:keepLines w:val="0"/>
        <w:pageBreakBefore w:val="0"/>
        <w:widowControl w:val="0"/>
        <w:kinsoku/>
        <w:wordWrap/>
        <w:overflowPunct/>
        <w:topLinePunct w:val="0"/>
        <w:autoSpaceDE/>
        <w:autoSpaceDN/>
        <w:bidi w:val="0"/>
        <w:adjustRightInd/>
        <w:snapToGrid/>
        <w:spacing w:line="560" w:lineRule="exact"/>
        <w:ind w:left="0" w:leftChars="0" w:firstLine="560" w:firstLineChars="200"/>
        <w:jc w:val="left"/>
        <w:textAlignment w:val="auto"/>
        <w:rPr>
          <w:rFonts w:hint="default" w:ascii="Times New Roman" w:hAnsi="Times New Roman" w:eastAsia="仿宋_GB2312" w:cs="Times New Roman"/>
          <w:sz w:val="28"/>
          <w:szCs w:val="28"/>
        </w:rPr>
      </w:pPr>
      <w:r>
        <w:rPr>
          <w:rFonts w:hint="default" w:ascii="Times New Roman" w:hAnsi="Times New Roman" w:eastAsia="仿宋_GB2312" w:cs="Times New Roman"/>
          <w:sz w:val="28"/>
          <w:szCs w:val="28"/>
        </w:rPr>
        <w:t>E—mail：gx994500@bossco.cc</w:t>
      </w:r>
    </w:p>
    <w:p w14:paraId="03D65907">
      <w:pPr>
        <w:spacing w:line="100" w:lineRule="exact"/>
      </w:pPr>
      <w:bookmarkStart w:id="27" w:name="_GoBack"/>
      <w:bookmarkEnd w:id="27"/>
    </w:p>
    <w:sectPr>
      <w:headerReference r:id="rId10" w:type="default"/>
      <w:footerReference r:id="rId11" w:type="default"/>
      <w:pgSz w:w="11910" w:h="16840"/>
      <w:pgMar w:top="2098" w:right="1531" w:bottom="1417" w:left="1531" w:header="1" w:footer="1417" w:gutter="0"/>
      <w:pgNumType w:fmt="decimal"/>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AFF" w:usb1="C0007843" w:usb2="00000009" w:usb3="00000000" w:csb0="400001FF" w:csb1="FFFF0000"/>
  </w:font>
  <w:font w:name="CG Times">
    <w:altName w:val="Times New Roman"/>
    <w:panose1 w:val="00000000000000000000"/>
    <w:charset w:val="00"/>
    <w:family w:val="auto"/>
    <w:pitch w:val="default"/>
    <w:sig w:usb0="00000000" w:usb1="00000000" w:usb2="00000000" w:usb3="00000000" w:csb0="00000093" w:csb1="00000000"/>
  </w:font>
  <w:font w:name="方正仿宋简体">
    <w:altName w:val="微软雅黑"/>
    <w:panose1 w:val="00000000000000000000"/>
    <w:charset w:val="86"/>
    <w:family w:val="auto"/>
    <w:pitch w:val="default"/>
    <w:sig w:usb0="00000000" w:usb1="00000000" w:usb2="00000010" w:usb3="00000000" w:csb0="00040000" w:csb1="00000000"/>
  </w:font>
  <w:font w:name="方正小标宋_GBK">
    <w:altName w:val="微软雅黑"/>
    <w:panose1 w:val="02000000000000000000"/>
    <w:charset w:val="86"/>
    <w:family w:val="script"/>
    <w:pitch w:val="default"/>
    <w:sig w:usb0="00000001" w:usb1="08000000" w:usb2="00000000" w:usb3="00000000" w:csb0="00040000" w:csb1="00000000"/>
  </w:font>
  <w:font w:name="方正仿宋_GBK">
    <w:altName w:val="微软雅黑"/>
    <w:panose1 w:val="03000509000000000000"/>
    <w:charset w:val="86"/>
    <w:family w:val="script"/>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05AE6F">
    <w:pPr>
      <w:pStyle w:val="7"/>
    </w:pPr>
    <w:r>
      <mc:AlternateContent>
        <mc:Choice Requires="wps">
          <w:drawing>
            <wp:anchor distT="0" distB="0" distL="114300" distR="114300" simplePos="0" relativeHeight="251664384" behindDoc="0" locked="0" layoutInCell="1" allowOverlap="1">
              <wp:simplePos x="0" y="0"/>
              <wp:positionH relativeFrom="margin">
                <wp:align>outside</wp:align>
              </wp:positionH>
              <wp:positionV relativeFrom="paragraph">
                <wp:posOffset>0</wp:posOffset>
              </wp:positionV>
              <wp:extent cx="622935" cy="230505"/>
              <wp:effectExtent l="0" t="0" r="0" b="0"/>
              <wp:wrapNone/>
              <wp:docPr id="11" name="文本框 9"/>
              <wp:cNvGraphicFramePr/>
              <a:graphic xmlns:a="http://schemas.openxmlformats.org/drawingml/2006/main">
                <a:graphicData uri="http://schemas.microsoft.com/office/word/2010/wordprocessingShape">
                  <wps:wsp>
                    <wps:cNvSpPr txBox="1"/>
                    <wps:spPr>
                      <a:xfrm>
                        <a:off x="0" y="0"/>
                        <a:ext cx="622935" cy="230505"/>
                      </a:xfrm>
                      <a:prstGeom prst="rect">
                        <a:avLst/>
                      </a:prstGeom>
                      <a:noFill/>
                      <a:ln>
                        <a:noFill/>
                      </a:ln>
                    </wps:spPr>
                    <wps:txbx>
                      <w:txbxContent>
                        <w:p w14:paraId="4073ECF5">
                          <w:pPr>
                            <w:pStyle w:val="7"/>
                            <w:rPr>
                              <w:sz w:val="28"/>
                              <w:szCs w:val="28"/>
                            </w:rPr>
                          </w:pPr>
                          <w:r>
                            <w:rPr>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w:t>
                          </w:r>
                          <w:r>
                            <w:rPr>
                              <w:rFonts w:hint="default" w:ascii="Times New Roman" w:hAnsi="Times New Roman" w:eastAsia="宋体" w:cs="Times New Roman"/>
                              <w:sz w:val="28"/>
                              <w:szCs w:val="28"/>
                            </w:rPr>
                            <w:fldChar w:fldCharType="end"/>
                          </w:r>
                          <w:r>
                            <w:rPr>
                              <w:sz w:val="28"/>
                              <w:szCs w:val="28"/>
                            </w:rPr>
                            <w:t xml:space="preserve"> —</w:t>
                          </w:r>
                        </w:p>
                      </w:txbxContent>
                    </wps:txbx>
                    <wps:bodyPr vert="horz" wrap="none" lIns="0" tIns="0" rIns="0" bIns="0" anchor="t" anchorCtr="0" upright="1">
                      <a:spAutoFit/>
                    </wps:bodyPr>
                  </wps:wsp>
                </a:graphicData>
              </a:graphic>
            </wp:anchor>
          </w:drawing>
        </mc:Choice>
        <mc:Fallback>
          <w:pict>
            <v:shape id="文本框 9" o:spid="_x0000_s1026" o:spt="202" type="#_x0000_t202" style="position:absolute;left:0pt;margin-top:0pt;height:18.15pt;width:49.05pt;mso-position-horizontal:outside;mso-position-horizontal-relative:margin;mso-wrap-style:none;z-index:251664384;mso-width-relative:page;mso-height-relative:page;" filled="f" stroked="f" coordsize="21600,21600" o:gfxdata="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">
              <v:fill on="f" focussize="0,0"/>
              <v:stroke on="f"/>
              <v:imagedata o:title=""/>
              <o:lock v:ext="edit" aspectratio="f"/>
              <v:textbox inset="0mm,0mm,0mm,0mm" style="mso-fit-shape-to-text:t;">
                <w:txbxContent>
                  <w:p w14:paraId="4073ECF5">
                    <w:pPr>
                      <w:pStyle w:val="7"/>
                      <w:rPr>
                        <w:sz w:val="28"/>
                        <w:szCs w:val="28"/>
                      </w:rPr>
                    </w:pPr>
                    <w:r>
                      <w:rPr>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2</w:t>
                    </w:r>
                    <w:r>
                      <w:rPr>
                        <w:rFonts w:hint="default" w:ascii="Times New Roman" w:hAnsi="Times New Roman" w:eastAsia="宋体" w:cs="Times New Roman"/>
                        <w:sz w:val="28"/>
                        <w:szCs w:val="28"/>
                      </w:rPr>
                      <w:fldChar w:fldCharType="end"/>
                    </w:r>
                    <w:r>
                      <w:rPr>
                        <w:sz w:val="28"/>
                        <w:szCs w:val="28"/>
                      </w:rPr>
                      <w:t xml:space="preserve"> —</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78A2C">
    <w:pPr>
      <w:pStyle w:val="7"/>
    </w:pPr>
    <w:r>
      <mc:AlternateContent>
        <mc:Choice Requires="wps">
          <w:drawing>
            <wp:anchor distT="0" distB="0" distL="114300" distR="114300" simplePos="0" relativeHeight="251666432" behindDoc="0" locked="0" layoutInCell="1" allowOverlap="1">
              <wp:simplePos x="0" y="0"/>
              <wp:positionH relativeFrom="margin">
                <wp:align>outside</wp:align>
              </wp:positionH>
              <wp:positionV relativeFrom="paragraph">
                <wp:posOffset>0</wp:posOffset>
              </wp:positionV>
              <wp:extent cx="1828800" cy="1828800"/>
              <wp:effectExtent l="0" t="0" r="0" b="0"/>
              <wp:wrapNone/>
              <wp:docPr id="13"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60E70014">
                          <w:pPr>
                            <w:pStyle w:val="7"/>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w:t>
                          </w:r>
                        </w:p>
                      </w:txbxContent>
                    </wps:txbx>
                    <wps:bodyPr wrap="none" lIns="0" tIns="0" rIns="0" bIns="0" upright="1">
                      <a:spAutoFit/>
                    </wps:bodyPr>
                  </wps:wsp>
                </a:graphicData>
              </a:graphic>
            </wp:anchor>
          </w:drawing>
        </mc:Choice>
        <mc:Fallback>
          <w:pict>
            <v:shape id="文本框 8" o:spid="_x0000_s1026" o:spt="202" type="#_x0000_t202" style="position:absolute;left:0pt;margin-top:0pt;height:144pt;width:144pt;mso-position-horizontal:outside;mso-position-horizontal-relative:margin;mso-wrap-style:none;z-index:25166643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BnL6SyQEAAJoDAAAOAAAAAAAAAAEAIAAAAB4BAABkcnMvZTJvRG9j&#10;LnhtbFBLBQYAAAAABgAGAFkBAABZBQAAAAA=&#10;">
              <v:fill on="f" focussize="0,0"/>
              <v:stroke on="f"/>
              <v:imagedata o:title=""/>
              <o:lock v:ext="edit" aspectratio="f"/>
              <v:textbox inset="0mm,0mm,0mm,0mm" style="mso-fit-shape-to-text:t;">
                <w:txbxContent>
                  <w:p w14:paraId="60E70014">
                    <w:pPr>
                      <w:pStyle w:val="7"/>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2</w:t>
                    </w:r>
                    <w:r>
                      <w:rPr>
                        <w:rFonts w:hint="eastAsia"/>
                      </w:rPr>
                      <w:fldChar w:fldCharType="end"/>
                    </w:r>
                    <w:r>
                      <w:rPr>
                        <w:rFonts w:hint="eastAsia"/>
                      </w:rPr>
                      <w:t xml:space="preserve"> —</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6E05BA">
    <w:pPr>
      <w:pStyle w:val="7"/>
    </w:pPr>
    <w:r>
      <w:rPr>
        <w:sz w:val="18"/>
      </w:rPr>
      <mc:AlternateContent>
        <mc:Choice Requires="wps">
          <w:drawing>
            <wp:anchor distT="0" distB="0" distL="114300" distR="114300" simplePos="0" relativeHeight="25166540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7862216">
                          <w:pPr>
                            <w:pStyle w:val="7"/>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t xml:space="preserve"> —</w:t>
                          </w:r>
                        </w:p>
                      </w:txbxContent>
                    </wps:txbx>
                    <wps:bodyPr vert="horz" wrap="none" lIns="0" tIns="0" rIns="0" bIns="0" anchor="t" anchorCtr="0" upright="0">
                      <a:spAutoFit/>
                    </wps:bodyPr>
                  </wps:wsp>
                </a:graphicData>
              </a:graphic>
            </wp:anchor>
          </w:drawing>
        </mc:Choice>
        <mc:Fallback>
          <w:pict>
            <v:shape id="文本框 11" o:spid="_x0000_s1026" o:spt="202" type="#_x0000_t202" style="position:absolute;left:0pt;margin-top:0pt;height:144pt;width:144pt;mso-position-horizontal:outside;mso-position-horizontal-relative:margin;mso-wrap-style:none;z-index:25166540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M6pebnPAAAABQEAAA8AAAAAAAAAAQAg&#10;AAAAIgAAAGRycy9kb3ducmV2LnhtbFBLAQIUABQAAAAIAIdO4kBOBHez3gEAAMADAAAOAAAAAAAA&#10;AAEAIAAAAB4BAABkcnMvZTJvRG9jLnhtbFBLBQYAAAAABgAGAFkBAABuBQAAAAA=&#10;">
              <v:fill on="f" focussize="0,0"/>
              <v:stroke on="f"/>
              <v:imagedata o:title=""/>
              <o:lock v:ext="edit" aspectratio="f"/>
              <v:textbox inset="0mm,0mm,0mm,0mm" style="mso-fit-shape-to-text:t;">
                <w:txbxContent>
                  <w:p w14:paraId="17862216">
                    <w:pPr>
                      <w:pStyle w:val="7"/>
                      <w:rPr>
                        <w:rFonts w:hint="default" w:ascii="Times New Roman" w:hAnsi="Times New Roman" w:eastAsia="宋体" w:cs="Times New Roman"/>
                        <w:sz w:val="28"/>
                        <w:szCs w:val="28"/>
                      </w:rPr>
                    </w:pPr>
                    <w:r>
                      <w:rPr>
                        <w:rFonts w:hint="default" w:ascii="Times New Roman" w:hAnsi="Times New Roman" w:eastAsia="宋体" w:cs="Times New Roman"/>
                        <w:sz w:val="28"/>
                        <w:szCs w:val="28"/>
                      </w:rPr>
                      <w:t xml:space="preserve">— </w:t>
                    </w:r>
                    <w:r>
                      <w:rPr>
                        <w:rFonts w:hint="default" w:ascii="Times New Roman" w:hAnsi="Times New Roman" w:eastAsia="宋体" w:cs="Times New Roman"/>
                        <w:sz w:val="28"/>
                        <w:szCs w:val="28"/>
                      </w:rPr>
                      <w:fldChar w:fldCharType="begin"/>
                    </w:r>
                    <w:r>
                      <w:rPr>
                        <w:rFonts w:hint="default" w:ascii="Times New Roman" w:hAnsi="Times New Roman" w:eastAsia="宋体" w:cs="Times New Roman"/>
                        <w:sz w:val="28"/>
                        <w:szCs w:val="28"/>
                      </w:rPr>
                      <w:instrText xml:space="preserve"> PAGE  \* MERGEFORMAT </w:instrText>
                    </w:r>
                    <w:r>
                      <w:rPr>
                        <w:rFonts w:hint="default" w:ascii="Times New Roman" w:hAnsi="Times New Roman" w:eastAsia="宋体" w:cs="Times New Roman"/>
                        <w:sz w:val="28"/>
                        <w:szCs w:val="28"/>
                      </w:rPr>
                      <w:fldChar w:fldCharType="separate"/>
                    </w:r>
                    <w:r>
                      <w:rPr>
                        <w:rFonts w:hint="default" w:ascii="Times New Roman" w:hAnsi="Times New Roman" w:eastAsia="宋体" w:cs="Times New Roman"/>
                        <w:sz w:val="28"/>
                        <w:szCs w:val="28"/>
                      </w:rPr>
                      <w:t>1</w:t>
                    </w:r>
                    <w:r>
                      <w:rPr>
                        <w:rFonts w:hint="default" w:ascii="Times New Roman" w:hAnsi="Times New Roman" w:eastAsia="宋体" w:cs="Times New Roman"/>
                        <w:sz w:val="28"/>
                        <w:szCs w:val="28"/>
                      </w:rPr>
                      <w:fldChar w:fldCharType="end"/>
                    </w:r>
                    <w:r>
                      <w:rPr>
                        <w:rFonts w:hint="default" w:ascii="Times New Roman" w:hAnsi="Times New Roman" w:eastAsia="宋体" w:cs="Times New Roman"/>
                        <w:sz w:val="28"/>
                        <w:szCs w:val="28"/>
                      </w:rPr>
                      <w:t xml:space="preserve"> —</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A977B3">
    <w:pPr>
      <w:pStyle w:val="7"/>
      <w:jc w:val="right"/>
      <w:rPr>
        <w:rFonts w:ascii="仿宋_GB2312" w:eastAsia="仿宋_GB2312"/>
        <w:sz w:val="28"/>
        <w:szCs w:val="28"/>
      </w:rPr>
    </w:pPr>
    <w:r>
      <w:rPr>
        <w:sz w:val="28"/>
      </w:rPr>
      <mc:AlternateContent>
        <mc:Choice Requires="wps">
          <w:drawing>
            <wp:anchor distT="0" distB="0" distL="114300" distR="114300" simplePos="0" relativeHeight="251662336" behindDoc="0" locked="0" layoutInCell="1" allowOverlap="1">
              <wp:simplePos x="0" y="0"/>
              <wp:positionH relativeFrom="margin">
                <wp:align>outside</wp:align>
              </wp:positionH>
              <wp:positionV relativeFrom="paragraph">
                <wp:posOffset>0</wp:posOffset>
              </wp:positionV>
              <wp:extent cx="622935" cy="230505"/>
              <wp:effectExtent l="0" t="0" r="0" b="0"/>
              <wp:wrapNone/>
              <wp:docPr id="9" name="文本框 11"/>
              <wp:cNvGraphicFramePr/>
              <a:graphic xmlns:a="http://schemas.openxmlformats.org/drawingml/2006/main">
                <a:graphicData uri="http://schemas.microsoft.com/office/word/2010/wordprocessingShape">
                  <wps:wsp>
                    <wps:cNvSpPr txBox="1"/>
                    <wps:spPr>
                      <a:xfrm>
                        <a:off x="0" y="0"/>
                        <a:ext cx="622935" cy="230505"/>
                      </a:xfrm>
                      <a:prstGeom prst="rect">
                        <a:avLst/>
                      </a:prstGeom>
                      <a:noFill/>
                      <a:ln>
                        <a:noFill/>
                      </a:ln>
                    </wps:spPr>
                    <wps:txbx>
                      <w:txbxContent>
                        <w:p w14:paraId="5308EE80">
                          <w:pPr>
                            <w:pStyle w:val="7"/>
                            <w:jc w:val="righ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  \* MERGEFORMAT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w:t>
                          </w:r>
                          <w:r>
                            <w:rPr>
                              <w:rFonts w:hint="default" w:ascii="Times New Roman" w:hAnsi="Times New Roman" w:eastAsia="仿宋_GB2312" w:cs="Times New Roman"/>
                              <w:sz w:val="28"/>
                              <w:szCs w:val="28"/>
                            </w:rPr>
                            <w:fldChar w:fldCharType="end"/>
                          </w:r>
                          <w:r>
                            <w:rPr>
                              <w:rFonts w:hint="eastAsia" w:ascii="仿宋_GB2312" w:hAnsi="仿宋_GB2312" w:eastAsia="仿宋_GB2312" w:cs="仿宋_GB2312"/>
                              <w:sz w:val="28"/>
                              <w:szCs w:val="28"/>
                            </w:rPr>
                            <w:t xml:space="preserve"> —</w:t>
                          </w:r>
                        </w:p>
                      </w:txbxContent>
                    </wps:txbx>
                    <wps:bodyPr vert="horz" wrap="none" lIns="0" tIns="0" rIns="0" bIns="0" anchor="t" anchorCtr="0" upright="1">
                      <a:spAutoFit/>
                    </wps:bodyPr>
                  </wps:wsp>
                </a:graphicData>
              </a:graphic>
            </wp:anchor>
          </w:drawing>
        </mc:Choice>
        <mc:Fallback>
          <w:pict>
            <v:shape id="文本框 11" o:spid="_x0000_s1026" o:spt="202" type="#_x0000_t202" style="position:absolute;left:0pt;margin-top:0pt;height:18.15pt;width:49.05pt;mso-position-horizontal:outside;mso-position-horizontal-relative:margin;mso-wrap-style:none;z-index:251662336;mso-width-relative:page;mso-height-relative:page;" filled="f" stroked="f" coordsize="21600,21600" o:gfxdata="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gzMxXRAAAAAwEAAA8A&#10;AAAAAAAAAQAgAAAAIgAAAGRycy9kb3ducmV2LnhtbFBLAQIUABQAAAAIAIdO4kBHl4Gx5QEAAL0D&#10;AAAOAAAAAAAAAAEAIAAAACABAABkcnMvZTJvRG9jLnhtbFBLBQYAAAAABgAGAFkBAAB3BQAAAAA=&#10;">
              <v:fill on="f" focussize="0,0"/>
              <v:stroke on="f"/>
              <v:imagedata o:title=""/>
              <o:lock v:ext="edit" aspectratio="f"/>
              <v:textbox inset="0mm,0mm,0mm,0mm" style="mso-fit-shape-to-text:t;">
                <w:txbxContent>
                  <w:p w14:paraId="5308EE80">
                    <w:pPr>
                      <w:pStyle w:val="7"/>
                      <w:jc w:val="right"/>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default" w:ascii="Times New Roman" w:hAnsi="Times New Roman" w:eastAsia="仿宋_GB2312" w:cs="Times New Roman"/>
                        <w:sz w:val="28"/>
                        <w:szCs w:val="28"/>
                      </w:rPr>
                      <w:fldChar w:fldCharType="begin"/>
                    </w:r>
                    <w:r>
                      <w:rPr>
                        <w:rFonts w:hint="default" w:ascii="Times New Roman" w:hAnsi="Times New Roman" w:eastAsia="仿宋_GB2312" w:cs="Times New Roman"/>
                        <w:sz w:val="28"/>
                        <w:szCs w:val="28"/>
                      </w:rPr>
                      <w:instrText xml:space="preserve"> PAGE  \* MERGEFORMAT </w:instrText>
                    </w:r>
                    <w:r>
                      <w:rPr>
                        <w:rFonts w:hint="default" w:ascii="Times New Roman" w:hAnsi="Times New Roman" w:eastAsia="仿宋_GB2312" w:cs="Times New Roman"/>
                        <w:sz w:val="28"/>
                        <w:szCs w:val="28"/>
                      </w:rPr>
                      <w:fldChar w:fldCharType="separate"/>
                    </w:r>
                    <w:r>
                      <w:rPr>
                        <w:rFonts w:hint="default" w:ascii="Times New Roman" w:hAnsi="Times New Roman" w:eastAsia="仿宋_GB2312" w:cs="Times New Roman"/>
                        <w:sz w:val="28"/>
                        <w:szCs w:val="28"/>
                      </w:rPr>
                      <w:t>4</w:t>
                    </w:r>
                    <w:r>
                      <w:rPr>
                        <w:rFonts w:hint="default" w:ascii="Times New Roman" w:hAnsi="Times New Roman" w:eastAsia="仿宋_GB2312" w:cs="Times New Roman"/>
                        <w:sz w:val="28"/>
                        <w:szCs w:val="28"/>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1AF504">
    <w:pPr>
      <w:pStyle w:val="7"/>
      <w:jc w:val="both"/>
      <w:rPr>
        <w:rFonts w:ascii="仿宋_GB2312" w:eastAsia="仿宋_GB2312"/>
        <w:sz w:val="28"/>
        <w:szCs w:val="28"/>
      </w:rPr>
    </w:pPr>
    <w:r>
      <w:rPr>
        <w:sz w:val="28"/>
      </w:rPr>
      <mc:AlternateContent>
        <mc:Choice Requires="wps">
          <w:drawing>
            <wp:anchor distT="0" distB="0" distL="114300" distR="114300" simplePos="0" relativeHeight="251667456" behindDoc="0" locked="0" layoutInCell="1" allowOverlap="1">
              <wp:simplePos x="0" y="0"/>
              <wp:positionH relativeFrom="margin">
                <wp:align>outside</wp:align>
              </wp:positionH>
              <wp:positionV relativeFrom="paragraph">
                <wp:posOffset>0</wp:posOffset>
              </wp:positionV>
              <wp:extent cx="622935" cy="230505"/>
              <wp:effectExtent l="0" t="0" r="0" b="0"/>
              <wp:wrapNone/>
              <wp:docPr id="14" name="文本框 13"/>
              <wp:cNvGraphicFramePr/>
              <a:graphic xmlns:a="http://schemas.openxmlformats.org/drawingml/2006/main">
                <a:graphicData uri="http://schemas.microsoft.com/office/word/2010/wordprocessingShape">
                  <wps:wsp>
                    <wps:cNvSpPr txBox="1"/>
                    <wps:spPr>
                      <a:xfrm>
                        <a:off x="0" y="0"/>
                        <a:ext cx="622935" cy="230505"/>
                      </a:xfrm>
                      <a:prstGeom prst="rect">
                        <a:avLst/>
                      </a:prstGeom>
                      <a:noFill/>
                      <a:ln>
                        <a:noFill/>
                      </a:ln>
                    </wps:spPr>
                    <wps:txbx>
                      <w:txbxContent>
                        <w:p w14:paraId="131333DB">
                          <w:pPr>
                            <w:pStyle w:val="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  \* MERGEFORMAT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w:t>
                          </w:r>
                          <w:r>
                            <w:rPr>
                              <w:rFonts w:hint="default" w:ascii="Times New Roman" w:hAnsi="Times New Roman" w:eastAsia="仿宋_GB2312" w:cs="Times New Roman"/>
                              <w:sz w:val="32"/>
                              <w:szCs w:val="32"/>
                            </w:rPr>
                            <w:fldChar w:fldCharType="end"/>
                          </w:r>
                          <w:r>
                            <w:rPr>
                              <w:rFonts w:hint="eastAsia" w:ascii="仿宋_GB2312" w:hAnsi="仿宋_GB2312" w:eastAsia="仿宋_GB2312" w:cs="仿宋_GB2312"/>
                              <w:sz w:val="28"/>
                              <w:szCs w:val="28"/>
                            </w:rPr>
                            <w:t xml:space="preserve"> —</w:t>
                          </w:r>
                        </w:p>
                      </w:txbxContent>
                    </wps:txbx>
                    <wps:bodyPr vert="horz" wrap="none" lIns="0" tIns="0" rIns="0" bIns="0" anchor="t" anchorCtr="0" upright="1">
                      <a:spAutoFit/>
                    </wps:bodyPr>
                  </wps:wsp>
                </a:graphicData>
              </a:graphic>
            </wp:anchor>
          </w:drawing>
        </mc:Choice>
        <mc:Fallback>
          <w:pict>
            <v:shape id="文本框 13" o:spid="_x0000_s1026" o:spt="202" type="#_x0000_t202" style="position:absolute;left:0pt;margin-top:0pt;height:18.15pt;width:49.05pt;mso-position-horizontal:outside;mso-position-horizontal-relative:margin;mso-wrap-style:none;z-index:251667456;mso-width-relative:page;mso-height-relative:page;" filled="f" stroked="f" coordsize="21600,21600" o:gfxdata="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EgzMxXRAAAAAwEAAA8A&#10;AAAAAAAAAQAgAAAAIgAAAGRycy9kb3ducmV2LnhtbFBLAQIUABQAAAAIAIdO4kCP1VNz5QEAAL4D&#10;AAAOAAAAAAAAAAEAIAAAACABAABkcnMvZTJvRG9jLnhtbFBLBQYAAAAABgAGAFkBAAB3BQAAAAA=&#10;">
              <v:fill on="f" focussize="0,0"/>
              <v:stroke on="f"/>
              <v:imagedata o:title=""/>
              <o:lock v:ext="edit" aspectratio="f"/>
              <v:textbox inset="0mm,0mm,0mm,0mm" style="mso-fit-shape-to-text:t;">
                <w:txbxContent>
                  <w:p w14:paraId="131333DB">
                    <w:pPr>
                      <w:pStyle w:val="7"/>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 </w:t>
                    </w:r>
                    <w:r>
                      <w:rPr>
                        <w:rFonts w:hint="default" w:ascii="Times New Roman" w:hAnsi="Times New Roman" w:eastAsia="仿宋_GB2312" w:cs="Times New Roman"/>
                        <w:sz w:val="32"/>
                        <w:szCs w:val="32"/>
                      </w:rPr>
                      <w:fldChar w:fldCharType="begin"/>
                    </w:r>
                    <w:r>
                      <w:rPr>
                        <w:rFonts w:hint="default" w:ascii="Times New Roman" w:hAnsi="Times New Roman" w:eastAsia="仿宋_GB2312" w:cs="Times New Roman"/>
                        <w:sz w:val="32"/>
                        <w:szCs w:val="32"/>
                      </w:rPr>
                      <w:instrText xml:space="preserve"> PAGE  \* MERGEFORMAT </w:instrText>
                    </w:r>
                    <w:r>
                      <w:rPr>
                        <w:rFonts w:hint="default" w:ascii="Times New Roman" w:hAnsi="Times New Roman" w:eastAsia="仿宋_GB2312" w:cs="Times New Roman"/>
                        <w:sz w:val="32"/>
                        <w:szCs w:val="32"/>
                      </w:rPr>
                      <w:fldChar w:fldCharType="separate"/>
                    </w:r>
                    <w:r>
                      <w:rPr>
                        <w:rFonts w:hint="default" w:ascii="Times New Roman" w:hAnsi="Times New Roman" w:eastAsia="仿宋_GB2312" w:cs="Times New Roman"/>
                        <w:sz w:val="32"/>
                        <w:szCs w:val="32"/>
                      </w:rPr>
                      <w:t>7</w:t>
                    </w:r>
                    <w:r>
                      <w:rPr>
                        <w:rFonts w:hint="default" w:ascii="Times New Roman" w:hAnsi="Times New Roman" w:eastAsia="仿宋_GB2312" w:cs="Times New Roman"/>
                        <w:sz w:val="32"/>
                        <w:szCs w:val="32"/>
                      </w:rPr>
                      <w:fldChar w:fldCharType="end"/>
                    </w:r>
                    <w:r>
                      <w:rPr>
                        <w:rFonts w:hint="eastAsia" w:ascii="仿宋_GB2312" w:hAnsi="仿宋_GB2312" w:eastAsia="仿宋_GB2312" w:cs="仿宋_GB2312"/>
                        <w:sz w:val="28"/>
                        <w:szCs w:val="28"/>
                      </w:rPr>
                      <w:t xml:space="preserve"> —</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160560">
    <w:pPr>
      <w:pStyle w:val="7"/>
      <w:rPr>
        <w:rFonts w:ascii="仿宋_GB2312" w:eastAsia="仿宋_GB2312"/>
        <w:sz w:val="28"/>
        <w:szCs w:val="28"/>
      </w:rPr>
    </w:pPr>
    <w:r>
      <w:rPr>
        <w:sz w:val="28"/>
      </w:rPr>
      <mc:AlternateContent>
        <mc:Choice Requires="wps">
          <w:drawing>
            <wp:anchor distT="0" distB="0" distL="114300" distR="114300" simplePos="0" relativeHeight="25166336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0"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B47A37B">
                          <w:pPr>
                            <w:pStyle w:val="7"/>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8</w:t>
                          </w:r>
                          <w:r>
                            <w:rPr>
                              <w:rFonts w:hint="eastAsia"/>
                            </w:rPr>
                            <w:fldChar w:fldCharType="end"/>
                          </w:r>
                          <w:r>
                            <w:rPr>
                              <w:rFonts w:hint="eastAsia"/>
                            </w:rPr>
                            <w:t xml:space="preserve"> —</w:t>
                          </w:r>
                        </w:p>
                      </w:txbxContent>
                    </wps:txbx>
                    <wps:bodyPr wrap="none" lIns="0" tIns="0" rIns="0" bIns="0" upright="1">
                      <a:spAutoFit/>
                    </wps:bodyPr>
                  </wps:wsp>
                </a:graphicData>
              </a:graphic>
            </wp:anchor>
          </w:drawing>
        </mc:Choice>
        <mc:Fallback>
          <w:pict>
            <v:shape id="文本框 12" o:spid="_x0000_s1026" o:spt="202" type="#_x0000_t202" style="position:absolute;left:0pt;margin-top:0pt;height:144pt;width:144pt;mso-position-horizontal:outside;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BDJcFzyQEAAJsDAAAOAAAAAAAAAAEAIAAAAB4BAABkcnMvZTJvRG9j&#10;LnhtbFBLBQYAAAAABgAGAFkBAABZBQAAAAA=&#10;">
              <v:fill on="f" focussize="0,0"/>
              <v:stroke on="f"/>
              <v:imagedata o:title=""/>
              <o:lock v:ext="edit" aspectratio="f"/>
              <v:textbox inset="0mm,0mm,0mm,0mm" style="mso-fit-shape-to-text:t;">
                <w:txbxContent>
                  <w:p w14:paraId="2B47A37B">
                    <w:pPr>
                      <w:pStyle w:val="7"/>
                    </w:pP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Pr>
                        <w:rFonts w:hint="eastAsia"/>
                      </w:rPr>
                      <w:t>8</w:t>
                    </w:r>
                    <w:r>
                      <w:rPr>
                        <w:rFonts w:hint="eastAsia"/>
                      </w:rPr>
                      <w:fldChar w:fldCharType="end"/>
                    </w:r>
                    <w:r>
                      <w:rPr>
                        <w:rFonts w:hint="eastAsia"/>
                      </w:rPr>
                      <w:t xml:space="preserve"> —</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E83BC">
    <w:pPr>
      <w:pStyle w:val="7"/>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7"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B68B88C">
                          <w:pPr>
                            <w:pStyle w:val="7"/>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10</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wps:txbx>
                    <wps:bodyPr vert="horz" wrap="none" lIns="0" tIns="0" rIns="0" bIns="0" anchor="t" anchorCtr="0" upright="1">
                      <a:spAutoFit/>
                    </wps:bodyPr>
                  </wps:wsp>
                </a:graphicData>
              </a:graphic>
            </wp:anchor>
          </w:drawing>
        </mc:Choice>
        <mc:Fallback>
          <w:pict>
            <v:shape id="文本框 1"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zql5uc8AAAAFAQAADwAAAAAAAAABACAA&#10;AAAiAAAAZHJzL2Rvd25yZXYueG1sUEsBAhQAFAAAAAgAh07iQDwUJsbdAQAAvgMAAA4AAAAAAAAA&#10;AQAgAAAAHgEAAGRycy9lMm9Eb2MueG1sUEsFBgAAAAAGAAYAWQEAAG0FAAAAAA==&#10;">
              <v:fill on="f" focussize="0,0"/>
              <v:stroke on="f"/>
              <v:imagedata o:title=""/>
              <o:lock v:ext="edit" aspectratio="f"/>
              <v:textbox inset="0mm,0mm,0mm,0mm" style="mso-fit-shape-to-text:t;">
                <w:txbxContent>
                  <w:p w14:paraId="0B68B88C">
                    <w:pPr>
                      <w:pStyle w:val="7"/>
                      <w:rPr>
                        <w:rFonts w:hint="default" w:ascii="Times New Roman" w:hAnsi="Times New Roman" w:cs="Times New Roman"/>
                        <w:sz w:val="28"/>
                        <w:szCs w:val="28"/>
                      </w:rPr>
                    </w:pPr>
                    <w:r>
                      <w:rPr>
                        <w:rFonts w:hint="default" w:ascii="Times New Roman" w:hAnsi="Times New Roman" w:cs="Times New Roman"/>
                        <w:sz w:val="28"/>
                        <w:szCs w:val="28"/>
                      </w:rPr>
                      <w:t xml:space="preserve">— </w:t>
                    </w:r>
                    <w:r>
                      <w:rPr>
                        <w:rFonts w:hint="default" w:ascii="Times New Roman" w:hAnsi="Times New Roman" w:cs="Times New Roman"/>
                        <w:sz w:val="28"/>
                        <w:szCs w:val="28"/>
                      </w:rPr>
                      <w:fldChar w:fldCharType="begin"/>
                    </w:r>
                    <w:r>
                      <w:rPr>
                        <w:rFonts w:hint="default" w:ascii="Times New Roman" w:hAnsi="Times New Roman" w:cs="Times New Roman"/>
                        <w:sz w:val="28"/>
                        <w:szCs w:val="28"/>
                      </w:rPr>
                      <w:instrText xml:space="preserve"> PAGE  \* MERGEFORMAT </w:instrText>
                    </w:r>
                    <w:r>
                      <w:rPr>
                        <w:rFonts w:hint="default" w:ascii="Times New Roman" w:hAnsi="Times New Roman" w:cs="Times New Roman"/>
                        <w:sz w:val="28"/>
                        <w:szCs w:val="28"/>
                      </w:rPr>
                      <w:fldChar w:fldCharType="separate"/>
                    </w:r>
                    <w:r>
                      <w:rPr>
                        <w:rFonts w:hint="default" w:ascii="Times New Roman" w:hAnsi="Times New Roman" w:cs="Times New Roman"/>
                        <w:sz w:val="28"/>
                        <w:szCs w:val="28"/>
                      </w:rPr>
                      <w:t>10</w:t>
                    </w:r>
                    <w:r>
                      <w:rPr>
                        <w:rFonts w:hint="default" w:ascii="Times New Roman" w:hAnsi="Times New Roman" w:cs="Times New Roman"/>
                        <w:sz w:val="28"/>
                        <w:szCs w:val="28"/>
                      </w:rPr>
                      <w:fldChar w:fldCharType="end"/>
                    </w:r>
                    <w:r>
                      <w:rPr>
                        <w:rFonts w:hint="default" w:ascii="Times New Roman" w:hAnsi="Times New Roman" w:cs="Times New Roman"/>
                        <w:sz w:val="28"/>
                        <w:szCs w:val="28"/>
                      </w:rPr>
                      <w:t xml:space="preserve"> —</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B3DBC">
    <w:r>
      <mc:AlternateContent>
        <mc:Choice Requires="wps">
          <w:drawing>
            <wp:anchor distT="0" distB="0" distL="114300" distR="114300" simplePos="0" relativeHeight="251661312" behindDoc="0" locked="0" layoutInCell="1" allowOverlap="1">
              <wp:simplePos x="0" y="0"/>
              <wp:positionH relativeFrom="page">
                <wp:posOffset>0</wp:posOffset>
              </wp:positionH>
              <wp:positionV relativeFrom="page">
                <wp:posOffset>0</wp:posOffset>
              </wp:positionV>
              <wp:extent cx="635" cy="0"/>
              <wp:effectExtent l="0" t="0" r="0" b="0"/>
              <wp:wrapNone/>
              <wp:docPr id="8" name="ImpTraceLabel"/>
              <wp:cNvGraphicFramePr/>
              <a:graphic xmlns:a="http://schemas.openxmlformats.org/drawingml/2006/main">
                <a:graphicData uri="http://schemas.microsoft.com/office/word/2010/wordprocessingShape">
                  <wps:wsp>
                    <wps:cNvSpPr txBox="1"/>
                    <wps:spPr>
                      <a:xfrm>
                        <a:off x="0" y="0"/>
                        <a:ext cx="635" cy="0"/>
                      </a:xfrm>
                      <a:prstGeom prst="rect">
                        <a:avLst/>
                      </a:prstGeom>
                      <a:noFill/>
                      <a:ln>
                        <a:noFill/>
                      </a:ln>
                    </wps:spPr>
                    <wps:txbx>
                      <w:txbxContent>
                        <w:p w14:paraId="007C1C8E">
                          <w:r>
                            <w:t>ImpTraceLabel=PD94bWwgdmVyc2lvbj0nMS4wJyBlbmNvZGluZz0nVVRGLTgnPz48dHJhY2U+PGNvbnRlbnQ+PC9jb250ZW50PjxhY2NvdW50PjNrdXZhYmNpOWhjY2gwdjdtODNxdHE8L2FjY291bnQ+PG1hY2hpbmVDb2RlPkszOFpTM0gwMDE1NjgKPC9tYWNoaW5lQ29kZT48dGltZT4yMDI0LTExLTE1IDE2OjEzOjEzPC90aW1lPjxzeXN0ZW0+TUI8c3lzdGVtPjwvdHJhY2U+</w:t>
                          </w:r>
                        </w:p>
                      </w:txbxContent>
                    </wps:txbx>
                    <wps:bodyPr wrap="square" upright="1"/>
                  </wps:wsp>
                </a:graphicData>
              </a:graphic>
            </wp:anchor>
          </w:drawing>
        </mc:Choice>
        <mc:Fallback>
          <w:pict>
            <v:shape id="ImpTraceLabel" o:spid="_x0000_s1026" o:spt="202" type="#_x0000_t202" style="position:absolute;left:0pt;margin-left:0pt;margin-top:0pt;height:0pt;width:0.05pt;mso-position-horizontal-relative:page;mso-position-vertical-relative:page;z-index:251661312;mso-width-relative:page;mso-height-relative:page;" filled="f" stroked="f" coordsize="21600,21600" o:gfxdata="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">
              <v:fill on="f" focussize="0,0"/>
              <v:stroke on="f"/>
              <v:imagedata o:title=""/>
              <o:lock v:ext="edit" aspectratio="f"/>
              <v:textbox>
                <w:txbxContent>
                  <w:p w14:paraId="007C1C8E">
                    <w:r>
                      <w:t>ImpTraceLabel=PD94bWwgdmVyc2lvbj0nMS4wJyBlbmNvZGluZz0nVVRGLTgnPz48dHJhY2U+PGNvbnRlbnQ+PC9jb250ZW50PjxhY2NvdW50PjNrdXZhYmNpOWhjY2gwdjdtODNxdHE8L2FjY291bnQ+PG1hY2hpbmVDb2RlPkszOFpTM0gwMDE1NjgKPC9tYWNoaW5lQ29kZT48dGltZT4yMDI0LTExLTE1IDE2OjEzOjEzPC90aW1lPjxzeXN0ZW0+TUI8c3lzdGVtPjwvdHJhY2U+</w:t>
                    </w:r>
                  </w:p>
                </w:txbxContent>
              </v:textbox>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E4A614">
    <w:r>
      <mc:AlternateContent>
        <mc:Choice Requires="wps">
          <w:drawing>
            <wp:anchor distT="0" distB="0" distL="114300" distR="114300" simplePos="0" relativeHeight="251659264" behindDoc="0" locked="0" layoutInCell="1" allowOverlap="1">
              <wp:simplePos x="0" y="0"/>
              <wp:positionH relativeFrom="page">
                <wp:posOffset>0</wp:posOffset>
              </wp:positionH>
              <wp:positionV relativeFrom="page">
                <wp:posOffset>0</wp:posOffset>
              </wp:positionV>
              <wp:extent cx="635" cy="0"/>
              <wp:effectExtent l="0" t="0" r="0" b="0"/>
              <wp:wrapNone/>
              <wp:docPr id="6" name="ImpTraceLabel"/>
              <wp:cNvGraphicFramePr/>
              <a:graphic xmlns:a="http://schemas.openxmlformats.org/drawingml/2006/main">
                <a:graphicData uri="http://schemas.microsoft.com/office/word/2010/wordprocessingShape">
                  <wps:wsp>
                    <wps:cNvSpPr txBox="1"/>
                    <wps:spPr>
                      <a:xfrm>
                        <a:off x="0" y="0"/>
                        <a:ext cx="635" cy="0"/>
                      </a:xfrm>
                      <a:prstGeom prst="rect">
                        <a:avLst/>
                      </a:prstGeom>
                      <a:noFill/>
                    </wps:spPr>
                    <wps:txbx>
                      <w:txbxContent>
                        <w:p w14:paraId="6DA4FD44">
                          <w:r>
                            <w:t>ImpTraceLabel=PD94bWwgdmVyc2lvbj0nMS4wJyBlbmNvZGluZz0nVVRGLTgnPz48dHJhY2U+PGNvbnRlbnQ+PC9jb250ZW50PjxhY2NvdW50PjNrdXZhYmNpOWhjY2gwdjdtODNxdHE8L2FjY291bnQ+PG1hY2hpbmVDb2RlPkszOFpTM0gwMDE1NjgKPC9tYWNoaW5lQ29kZT48dGltZT4yMDI0LTExLTE1IDE2OjE5OjExPC90aW1lPjxzeXN0ZW0+TUI8c3lzdGVtPjwvdHJhY2U+</w:t>
                          </w:r>
                        </w:p>
                      </w:txbxContent>
                    </wps:txbx>
                    <wps:bodyPr wrap="square" upright="1"/>
                  </wps:wsp>
                </a:graphicData>
              </a:graphic>
            </wp:anchor>
          </w:drawing>
        </mc:Choice>
        <mc:Fallback>
          <w:pict>
            <v:shape id="ImpTraceLabel" o:spid="_x0000_s1026" o:spt="202" type="#_x0000_t202" style="position:absolute;left:0pt;margin-left:0pt;margin-top:0pt;height:0pt;width:0.05pt;mso-position-horizontal-relative:page;mso-position-vertical-relative:page;z-index:251659264;mso-width-relative:page;mso-height-relative:page;" filled="f" stroked="f" coordsize="21600,21600" o:gfxdata="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">
              <v:fill on="f" focussize="0,0"/>
              <v:stroke on="f"/>
              <v:imagedata o:title=""/>
              <o:lock v:ext="edit" aspectratio="f"/>
              <v:textbox>
                <w:txbxContent>
                  <w:p w14:paraId="6DA4FD44">
                    <w:r>
                      <w:t>ImpTraceLabel=PD94bWwgdmVyc2lvbj0nMS4wJyBlbmNvZGluZz0nVVRGLTgnPz48dHJhY2U+PGNvbnRlbnQ+PC9jb250ZW50PjxhY2NvdW50PjNrdXZhYmNpOWhjY2gwdjdtODNxdHE8L2FjY291bnQ+PG1hY2hpbmVDb2RlPkszOFpTM0gwMDE1NjgKPC9tYWNoaW5lQ29kZT48dGltZT4yMDI0LTExLTE1IDE2OjE5OjExPC90aW1lPjxzeXN0ZW0+TUI8c3lzdGVtPjwvdHJhY2U+</w:t>
                    </w:r>
                  </w:p>
                </w:txbxContent>
              </v:textbox>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2"/>
  <w:bordersDoNotSurroundHeader w:val="1"/>
  <w:bordersDoNotSurroundFooter w:val="1"/>
  <w:documentProtection w:enforcement="0"/>
  <w:defaultTabStop w:val="420"/>
  <w:hyphenationZone w:val="360"/>
  <w:drawingGridVerticalSpacing w:val="156"/>
  <w:displayHorizontalDrawingGridEvery w:val="0"/>
  <w:displayVerticalDrawingGridEvery w:val="2"/>
  <w:characterSpacingControl w:val="compressPunctuation"/>
  <w:noLineBreaksAfter w:lang="zh-CN" w:val="([{·‘“〈《「『【〔〖（．［｛￡￥"/>
  <w:noLineBreaksBefore w:lang="zh-CN" w:val="!),.:;?]}¨·ˇˉ―‖’”…∶、。〃々〉》」』】〕〗！＂＇），．：；？］｀｜｝～￠"/>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Y4MmI4YzAyOWE5YzViNGFkYzZkNTRhMjNhMWZjOGMifQ=="/>
  </w:docVars>
  <w:rsids>
    <w:rsidRoot w:val="00BA0F59"/>
    <w:rsid w:val="125F2ACA"/>
    <w:rsid w:val="76890BA3"/>
    <w:rsid w:val="76F73FF0"/>
    <w:rsid w:val="7D5D3890"/>
    <w:rsid w:val="BA24A316"/>
    <w:rsid w:val="D0BE1B6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Calibr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99"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cs="Times New Roman"/>
      <w:kern w:val="2"/>
      <w:sz w:val="21"/>
      <w:szCs w:val="24"/>
      <w:lang w:val="en-US" w:eastAsia="zh-CN" w:bidi="ar-SA"/>
    </w:rPr>
  </w:style>
  <w:style w:type="paragraph" w:styleId="4">
    <w:name w:val="heading 1"/>
    <w:basedOn w:val="1"/>
    <w:next w:val="1"/>
    <w:qFormat/>
    <w:uiPriority w:val="0"/>
    <w:pPr>
      <w:keepNext w:val="0"/>
      <w:keepLines w:val="0"/>
      <w:widowControl w:val="0"/>
      <w:suppressLineNumbers w:val="0"/>
      <w:autoSpaceDE w:val="0"/>
      <w:autoSpaceDN w:val="0"/>
      <w:spacing w:before="0" w:beforeAutospacing="0" w:after="0" w:afterAutospacing="0" w:line="751" w:lineRule="exact"/>
      <w:ind w:left="90" w:right="0"/>
      <w:jc w:val="center"/>
      <w:outlineLvl w:val="0"/>
    </w:pPr>
    <w:rPr>
      <w:rFonts w:hint="eastAsia" w:ascii="方正小标宋简体" w:hAnsi="方正小标宋简体" w:eastAsia="方正小标宋简体" w:cs="方正小标宋简体"/>
      <w:kern w:val="0"/>
      <w:sz w:val="44"/>
      <w:szCs w:val="44"/>
      <w:lang w:val="en-US" w:eastAsia="zh-CN" w:bidi="ar"/>
    </w:rPr>
  </w:style>
  <w:style w:type="paragraph" w:styleId="5">
    <w:name w:val="heading 2"/>
    <w:basedOn w:val="1"/>
    <w:next w:val="1"/>
    <w:qFormat/>
    <w:uiPriority w:val="0"/>
    <w:pPr>
      <w:keepNext w:val="0"/>
      <w:keepLines w:val="0"/>
      <w:widowControl w:val="0"/>
      <w:suppressLineNumbers w:val="0"/>
      <w:autoSpaceDE w:val="0"/>
      <w:autoSpaceDN w:val="0"/>
      <w:spacing w:before="149" w:beforeAutospacing="0" w:after="0" w:afterAutospacing="0"/>
      <w:ind w:left="1448" w:right="0" w:hanging="401"/>
      <w:jc w:val="left"/>
      <w:outlineLvl w:val="1"/>
    </w:pPr>
    <w:rPr>
      <w:rFonts w:hint="eastAsia" w:ascii="仿宋_GB2312" w:hAnsi="仿宋_GB2312" w:eastAsia="仿宋_GB2312" w:cs="仿宋_GB2312"/>
      <w:b/>
      <w:bCs/>
      <w:kern w:val="0"/>
      <w:sz w:val="32"/>
      <w:szCs w:val="32"/>
      <w:lang w:val="en-US" w:eastAsia="zh-CN" w:bidi="ar"/>
    </w:rPr>
  </w:style>
  <w:style w:type="character" w:default="1" w:styleId="15">
    <w:name w:val="Default Paragraph Font"/>
    <w:semiHidden/>
    <w:uiPriority w:val="0"/>
  </w:style>
  <w:style w:type="table" w:default="1" w:styleId="13">
    <w:name w:val="Normal Table"/>
    <w:semiHidden/>
    <w:uiPriority w:val="0"/>
    <w:tblPr>
      <w:tblStyle w:val="13"/>
      <w:tblCellMar>
        <w:top w:w="0" w:type="dxa"/>
        <w:left w:w="108" w:type="dxa"/>
        <w:bottom w:w="0" w:type="dxa"/>
        <w:right w:w="108" w:type="dxa"/>
      </w:tblCellMar>
    </w:tblPr>
  </w:style>
  <w:style w:type="paragraph" w:styleId="2">
    <w:name w:val="Body Text"/>
    <w:basedOn w:val="1"/>
    <w:next w:val="3"/>
    <w:qFormat/>
    <w:uiPriority w:val="0"/>
    <w:pPr>
      <w:keepNext w:val="0"/>
      <w:keepLines w:val="0"/>
      <w:widowControl w:val="0"/>
      <w:suppressLineNumbers w:val="0"/>
      <w:autoSpaceDE w:val="0"/>
      <w:autoSpaceDN w:val="0"/>
      <w:spacing w:before="0" w:beforeAutospacing="0" w:after="0" w:afterAutospacing="0"/>
      <w:ind w:left="0" w:right="0"/>
      <w:jc w:val="left"/>
    </w:pPr>
    <w:rPr>
      <w:rFonts w:hint="eastAsia" w:ascii="仿宋_GB2312" w:hAnsi="仿宋_GB2312" w:eastAsia="仿宋_GB2312" w:cs="仿宋_GB2312"/>
      <w:kern w:val="0"/>
      <w:sz w:val="32"/>
      <w:szCs w:val="32"/>
      <w:lang w:val="en-US" w:eastAsia="zh-CN" w:bidi="ar"/>
    </w:rPr>
  </w:style>
  <w:style w:type="paragraph" w:styleId="3">
    <w:name w:val="Body Text First Indent"/>
    <w:basedOn w:val="2"/>
    <w:unhideWhenUsed/>
    <w:qFormat/>
    <w:uiPriority w:val="99"/>
    <w:pPr>
      <w:spacing w:line="600" w:lineRule="exact"/>
      <w:ind w:firstLine="880" w:firstLineChars="200"/>
    </w:pPr>
    <w:rPr>
      <w:sz w:val="28"/>
    </w:rPr>
  </w:style>
  <w:style w:type="paragraph" w:styleId="6">
    <w:name w:val="Body Text Indent 2"/>
    <w:basedOn w:val="1"/>
    <w:qFormat/>
    <w:uiPriority w:val="99"/>
    <w:pPr>
      <w:spacing w:after="120" w:line="480" w:lineRule="auto"/>
      <w:ind w:left="420" w:leftChars="200" w:firstLine="640"/>
    </w:pPr>
    <w:rPr>
      <w:rFonts w:ascii="仿宋" w:hAnsi="仿宋" w:eastAsia="仿宋"/>
      <w:kern w:val="0"/>
      <w:sz w:val="28"/>
      <w:szCs w:val="20"/>
    </w:rPr>
  </w:style>
  <w:style w:type="paragraph" w:styleId="7">
    <w:name w:val="footer"/>
    <w:basedOn w:val="1"/>
    <w:link w:val="18"/>
    <w:qFormat/>
    <w:uiPriority w:val="0"/>
    <w:pPr>
      <w:widowControl w:val="0"/>
      <w:tabs>
        <w:tab w:val="center" w:pos="4153"/>
        <w:tab w:val="right" w:pos="8306"/>
      </w:tabs>
      <w:suppressAutoHyphens/>
      <w:bidi w:val="0"/>
      <w:snapToGrid w:val="0"/>
      <w:jc w:val="left"/>
    </w:pPr>
    <w:rPr>
      <w:rFonts w:ascii="Calibri" w:hAnsi="Calibri" w:eastAsia="宋体" w:cs="Times New Roman"/>
      <w:color w:val="auto"/>
      <w:kern w:val="2"/>
      <w:sz w:val="18"/>
      <w:szCs w:val="24"/>
      <w:lang w:val="en-US" w:eastAsia="zh-CN" w:bidi="ar-SA"/>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toc 1"/>
    <w:basedOn w:val="1"/>
    <w:next w:val="1"/>
    <w:qFormat/>
    <w:uiPriority w:val="0"/>
    <w:pPr>
      <w:keepNext w:val="0"/>
      <w:keepLines w:val="0"/>
      <w:widowControl w:val="0"/>
      <w:suppressLineNumbers w:val="0"/>
      <w:autoSpaceDE w:val="0"/>
      <w:autoSpaceDN w:val="0"/>
      <w:spacing w:before="265" w:beforeAutospacing="0" w:after="0" w:afterAutospacing="0"/>
      <w:ind w:left="406" w:right="0"/>
      <w:jc w:val="left"/>
    </w:pPr>
    <w:rPr>
      <w:rFonts w:hint="eastAsia" w:ascii="仿宋_GB2312" w:hAnsi="仿宋_GB2312" w:eastAsia="仿宋_GB2312" w:cs="仿宋_GB2312"/>
      <w:kern w:val="0"/>
      <w:sz w:val="28"/>
      <w:szCs w:val="28"/>
      <w:lang w:val="en-US" w:eastAsia="zh-CN" w:bidi="ar"/>
    </w:rPr>
  </w:style>
  <w:style w:type="paragraph" w:styleId="10">
    <w:name w:val="toc 2"/>
    <w:basedOn w:val="1"/>
    <w:next w:val="1"/>
    <w:qFormat/>
    <w:uiPriority w:val="0"/>
    <w:pPr>
      <w:keepNext w:val="0"/>
      <w:keepLines w:val="0"/>
      <w:widowControl w:val="0"/>
      <w:suppressLineNumbers w:val="0"/>
      <w:autoSpaceDE w:val="0"/>
      <w:autoSpaceDN w:val="0"/>
      <w:spacing w:before="265" w:beforeAutospacing="0" w:after="0" w:afterAutospacing="0"/>
      <w:ind w:left="826" w:right="0"/>
      <w:jc w:val="left"/>
    </w:pPr>
    <w:rPr>
      <w:rFonts w:hint="eastAsia" w:ascii="仿宋_GB2312" w:hAnsi="仿宋_GB2312" w:eastAsia="仿宋_GB2312" w:cs="仿宋_GB2312"/>
      <w:kern w:val="0"/>
      <w:sz w:val="28"/>
      <w:szCs w:val="28"/>
      <w:lang w:val="en-US" w:eastAsia="zh-CN" w:bidi="ar"/>
    </w:rPr>
  </w:style>
  <w:style w:type="paragraph" w:styleId="11">
    <w:name w:val="Normal (Web)"/>
    <w:basedOn w:val="1"/>
    <w:qFormat/>
    <w:uiPriority w:val="0"/>
    <w:rPr>
      <w:sz w:val="24"/>
    </w:rPr>
  </w:style>
  <w:style w:type="paragraph" w:styleId="12">
    <w:name w:val="Title"/>
    <w:basedOn w:val="1"/>
    <w:next w:val="1"/>
    <w:qFormat/>
    <w:uiPriority w:val="0"/>
    <w:pPr>
      <w:spacing w:before="240" w:beforeLines="0" w:beforeAutospacing="0" w:after="60" w:afterLines="0" w:afterAutospacing="0"/>
      <w:jc w:val="center"/>
      <w:outlineLvl w:val="0"/>
    </w:pPr>
    <w:rPr>
      <w:rFonts w:ascii="Arial" w:hAnsi="Arial"/>
      <w:b/>
      <w:sz w:val="32"/>
    </w:rPr>
  </w:style>
  <w:style w:type="table" w:styleId="14">
    <w:name w:val="Table Grid"/>
    <w:basedOn w:val="13"/>
    <w:qFormat/>
    <w:uiPriority w:val="0"/>
    <w:pPr>
      <w:keepNext w:val="0"/>
      <w:keepLines w:val="0"/>
      <w:widowControl w:val="0"/>
      <w:suppressLineNumbers w:val="0"/>
      <w:spacing w:before="0" w:beforeAutospacing="0" w:after="0" w:afterAutospacing="0"/>
      <w:ind w:left="0" w:right="0"/>
      <w:jc w:val="both"/>
    </w:pPr>
    <w:rPr>
      <w:rFonts w:hint="default" w:ascii="Calibri" w:hAnsi="Calibri" w:cs="Calibri"/>
      <w:sz w:val="20"/>
      <w:szCs w:val="20"/>
    </w:rPr>
    <w:tblPr>
      <w:tblStyle w:val="13"/>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FollowedHyperlink"/>
    <w:uiPriority w:val="0"/>
    <w:rPr>
      <w:color w:val="800080"/>
      <w:u w:val="single"/>
    </w:rPr>
  </w:style>
  <w:style w:type="character" w:styleId="17">
    <w:name w:val="Hyperlink"/>
    <w:qFormat/>
    <w:uiPriority w:val="0"/>
    <w:rPr>
      <w:color w:val="0000FF"/>
      <w:u w:val="single"/>
    </w:rPr>
  </w:style>
  <w:style w:type="character" w:customStyle="1" w:styleId="18">
    <w:name w:val="页脚 Char"/>
    <w:link w:val="7"/>
    <w:uiPriority w:val="0"/>
    <w:rPr>
      <w:kern w:val="2"/>
      <w:sz w:val="18"/>
      <w:szCs w:val="24"/>
    </w:rPr>
  </w:style>
  <w:style w:type="paragraph" w:customStyle="1" w:styleId="19">
    <w:name w:val="WPSOffice手动目录 1"/>
    <w:uiPriority w:val="0"/>
    <w:rPr>
      <w:lang w:val="en-US" w:eastAsia="zh-CN" w:bidi="ar-SA"/>
    </w:rPr>
  </w:style>
  <w:style w:type="paragraph" w:customStyle="1" w:styleId="20">
    <w:name w:val="Default"/>
    <w:basedOn w:val="1"/>
    <w:uiPriority w:val="0"/>
    <w:pPr>
      <w:keepNext w:val="0"/>
      <w:keepLines w:val="0"/>
      <w:widowControl w:val="0"/>
      <w:suppressLineNumbers w:val="0"/>
      <w:autoSpaceDE w:val="0"/>
      <w:autoSpaceDN w:val="0"/>
      <w:adjustRightInd w:val="0"/>
      <w:spacing w:before="0" w:beforeAutospacing="0" w:after="0" w:afterAutospacing="0"/>
      <w:ind w:left="0" w:right="0"/>
      <w:jc w:val="left"/>
    </w:pPr>
    <w:rPr>
      <w:rFonts w:hint="eastAsia" w:ascii="宋体" w:hAnsi="Calibri" w:eastAsia="宋体" w:cs="宋体"/>
      <w:color w:val="000000"/>
      <w:kern w:val="0"/>
      <w:sz w:val="24"/>
      <w:szCs w:val="24"/>
      <w:lang w:val="en-US" w:eastAsia="zh-CN" w:bidi="ar"/>
    </w:rPr>
  </w:style>
  <w:style w:type="paragraph" w:customStyle="1" w:styleId="21">
    <w:name w:val="msolistparagraph"/>
    <w:basedOn w:val="1"/>
    <w:qFormat/>
    <w:uiPriority w:val="0"/>
    <w:pPr>
      <w:keepNext w:val="0"/>
      <w:keepLines w:val="0"/>
      <w:widowControl w:val="0"/>
      <w:suppressLineNumbers w:val="0"/>
      <w:autoSpaceDE w:val="0"/>
      <w:autoSpaceDN w:val="0"/>
      <w:spacing w:before="0" w:beforeAutospacing="0" w:after="0" w:afterAutospacing="0"/>
      <w:ind w:left="1448" w:right="0" w:hanging="401"/>
      <w:jc w:val="left"/>
    </w:pPr>
    <w:rPr>
      <w:rFonts w:hint="eastAsia" w:ascii="仿宋_GB2312" w:hAnsi="仿宋_GB2312" w:eastAsia="仿宋_GB2312" w:cs="仿宋_GB2312"/>
      <w:kern w:val="0"/>
      <w:sz w:val="22"/>
      <w:szCs w:val="22"/>
      <w:lang w:val="en-US" w:eastAsia="zh-CN" w:bidi="ar"/>
    </w:rPr>
  </w:style>
  <w:style w:type="paragraph" w:customStyle="1" w:styleId="22">
    <w:name w:val="WPSOffice手动目录 2"/>
    <w:uiPriority w:val="0"/>
    <w:pPr>
      <w:ind w:leftChars="200"/>
    </w:pPr>
    <w:rPr>
      <w:lang w:val="en-US" w:eastAsia="zh-CN" w:bidi="ar-SA"/>
    </w:rPr>
  </w:style>
  <w:style w:type="character" w:customStyle="1" w:styleId="23">
    <w:name w:val="bumpedfont15"/>
    <w:qFormat/>
    <w:uiPriority w:val="0"/>
    <w:rPr>
      <w:rFonts w:cs="Times New Roman"/>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7.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http://www.gxst.gov.cn/</Company>
  <Pages>24</Pages>
  <Words>283</Words>
  <Characters>300</Characters>
  <Lines>131</Lines>
  <Paragraphs>36</Paragraphs>
  <TotalTime>43.6666666666667</TotalTime>
  <ScaleCrop>false</ScaleCrop>
  <LinksUpToDate>false</LinksUpToDate>
  <CharactersWithSpaces>302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2014-11-02T04:08:00Z</dcterms:created>
  <dc:creator>Administrator</dc:creator>
  <cp:lastModifiedBy>墨迹夏子</cp:lastModifiedBy>
  <cp:lastPrinted>2023-11-30T18:25:00Z</cp:lastPrinted>
  <dcterms:modified xsi:type="dcterms:W3CDTF">2024-11-29T09:27:12Z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8F007E9B8BA645DCAF61D29F217D1457_13</vt:lpwstr>
  </property>
  <property fmtid="{D5CDD505-2E9C-101B-9397-08002B2CF9AE}" pid="3" name="KSOProductBuildVer">
    <vt:lpwstr>2052-12.1.0.19302</vt:lpwstr>
  </property>
</Properties>
</file>