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0080">
      <w:pPr>
        <w:keepNext w:val="0"/>
        <w:keepLines w:val="0"/>
        <w:pageBreakBefore w:val="0"/>
        <w:numPr>
          <w:ilvl w:val="0"/>
          <w:numId w:val="0"/>
        </w:numPr>
        <w:kinsoku/>
        <w:wordWrap/>
        <w:overflowPunct/>
        <w:topLinePunct w:val="0"/>
        <w:autoSpaceDE/>
        <w:autoSpaceDN/>
        <w:bidi w:val="0"/>
        <w:adjustRightInd w:val="0"/>
        <w:snapToGrid w:val="0"/>
        <w:spacing w:line="540" w:lineRule="exact"/>
        <w:jc w:val="left"/>
        <w:textAlignment w:val="auto"/>
        <w:rPr>
          <w:rFonts w:hint="default" w:ascii="Times New Roman" w:hAnsi="Times New Roman" w:eastAsia="方正黑体_GBK" w:cs="Times New Roman"/>
          <w:sz w:val="32"/>
          <w:szCs w:val="32"/>
          <w:u w:val="none"/>
          <w:lang w:val="en-US" w:eastAsia="zh-CN"/>
        </w:rPr>
      </w:pPr>
      <w:bookmarkStart w:id="0" w:name="_GoBack"/>
      <w:bookmarkEnd w:id="0"/>
      <w:r>
        <w:rPr>
          <w:rFonts w:hint="default" w:ascii="Times New Roman" w:hAnsi="Times New Roman" w:eastAsia="方正黑体_GBK" w:cs="Times New Roman"/>
          <w:sz w:val="32"/>
          <w:szCs w:val="32"/>
          <w:u w:val="none"/>
          <w:lang w:eastAsia="zh-CN"/>
        </w:rPr>
        <w:t>附件</w:t>
      </w:r>
    </w:p>
    <w:p w14:paraId="17E0021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黑体_GBK"/>
          <w:sz w:val="32"/>
          <w:szCs w:val="32"/>
          <w:u w:val="none"/>
          <w:lang w:val="en-US" w:eastAsia="zh-CN"/>
        </w:rPr>
      </w:pPr>
    </w:p>
    <w:p w14:paraId="02362A03">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广西壮族自治区激励企业加大研发经费</w:t>
      </w:r>
    </w:p>
    <w:p w14:paraId="525466AB">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投入财政奖补实施办法</w:t>
      </w:r>
    </w:p>
    <w:p w14:paraId="569F584A">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w:t>
      </w:r>
      <w:r>
        <w:rPr>
          <w:rFonts w:hint="eastAsia" w:ascii="方正小标宋简体" w:hAnsi="方正小标宋简体" w:eastAsia="方正小标宋简体" w:cs="方正小标宋简体"/>
          <w:sz w:val="44"/>
          <w:szCs w:val="44"/>
          <w:u w:val="none"/>
          <w:lang w:eastAsia="zh-CN"/>
        </w:rPr>
        <w:t>修订征求意见稿</w:t>
      </w:r>
      <w:r>
        <w:rPr>
          <w:rFonts w:hint="eastAsia" w:ascii="方正小标宋简体" w:hAnsi="方正小标宋简体" w:eastAsia="方正小标宋简体" w:cs="方正小标宋简体"/>
          <w:sz w:val="44"/>
          <w:szCs w:val="44"/>
          <w:u w:val="none"/>
        </w:rPr>
        <w:t>）</w:t>
      </w:r>
    </w:p>
    <w:p w14:paraId="11E1AA0F">
      <w:pPr>
        <w:pStyle w:val="15"/>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0" w:firstLineChars="0"/>
        <w:jc w:val="both"/>
        <w:textAlignment w:val="auto"/>
        <w:rPr>
          <w:rFonts w:ascii="Calibri" w:hAnsi="Calibri" w:eastAsia="宋体"/>
          <w:sz w:val="21"/>
          <w:szCs w:val="22"/>
          <w:u w:val="none"/>
        </w:rPr>
      </w:pPr>
    </w:p>
    <w:p w14:paraId="105523F5">
      <w:pPr>
        <w:pStyle w:val="15"/>
        <w:keepNext w:val="0"/>
        <w:keepLines w:val="0"/>
        <w:pageBreakBefore w:val="0"/>
        <w:kinsoku/>
        <w:wordWrap/>
        <w:overflowPunct/>
        <w:topLinePunct w:val="0"/>
        <w:autoSpaceDE/>
        <w:autoSpaceDN/>
        <w:bidi w:val="0"/>
        <w:adjustRightInd/>
        <w:snapToGrid w:val="0"/>
        <w:spacing w:beforeAutospacing="0" w:afterAutospacing="0" w:line="560" w:lineRule="exact"/>
        <w:ind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第一章  总</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则</w:t>
      </w:r>
    </w:p>
    <w:p w14:paraId="5F02B5D8">
      <w:pPr>
        <w:pStyle w:val="15"/>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0" w:firstLineChars="0"/>
        <w:jc w:val="both"/>
        <w:textAlignment w:val="auto"/>
        <w:rPr>
          <w:rFonts w:hint="default" w:ascii="Times New Roman" w:hAnsi="Times New Roman" w:eastAsia="黑体" w:cs="Times New Roman"/>
          <w:sz w:val="32"/>
          <w:szCs w:val="32"/>
          <w:u w:val="none"/>
        </w:rPr>
      </w:pPr>
    </w:p>
    <w:p w14:paraId="67E67440">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27" w:firstLineChars="196"/>
        <w:jc w:val="both"/>
        <w:textAlignment w:val="auto"/>
        <w:rPr>
          <w:rFonts w:hint="default" w:ascii="Times New Roman" w:hAnsi="Times New Roman" w:eastAsia="宋体" w:cs="Times New Roman"/>
          <w:sz w:val="24"/>
          <w:szCs w:val="24"/>
          <w:u w:val="none"/>
          <w:lang w:val="en-US" w:eastAsia="zh-CN" w:bidi="ar-SA"/>
        </w:rPr>
      </w:pPr>
      <w:r>
        <w:rPr>
          <w:rFonts w:hint="default" w:ascii="Times New Roman" w:hAnsi="Times New Roman" w:eastAsia="黑体" w:cs="Times New Roman"/>
          <w:b w:val="0"/>
          <w:bCs w:val="0"/>
          <w:sz w:val="32"/>
          <w:szCs w:val="32"/>
          <w:u w:val="none"/>
          <w:lang w:val="en-US" w:eastAsia="zh-CN" w:bidi="ar-SA"/>
        </w:rPr>
        <w:t>第一条</w:t>
      </w:r>
      <w:r>
        <w:rPr>
          <w:rFonts w:hint="default" w:ascii="Times New Roman" w:hAnsi="Times New Roman" w:eastAsia="仿宋_GB2312" w:cs="Times New Roman"/>
          <w:b/>
          <w:bCs/>
          <w:sz w:val="32"/>
          <w:szCs w:val="32"/>
          <w:u w:val="none"/>
          <w:lang w:val="en-US" w:eastAsia="zh-CN" w:bidi="ar-SA"/>
        </w:rPr>
        <w:t xml:space="preserve">  </w:t>
      </w:r>
      <w:r>
        <w:rPr>
          <w:rFonts w:hint="default" w:ascii="Times New Roman" w:hAnsi="Times New Roman" w:eastAsia="仿宋_GB2312" w:cs="Times New Roman"/>
          <w:sz w:val="32"/>
          <w:szCs w:val="32"/>
          <w:u w:val="none"/>
          <w:lang w:val="en-US" w:eastAsia="zh-CN" w:bidi="ar-SA"/>
        </w:rPr>
        <w:t>为激发企业创新活力，培育壮大经济发展新动能，</w:t>
      </w:r>
      <w:r>
        <w:rPr>
          <w:rFonts w:hint="eastAsia" w:ascii="Times New Roman" w:hAnsi="Times New Roman" w:eastAsia="仿宋_GB2312" w:cs="Times New Roman"/>
          <w:sz w:val="32"/>
          <w:szCs w:val="32"/>
          <w:u w:val="none"/>
          <w:lang w:val="en-US" w:eastAsia="zh-CN" w:bidi="ar-SA"/>
        </w:rPr>
        <w:t>助力加快形成新质生产力，</w:t>
      </w:r>
      <w:r>
        <w:rPr>
          <w:rFonts w:hint="default" w:ascii="Times New Roman" w:hAnsi="Times New Roman" w:eastAsia="仿宋_GB2312" w:cs="Times New Roman"/>
          <w:sz w:val="32"/>
          <w:szCs w:val="32"/>
          <w:u w:val="none"/>
          <w:lang w:val="en-US" w:eastAsia="zh-CN" w:bidi="ar-SA"/>
        </w:rPr>
        <w:t>推动广西产业高质量发展，特制定本办法。</w:t>
      </w:r>
    </w:p>
    <w:p w14:paraId="1FC2044F">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u w:val="none"/>
        </w:rPr>
      </w:pPr>
      <w:r>
        <w:rPr>
          <w:rFonts w:hint="default" w:ascii="Times New Roman" w:hAnsi="Times New Roman" w:eastAsia="黑体" w:cs="Times New Roman"/>
          <w:b w:val="0"/>
          <w:bCs w:val="0"/>
          <w:kern w:val="0"/>
          <w:sz w:val="32"/>
          <w:szCs w:val="32"/>
          <w:u w:val="none"/>
          <w:lang w:val="en-US" w:eastAsia="zh-CN" w:bidi="ar-SA"/>
        </w:rPr>
        <w:t>第二条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本</w:t>
      </w:r>
      <w:r>
        <w:rPr>
          <w:rFonts w:hint="eastAsia" w:ascii="仿宋_GB2312" w:hAnsi="仿宋_GB2312" w:eastAsia="仿宋_GB2312" w:cs="仿宋_GB2312"/>
          <w:sz w:val="32"/>
          <w:szCs w:val="32"/>
          <w:u w:val="none"/>
        </w:rPr>
        <w:t>办法所称“企业研发经费投入”，是指企业实际发生且符合研发费用税前加计扣除政策规定的研发费用，</w:t>
      </w:r>
      <w:r>
        <w:rPr>
          <w:rFonts w:hint="eastAsia" w:ascii="仿宋_GB2312" w:hAnsi="仿宋_GB2312" w:eastAsia="仿宋_GB2312" w:cs="仿宋_GB2312"/>
          <w:b w:val="0"/>
          <w:bCs w:val="0"/>
          <w:sz w:val="32"/>
          <w:szCs w:val="32"/>
          <w:u w:val="none"/>
        </w:rPr>
        <w:t>以企业所得税汇算清缴申报</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并经</w:t>
      </w:r>
      <w:r>
        <w:rPr>
          <w:rFonts w:hint="eastAsia" w:ascii="仿宋_GB2312" w:hAnsi="仿宋_GB2312" w:eastAsia="仿宋_GB2312" w:cs="仿宋_GB2312"/>
          <w:b w:val="0"/>
          <w:bCs w:val="0"/>
          <w:sz w:val="32"/>
          <w:szCs w:val="32"/>
          <w:u w:val="none"/>
          <w:lang w:val="en-US" w:eastAsia="zh-CN"/>
        </w:rPr>
        <w:t>属地设区市科技局牵头核实后</w:t>
      </w:r>
      <w:r>
        <w:rPr>
          <w:rFonts w:hint="eastAsia" w:ascii="仿宋_GB2312" w:hAnsi="仿宋_GB2312" w:eastAsia="仿宋_GB2312" w:cs="仿宋_GB2312"/>
          <w:b w:val="0"/>
          <w:bCs w:val="0"/>
          <w:sz w:val="32"/>
          <w:szCs w:val="32"/>
          <w:u w:val="none"/>
        </w:rPr>
        <w:t>的申报数据为准，</w:t>
      </w:r>
      <w:r>
        <w:rPr>
          <w:rFonts w:hint="eastAsia" w:ascii="仿宋_GB2312" w:hAnsi="仿宋_GB2312" w:eastAsia="仿宋_GB2312" w:cs="仿宋_GB2312"/>
          <w:sz w:val="32"/>
          <w:szCs w:val="32"/>
          <w:u w:val="none"/>
        </w:rPr>
        <w:t>已纳统的规模以上企业需提供填报统计年报的统计数据；本办法所称“企业研发经费投入强度”，是指规模以上企业上报统计局，并经科技部门审核的研发经费支出占企业营业收入的比重；本办法所称“激励企业加大研发经费投入财政奖补”（以下简称财政奖补），是指由自治区财政从创新驱动发展专项资金中予以安排，对</w:t>
      </w:r>
      <w:r>
        <w:rPr>
          <w:rFonts w:hint="eastAsia" w:ascii="仿宋_GB2312" w:hAnsi="仿宋_GB2312" w:eastAsia="仿宋_GB2312" w:cs="仿宋_GB2312"/>
          <w:sz w:val="32"/>
          <w:szCs w:val="32"/>
          <w:u w:val="none"/>
          <w:lang w:eastAsia="zh-CN"/>
        </w:rPr>
        <w:t>奖补</w:t>
      </w:r>
      <w:r>
        <w:rPr>
          <w:rFonts w:hint="eastAsia" w:ascii="仿宋_GB2312" w:hAnsi="仿宋_GB2312" w:eastAsia="仿宋_GB2312" w:cs="仿宋_GB2312"/>
          <w:sz w:val="32"/>
          <w:szCs w:val="32"/>
          <w:u w:val="none"/>
        </w:rPr>
        <w:t>年度（指</w:t>
      </w:r>
      <w:r>
        <w:rPr>
          <w:rFonts w:hint="eastAsia" w:ascii="仿宋_GB2312" w:hAnsi="仿宋_GB2312" w:eastAsia="仿宋_GB2312" w:cs="仿宋_GB2312"/>
          <w:sz w:val="32"/>
          <w:szCs w:val="32"/>
          <w:u w:val="none"/>
          <w:lang w:eastAsia="zh-CN"/>
        </w:rPr>
        <w:t>具体</w:t>
      </w:r>
      <w:r>
        <w:rPr>
          <w:rFonts w:hint="eastAsia" w:ascii="仿宋_GB2312" w:hAnsi="仿宋_GB2312" w:eastAsia="仿宋_GB2312" w:cs="仿宋_GB2312"/>
          <w:sz w:val="32"/>
          <w:szCs w:val="32"/>
          <w:u w:val="none"/>
        </w:rPr>
        <w:t>申报</w:t>
      </w:r>
      <w:r>
        <w:rPr>
          <w:rFonts w:hint="eastAsia" w:ascii="仿宋_GB2312" w:hAnsi="仿宋_GB2312" w:eastAsia="仿宋_GB2312" w:cs="仿宋_GB2312"/>
          <w:sz w:val="32"/>
          <w:szCs w:val="32"/>
          <w:u w:val="none"/>
          <w:lang w:eastAsia="zh-CN"/>
        </w:rPr>
        <w:t>通知中所规定的奖补年度</w:t>
      </w:r>
      <w:r>
        <w:rPr>
          <w:rFonts w:hint="eastAsia" w:ascii="仿宋_GB2312" w:hAnsi="仿宋_GB2312" w:eastAsia="仿宋_GB2312" w:cs="仿宋_GB2312"/>
          <w:sz w:val="32"/>
          <w:szCs w:val="32"/>
          <w:u w:val="none"/>
        </w:rPr>
        <w:t>，下同）企业研发经费投入给予奖励性后补助的资金，支持企业继续开展研发活动。</w:t>
      </w:r>
    </w:p>
    <w:p w14:paraId="13158619">
      <w:pPr>
        <w:pStyle w:val="15"/>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0" w:firstLineChars="0"/>
        <w:jc w:val="both"/>
        <w:textAlignment w:val="auto"/>
        <w:rPr>
          <w:rFonts w:hint="eastAsia" w:ascii="仿宋_GB2312" w:hAnsi="仿宋_GB2312" w:eastAsia="仿宋_GB2312" w:cs="仿宋_GB2312"/>
          <w:u w:val="none"/>
        </w:rPr>
      </w:pPr>
    </w:p>
    <w:p w14:paraId="22EB8523">
      <w:pPr>
        <w:pStyle w:val="15"/>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第二章  奖补条件和方式</w:t>
      </w:r>
    </w:p>
    <w:p w14:paraId="104F76C2">
      <w:pPr>
        <w:pStyle w:val="15"/>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0" w:firstLineChars="0"/>
        <w:jc w:val="both"/>
        <w:textAlignment w:val="auto"/>
        <w:rPr>
          <w:rFonts w:hint="default" w:ascii="Times New Roman" w:hAnsi="Times New Roman" w:eastAsia="黑体" w:cs="Times New Roman"/>
          <w:sz w:val="32"/>
          <w:szCs w:val="32"/>
          <w:u w:val="none"/>
        </w:rPr>
      </w:pPr>
    </w:p>
    <w:p w14:paraId="6B0130A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0"/>
          <w:sz w:val="32"/>
          <w:szCs w:val="32"/>
          <w:u w:val="none"/>
          <w:lang w:val="en-US" w:eastAsia="zh-CN" w:bidi="ar-SA"/>
        </w:rPr>
        <w:t>第三条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本办法的奖补对象须具备以下条件：</w:t>
      </w:r>
    </w:p>
    <w:p w14:paraId="46FF695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（一）在广西区内注册，具有独立法人资格、健全的财务管理机构和财务管理制度，诚信经营、依法纳税的企业。企业</w:t>
      </w:r>
      <w:r>
        <w:rPr>
          <w:rFonts w:hint="eastAsia" w:ascii="Times New Roman" w:hAnsi="Times New Roman" w:eastAsia="仿宋_GB2312" w:cs="Times New Roman"/>
          <w:sz w:val="32"/>
          <w:szCs w:val="32"/>
          <w:u w:val="none"/>
          <w:lang w:val="en-US" w:eastAsia="zh-CN"/>
        </w:rPr>
        <w:t>近3年内</w:t>
      </w:r>
      <w:r>
        <w:rPr>
          <w:rFonts w:hint="default" w:ascii="Times New Roman" w:hAnsi="Times New Roman" w:eastAsia="仿宋_GB2312" w:cs="Times New Roman"/>
          <w:sz w:val="32"/>
          <w:szCs w:val="32"/>
          <w:u w:val="none"/>
        </w:rPr>
        <w:t>无财政资金使用违纪、违规、违法行为。</w:t>
      </w:r>
    </w:p>
    <w:p w14:paraId="1AF38A7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（二）企业需建立研发活动准备金制度和研发项目管理制度，先行投入资金开展研发活动</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并</w:t>
      </w:r>
      <w:r>
        <w:rPr>
          <w:rFonts w:hint="default" w:ascii="Times New Roman" w:hAnsi="Times New Roman" w:eastAsia="仿宋_GB2312" w:cs="Times New Roman"/>
          <w:sz w:val="32"/>
          <w:szCs w:val="32"/>
          <w:u w:val="none"/>
        </w:rPr>
        <w:t>将开展的研发活动情况依法如实填报统计报表（以下简称报统）。</w:t>
      </w:r>
    </w:p>
    <w:p w14:paraId="75E41B9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（三）需符合研发费用税前加计扣除政策规定，并按规定申报享受了研发费用税前加计扣除优惠。</w:t>
      </w:r>
    </w:p>
    <w:p w14:paraId="72145FE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（四）诚信开展科研活动，优先发放在科技部门系统内登记的诚信企业。</w:t>
      </w:r>
    </w:p>
    <w:p w14:paraId="5DB369C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（五）需在广西科技管理信息平台</w:t>
      </w:r>
      <w:r>
        <w:rPr>
          <w:rFonts w:hint="eastAsia" w:ascii="Times New Roman" w:hAnsi="Times New Roman" w:eastAsia="仿宋_GB2312" w:cs="Times New Roman"/>
          <w:sz w:val="32"/>
          <w:szCs w:val="32"/>
          <w:u w:val="none"/>
          <w:lang w:eastAsia="zh-CN"/>
        </w:rPr>
        <w:t>备案奖补</w:t>
      </w:r>
      <w:r>
        <w:rPr>
          <w:rFonts w:hint="default" w:ascii="Times New Roman" w:hAnsi="Times New Roman" w:eastAsia="仿宋_GB2312" w:cs="Times New Roman"/>
          <w:sz w:val="32"/>
          <w:szCs w:val="32"/>
          <w:u w:val="none"/>
        </w:rPr>
        <w:t>年度研发活动情况、项目实施情况等信息。</w:t>
      </w:r>
    </w:p>
    <w:p w14:paraId="37A57F6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（六）对存在以下情形的企业，不予奖补：《企业（单位）研发活动统计报表制度》范围内企业未依法依规填报数据；</w:t>
      </w:r>
      <w:r>
        <w:rPr>
          <w:rFonts w:hint="default" w:ascii="Times New Roman" w:hAnsi="Times New Roman" w:eastAsia="仿宋_GB2312" w:cs="Times New Roman"/>
          <w:sz w:val="32"/>
          <w:szCs w:val="32"/>
          <w:u w:val="none"/>
          <w:lang w:val="en" w:eastAsia="zh-CN"/>
        </w:rPr>
        <w:t>存在严重违背科研诚信要求</w:t>
      </w:r>
      <w:r>
        <w:rPr>
          <w:rFonts w:hint="default" w:ascii="Times New Roman" w:hAnsi="Times New Roman" w:eastAsia="仿宋_GB2312" w:cs="Times New Roman"/>
          <w:sz w:val="32"/>
          <w:szCs w:val="32"/>
          <w:u w:val="none"/>
        </w:rPr>
        <w:t>或其他严重失信行为，并处于失信行为惩戒期内；未按要求在广西科技管理信息平台上备案，或备案信息不全；未按要求或不在规定时间内提交申报材料</w:t>
      </w:r>
      <w:r>
        <w:rPr>
          <w:rFonts w:hint="eastAsia" w:ascii="Times New Roman" w:hAnsi="Times New Roman" w:eastAsia="仿宋_GB2312" w:cs="Times New Roman"/>
          <w:sz w:val="32"/>
          <w:szCs w:val="32"/>
          <w:u w:val="none"/>
          <w:lang w:eastAsia="zh-CN"/>
        </w:rPr>
        <w:t>；</w:t>
      </w:r>
      <w:r>
        <w:rPr>
          <w:rFonts w:hint="eastAsia" w:ascii="仿宋_GB2312" w:hAnsi="仿宋_GB2312" w:eastAsia="仿宋_GB2312" w:cs="仿宋_GB2312"/>
          <w:spacing w:val="-4"/>
          <w:sz w:val="32"/>
          <w:szCs w:val="32"/>
          <w:u w:val="none"/>
          <w:lang w:eastAsia="zh-CN"/>
        </w:rPr>
        <w:t>奖补</w:t>
      </w:r>
      <w:r>
        <w:rPr>
          <w:rFonts w:hint="eastAsia" w:ascii="仿宋_GB2312" w:hAnsi="仿宋_GB2312" w:eastAsia="仿宋_GB2312" w:cs="仿宋_GB2312"/>
          <w:spacing w:val="-4"/>
          <w:sz w:val="32"/>
          <w:szCs w:val="32"/>
          <w:u w:val="none"/>
          <w:lang w:val="en-US" w:eastAsia="zh-CN"/>
        </w:rPr>
        <w:t>资金</w:t>
      </w:r>
      <w:r>
        <w:rPr>
          <w:rFonts w:hint="eastAsia" w:ascii="仿宋_GB2312" w:hAnsi="仿宋_GB2312" w:eastAsia="仿宋_GB2312" w:cs="仿宋_GB2312"/>
          <w:spacing w:val="-4"/>
          <w:sz w:val="32"/>
          <w:szCs w:val="32"/>
          <w:u w:val="none"/>
          <w:lang w:eastAsia="zh-CN"/>
        </w:rPr>
        <w:t>下</w:t>
      </w:r>
      <w:r>
        <w:rPr>
          <w:rFonts w:hint="eastAsia" w:ascii="仿宋_GB2312" w:hAnsi="仿宋_GB2312" w:eastAsia="仿宋_GB2312" w:cs="仿宋_GB2312"/>
          <w:spacing w:val="-4"/>
          <w:sz w:val="32"/>
          <w:szCs w:val="32"/>
          <w:u w:val="none"/>
          <w:lang w:val="en-US" w:eastAsia="zh-CN"/>
        </w:rPr>
        <w:t>达</w:t>
      </w:r>
      <w:r>
        <w:rPr>
          <w:rFonts w:hint="eastAsia" w:ascii="仿宋_GB2312" w:hAnsi="仿宋_GB2312" w:eastAsia="仿宋_GB2312" w:cs="仿宋_GB2312"/>
          <w:spacing w:val="-4"/>
          <w:sz w:val="32"/>
          <w:szCs w:val="32"/>
          <w:u w:val="none"/>
          <w:lang w:eastAsia="zh-CN"/>
        </w:rPr>
        <w:t>前企业注销</w:t>
      </w:r>
      <w:r>
        <w:rPr>
          <w:rFonts w:hint="eastAsia" w:ascii="仿宋_GB2312" w:hAnsi="仿宋_GB2312" w:eastAsia="仿宋_GB2312" w:cs="仿宋_GB2312"/>
          <w:spacing w:val="-4"/>
          <w:sz w:val="32"/>
          <w:szCs w:val="32"/>
          <w:u w:val="none"/>
          <w:lang w:val="en-US" w:eastAsia="zh-CN"/>
        </w:rPr>
        <w:t>；其他不符合奖补的情形</w:t>
      </w:r>
      <w:r>
        <w:rPr>
          <w:rFonts w:hint="default" w:ascii="Times New Roman" w:hAnsi="Times New Roman" w:eastAsia="仿宋_GB2312" w:cs="Times New Roman"/>
          <w:sz w:val="32"/>
          <w:szCs w:val="32"/>
          <w:u w:val="none"/>
        </w:rPr>
        <w:t>。</w:t>
      </w:r>
    </w:p>
    <w:p w14:paraId="19A0087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rPr>
        <w:t>第四条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财政奖补分为增量奖补</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工业奖补</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瞪羚奖补</w:t>
      </w:r>
      <w:r>
        <w:rPr>
          <w:rFonts w:hint="default" w:ascii="Times New Roman" w:hAnsi="Times New Roman" w:eastAsia="仿宋_GB2312" w:cs="Times New Roman"/>
          <w:sz w:val="32"/>
          <w:szCs w:val="32"/>
          <w:u w:val="none"/>
        </w:rPr>
        <w:t>和特别奖补，采取事前备案、事后补助的方式。</w:t>
      </w:r>
      <w:r>
        <w:rPr>
          <w:rFonts w:hint="eastAsia" w:ascii="Times New Roman" w:hAnsi="Times New Roman" w:eastAsia="仿宋_GB2312" w:cs="Times New Roman"/>
          <w:sz w:val="32"/>
          <w:szCs w:val="32"/>
          <w:u w:val="none"/>
          <w:lang w:eastAsia="zh-CN"/>
        </w:rPr>
        <w:t>根据奖补年度企业研发经费投入强度（以下简称投入强度），以奖补年度企业研发经费投入的总量或增量为基数实行奖补。</w:t>
      </w:r>
      <w:r>
        <w:rPr>
          <w:rFonts w:hint="default" w:ascii="Times New Roman" w:hAnsi="Times New Roman" w:eastAsia="仿宋_GB2312" w:cs="Times New Roman"/>
          <w:sz w:val="32"/>
          <w:szCs w:val="32"/>
          <w:u w:val="none"/>
        </w:rPr>
        <w:t>具体如下：</w:t>
      </w:r>
    </w:p>
    <w:p w14:paraId="6C570967">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（一）增量奖补</w:t>
      </w:r>
    </w:p>
    <w:p w14:paraId="1A5A5206">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宋体" w:cs="Times New Roman"/>
          <w:sz w:val="21"/>
          <w:szCs w:val="22"/>
          <w:u w:val="none"/>
        </w:rPr>
      </w:pPr>
      <w:r>
        <w:rPr>
          <w:rFonts w:hint="default" w:ascii="Times New Roman" w:hAnsi="Times New Roman" w:eastAsia="仿宋_GB2312" w:cs="Times New Roman"/>
          <w:sz w:val="32"/>
          <w:szCs w:val="32"/>
          <w:u w:val="none"/>
        </w:rPr>
        <w:t>符合本办法第三条规定</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且奖补年度</w:t>
      </w:r>
      <w:r>
        <w:rPr>
          <w:rFonts w:hint="default" w:ascii="Times New Roman" w:hAnsi="Times New Roman" w:eastAsia="仿宋_GB2312" w:cs="Times New Roman"/>
          <w:sz w:val="32"/>
          <w:szCs w:val="32"/>
          <w:u w:val="none"/>
        </w:rPr>
        <w:t>投入强度≥5%的所有规模以上企业</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按</w:t>
      </w:r>
      <w:r>
        <w:rPr>
          <w:rFonts w:hint="eastAsia" w:ascii="Times New Roman" w:hAnsi="Times New Roman" w:eastAsia="仿宋_GB2312" w:cs="Times New Roman"/>
          <w:sz w:val="32"/>
          <w:szCs w:val="32"/>
          <w:u w:val="none"/>
          <w:lang w:eastAsia="zh-CN"/>
        </w:rPr>
        <w:t>奖补</w:t>
      </w:r>
      <w:r>
        <w:rPr>
          <w:rFonts w:hint="default" w:ascii="Times New Roman" w:hAnsi="Times New Roman" w:eastAsia="仿宋_GB2312" w:cs="Times New Roman"/>
          <w:sz w:val="32"/>
          <w:szCs w:val="32"/>
          <w:u w:val="none"/>
        </w:rPr>
        <w:t>年度企业研发经费投入增量的</w:t>
      </w:r>
      <w:r>
        <w:rPr>
          <w:rFonts w:hint="eastAsia"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%核算奖补，高新技术企业按</w:t>
      </w:r>
      <w:r>
        <w:rPr>
          <w:rFonts w:hint="eastAsia" w:ascii="Times New Roman" w:hAnsi="Times New Roman" w:eastAsia="仿宋_GB2312" w:cs="Times New Roman"/>
          <w:sz w:val="32"/>
          <w:szCs w:val="32"/>
          <w:u w:val="none"/>
          <w:lang w:eastAsia="zh-CN"/>
        </w:rPr>
        <w:t>奖补</w:t>
      </w:r>
      <w:r>
        <w:rPr>
          <w:rFonts w:hint="default" w:ascii="Times New Roman" w:hAnsi="Times New Roman" w:eastAsia="仿宋_GB2312" w:cs="Times New Roman"/>
          <w:sz w:val="32"/>
          <w:szCs w:val="32"/>
          <w:u w:val="none"/>
        </w:rPr>
        <w:t>年度企业研发经费投入增量的8%核算奖补。</w:t>
      </w:r>
    </w:p>
    <w:p w14:paraId="2D77325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单个企业每年奖补总额不超过</w:t>
      </w:r>
      <w:r>
        <w:rPr>
          <w:rFonts w:hint="eastAsia" w:ascii="Times New Roman" w:hAnsi="Times New Roman" w:eastAsia="仿宋_GB2312" w:cs="Times New Roman"/>
          <w:sz w:val="32"/>
          <w:szCs w:val="32"/>
          <w:u w:val="none"/>
          <w:lang w:val="en-US" w:eastAsia="zh-CN"/>
        </w:rPr>
        <w:t>50</w:t>
      </w:r>
      <w:r>
        <w:rPr>
          <w:rFonts w:hint="default" w:ascii="Times New Roman" w:hAnsi="Times New Roman" w:eastAsia="仿宋_GB2312" w:cs="Times New Roman"/>
          <w:sz w:val="32"/>
          <w:szCs w:val="32"/>
          <w:u w:val="none"/>
        </w:rPr>
        <w:t>万元。</w:t>
      </w:r>
    </w:p>
    <w:p w14:paraId="734D31CD">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工业</w:t>
      </w:r>
      <w:r>
        <w:rPr>
          <w:rFonts w:hint="default" w:ascii="Times New Roman" w:hAnsi="Times New Roman" w:eastAsia="楷体_GB2312" w:cs="Times New Roman"/>
          <w:b/>
          <w:bCs/>
          <w:sz w:val="32"/>
          <w:szCs w:val="32"/>
        </w:rPr>
        <w:t>奖补</w:t>
      </w:r>
    </w:p>
    <w:p w14:paraId="007E4847">
      <w:pPr>
        <w:pStyle w:val="2"/>
        <w:ind w:firstLine="640" w:firstLineChars="200"/>
        <w:rPr>
          <w:rFonts w:hint="eastAsia" w:ascii="Times New Roman" w:hAnsi="Times New Roman" w:cs="Times New Roman"/>
          <w:sz w:val="32"/>
          <w:szCs w:val="32"/>
          <w:lang w:val="en-US" w:eastAsia="zh-CN"/>
        </w:rPr>
      </w:pPr>
      <w:r>
        <w:rPr>
          <w:rFonts w:hint="default" w:ascii="Times New Roman" w:hAnsi="Times New Roman" w:eastAsia="仿宋_GB2312" w:cs="Times New Roman"/>
          <w:sz w:val="32"/>
          <w:szCs w:val="32"/>
        </w:rPr>
        <w:t>符合本办法第三条规定的</w:t>
      </w:r>
      <w:r>
        <w:rPr>
          <w:rFonts w:hint="eastAsia" w:eastAsia="仿宋_GB2312" w:cs="Times New Roman"/>
          <w:sz w:val="32"/>
          <w:szCs w:val="32"/>
          <w:lang w:val="en-US" w:eastAsia="zh-CN"/>
        </w:rPr>
        <w:t>规模以上</w:t>
      </w:r>
      <w:r>
        <w:rPr>
          <w:rFonts w:hint="eastAsia" w:cs="Times New Roman"/>
          <w:sz w:val="32"/>
          <w:szCs w:val="32"/>
          <w:lang w:val="en-US" w:eastAsia="zh-CN"/>
        </w:rPr>
        <w:t>工业</w:t>
      </w:r>
      <w:r>
        <w:rPr>
          <w:rFonts w:hint="default" w:ascii="Times New Roman" w:hAnsi="Times New Roman" w:eastAsia="仿宋_GB2312" w:cs="Times New Roman"/>
          <w:sz w:val="32"/>
          <w:szCs w:val="32"/>
        </w:rPr>
        <w:t>企业</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被</w:t>
      </w:r>
      <w:r>
        <w:rPr>
          <w:rFonts w:hint="default" w:ascii="Times New Roman" w:hAnsi="Times New Roman" w:eastAsia="仿宋_GB2312" w:cs="Times New Roman"/>
          <w:bCs/>
          <w:szCs w:val="32"/>
          <w:u w:val="none"/>
        </w:rPr>
        <w:t>工业和信息化</w:t>
      </w:r>
      <w:r>
        <w:rPr>
          <w:rFonts w:hint="eastAsia" w:ascii="Times New Roman" w:hAnsi="Times New Roman" w:cs="Times New Roman"/>
          <w:sz w:val="32"/>
          <w:szCs w:val="32"/>
          <w:lang w:val="en-US" w:eastAsia="zh-CN"/>
        </w:rPr>
        <w:t>部门认定为新增有研发活动，申报奖补年度实际研发经费投入未下降且不低于</w:t>
      </w:r>
      <w:r>
        <w:rPr>
          <w:rFonts w:hint="default" w:ascii="Times New Roman" w:hAnsi="Times New Roman" w:cs="Times New Roman"/>
          <w:sz w:val="32"/>
          <w:szCs w:val="32"/>
          <w:lang w:val="en" w:eastAsia="zh-CN"/>
        </w:rPr>
        <w:t>100</w:t>
      </w:r>
      <w:r>
        <w:rPr>
          <w:rFonts w:hint="eastAsia" w:ascii="Times New Roman" w:hAnsi="Times New Roman" w:cs="Times New Roman"/>
          <w:sz w:val="32"/>
          <w:szCs w:val="32"/>
          <w:lang w:val="en-US" w:eastAsia="zh-CN"/>
        </w:rPr>
        <w:t>万元的规模以上工业企业，根据企业实际投入情况给予一次性财政奖补，补助额度为奖补年度研发经费投入总量的</w:t>
      </w:r>
      <w:r>
        <w:rPr>
          <w:rFonts w:hint="default" w:ascii="Times New Roman" w:hAnsi="Times New Roman" w:cs="Times New Roman"/>
          <w:sz w:val="32"/>
          <w:szCs w:val="32"/>
          <w:lang w:val="en" w:eastAsia="zh-CN"/>
        </w:rPr>
        <w:t>5</w:t>
      </w:r>
      <w:r>
        <w:rPr>
          <w:rFonts w:hint="eastAsia" w:ascii="Times New Roman" w:hAnsi="Times New Roman" w:cs="Times New Roman"/>
          <w:sz w:val="32"/>
          <w:szCs w:val="32"/>
          <w:lang w:val="en-US" w:eastAsia="zh-CN"/>
        </w:rPr>
        <w:t>%，最高不超过</w:t>
      </w:r>
      <w:r>
        <w:rPr>
          <w:rFonts w:hint="default" w:ascii="Times New Roman" w:hAnsi="Times New Roman" w:cs="Times New Roman"/>
          <w:sz w:val="32"/>
          <w:szCs w:val="32"/>
          <w:lang w:val="en" w:eastAsia="zh-CN"/>
        </w:rPr>
        <w:t>30</w:t>
      </w:r>
      <w:r>
        <w:rPr>
          <w:rFonts w:hint="eastAsia" w:ascii="Times New Roman" w:hAnsi="Times New Roman" w:cs="Times New Roman"/>
          <w:sz w:val="32"/>
          <w:szCs w:val="32"/>
          <w:lang w:val="en-US" w:eastAsia="zh-CN"/>
        </w:rPr>
        <w:t>万元。</w:t>
      </w:r>
    </w:p>
    <w:p w14:paraId="05DE25B4">
      <w:pPr>
        <w:pStyle w:val="2"/>
        <w:ind w:firstLine="643" w:firstLineChars="200"/>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w:t>
      </w:r>
      <w:r>
        <w:rPr>
          <w:rFonts w:hint="eastAsia" w:eastAsia="楷体_GB2312" w:cs="Times New Roman"/>
          <w:b/>
          <w:bCs/>
          <w:sz w:val="32"/>
          <w:szCs w:val="32"/>
          <w:u w:val="none"/>
          <w:lang w:val="en-US" w:eastAsia="zh-CN"/>
        </w:rPr>
        <w:t>瞪羚</w:t>
      </w:r>
      <w:r>
        <w:rPr>
          <w:rFonts w:hint="default" w:ascii="Times New Roman" w:hAnsi="Times New Roman" w:eastAsia="楷体_GB2312" w:cs="Times New Roman"/>
          <w:b/>
          <w:bCs/>
          <w:sz w:val="32"/>
          <w:szCs w:val="32"/>
          <w:u w:val="none"/>
        </w:rPr>
        <w:t>奖补</w:t>
      </w:r>
    </w:p>
    <w:p w14:paraId="2B3EAF4B">
      <w:pPr>
        <w:snapToGrid w:val="0"/>
        <w:spacing w:line="540" w:lineRule="exact"/>
        <w:ind w:firstLine="640" w:firstLineChars="200"/>
        <w:rPr>
          <w:rFonts w:hint="default" w:ascii="Times New Roman" w:hAnsi="Times New Roman" w:eastAsia="楷体"/>
          <w:sz w:val="32"/>
          <w:u w:val="none"/>
        </w:rPr>
      </w:pPr>
      <w:r>
        <w:rPr>
          <w:rFonts w:hint="default" w:ascii="Times New Roman" w:hAnsi="Times New Roman" w:eastAsia="仿宋_GB2312" w:cs="Times New Roman"/>
          <w:sz w:val="32"/>
          <w:szCs w:val="32"/>
          <w:u w:val="none"/>
        </w:rPr>
        <w:t>对通过自治区科技厅认定，并在有效期内的瞪羚企业，</w:t>
      </w:r>
      <w:r>
        <w:rPr>
          <w:rFonts w:hint="default" w:ascii="Times New Roman" w:hAnsi="Times New Roman" w:eastAsia="仿宋_GB2312" w:cs="Times New Roman"/>
          <w:sz w:val="32"/>
          <w:szCs w:val="24"/>
          <w:u w:val="none"/>
        </w:rPr>
        <w:t>如满足本办法第三条规定</w:t>
      </w:r>
      <w:r>
        <w:rPr>
          <w:rFonts w:hint="eastAsia" w:ascii="Times New Roman" w:hAnsi="Times New Roman" w:eastAsia="仿宋_GB2312" w:cs="Times New Roman"/>
          <w:sz w:val="32"/>
          <w:szCs w:val="24"/>
          <w:u w:val="none"/>
          <w:lang w:eastAsia="zh-CN"/>
        </w:rPr>
        <w:t>，奖补年度的</w:t>
      </w:r>
      <w:r>
        <w:rPr>
          <w:rFonts w:hint="default" w:ascii="Times New Roman" w:hAnsi="Times New Roman" w:eastAsia="仿宋_GB2312" w:cs="Times New Roman"/>
          <w:sz w:val="32"/>
          <w:szCs w:val="24"/>
          <w:u w:val="none"/>
        </w:rPr>
        <w:t>研发投入</w:t>
      </w:r>
      <w:r>
        <w:rPr>
          <w:rFonts w:hint="default" w:ascii="Times New Roman" w:hAnsi="Times New Roman" w:eastAsia="仿宋_GB2312" w:cs="Times New Roman"/>
          <w:sz w:val="32"/>
          <w:szCs w:val="24"/>
          <w:u w:val="none"/>
          <w:lang w:val="en-US"/>
        </w:rPr>
        <w:t>规模高于上一年度</w:t>
      </w:r>
      <w:r>
        <w:rPr>
          <w:rFonts w:hint="eastAsia" w:ascii="Times New Roman" w:hAnsi="Times New Roman" w:eastAsia="仿宋_GB2312" w:cs="Times New Roman"/>
          <w:sz w:val="32"/>
          <w:szCs w:val="24"/>
          <w:u w:val="none"/>
          <w:lang w:val="en-US" w:eastAsia="zh-CN"/>
        </w:rPr>
        <w:t>且增量不低于25万元</w:t>
      </w:r>
      <w:r>
        <w:rPr>
          <w:rFonts w:hint="default" w:ascii="Times New Roman" w:hAnsi="Times New Roman" w:eastAsia="仿宋_GB2312" w:cs="Times New Roman"/>
          <w:sz w:val="32"/>
          <w:szCs w:val="24"/>
          <w:u w:val="none"/>
        </w:rPr>
        <w:t>，投入强度</w:t>
      </w:r>
      <w:r>
        <w:rPr>
          <w:rFonts w:hint="default" w:ascii="Times New Roman" w:hAnsi="Times New Roman" w:eastAsia="仿宋_GB2312" w:cs="Times New Roman"/>
          <w:sz w:val="32"/>
          <w:szCs w:val="32"/>
          <w:u w:val="none"/>
        </w:rPr>
        <w:t>≥5%，</w:t>
      </w:r>
      <w:r>
        <w:rPr>
          <w:rFonts w:hint="default" w:ascii="Times New Roman" w:hAnsi="Times New Roman" w:eastAsia="仿宋_GB2312" w:cs="Times New Roman"/>
          <w:sz w:val="32"/>
          <w:szCs w:val="24"/>
          <w:u w:val="none"/>
        </w:rPr>
        <w:t>可按</w:t>
      </w:r>
      <w:r>
        <w:rPr>
          <w:rFonts w:hint="eastAsia" w:ascii="Times New Roman" w:hAnsi="Times New Roman" w:eastAsia="仿宋_GB2312" w:cs="Times New Roman"/>
          <w:sz w:val="32"/>
          <w:szCs w:val="24"/>
          <w:u w:val="none"/>
          <w:lang w:eastAsia="zh-CN"/>
        </w:rPr>
        <w:t>奖补</w:t>
      </w:r>
      <w:r>
        <w:rPr>
          <w:rFonts w:hint="default" w:ascii="Times New Roman" w:hAnsi="Times New Roman" w:eastAsia="仿宋_GB2312" w:cs="Times New Roman"/>
          <w:sz w:val="32"/>
          <w:szCs w:val="24"/>
          <w:u w:val="none"/>
        </w:rPr>
        <w:t>年度</w:t>
      </w:r>
      <w:r>
        <w:rPr>
          <w:rFonts w:hint="eastAsia" w:ascii="Times New Roman" w:hAnsi="Times New Roman" w:eastAsia="仿宋_GB2312" w:cs="Times New Roman"/>
          <w:sz w:val="32"/>
          <w:szCs w:val="24"/>
          <w:u w:val="none"/>
          <w:lang w:eastAsia="zh-CN"/>
        </w:rPr>
        <w:t>的</w:t>
      </w:r>
      <w:r>
        <w:rPr>
          <w:rFonts w:hint="default" w:ascii="Times New Roman" w:hAnsi="Times New Roman" w:eastAsia="仿宋_GB2312" w:cs="Times New Roman"/>
          <w:sz w:val="32"/>
          <w:szCs w:val="24"/>
          <w:u w:val="none"/>
        </w:rPr>
        <w:t>企业研发经费投入总量20%核算奖补且奖补金额最高不超过50万元</w:t>
      </w:r>
      <w:r>
        <w:rPr>
          <w:rFonts w:hint="eastAsia" w:ascii="Times New Roman" w:hAnsi="Times New Roman" w:eastAsia="仿宋_GB2312" w:cs="Times New Roman"/>
          <w:sz w:val="32"/>
          <w:szCs w:val="24"/>
          <w:u w:val="none"/>
          <w:lang w:eastAsia="zh-CN"/>
        </w:rPr>
        <w:t>。</w:t>
      </w:r>
    </w:p>
    <w:p w14:paraId="47C2E6DE">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楷体_GB2312" w:cs="Times New Roman"/>
          <w:b/>
          <w:bCs/>
          <w:sz w:val="32"/>
          <w:szCs w:val="32"/>
          <w:u w:val="none"/>
        </w:rPr>
      </w:pPr>
      <w:r>
        <w:rPr>
          <w:rFonts w:hint="default" w:ascii="Times New Roman" w:hAnsi="Times New Roman" w:eastAsia="楷体_GB2312" w:cs="Times New Roman"/>
          <w:b/>
          <w:bCs/>
          <w:sz w:val="32"/>
          <w:szCs w:val="32"/>
          <w:u w:val="none"/>
        </w:rPr>
        <w:t>（</w:t>
      </w:r>
      <w:r>
        <w:rPr>
          <w:rFonts w:hint="eastAsia" w:ascii="Times New Roman" w:hAnsi="Times New Roman" w:eastAsia="楷体_GB2312" w:cs="Times New Roman"/>
          <w:b/>
          <w:bCs/>
          <w:sz w:val="32"/>
          <w:szCs w:val="32"/>
          <w:u w:val="none"/>
          <w:lang w:val="en-US" w:eastAsia="zh-CN"/>
        </w:rPr>
        <w:t>四</w:t>
      </w:r>
      <w:r>
        <w:rPr>
          <w:rFonts w:hint="default" w:ascii="Times New Roman" w:hAnsi="Times New Roman" w:eastAsia="楷体_GB2312" w:cs="Times New Roman"/>
          <w:b/>
          <w:bCs/>
          <w:sz w:val="32"/>
          <w:szCs w:val="32"/>
          <w:u w:val="none"/>
        </w:rPr>
        <w:t>）特别奖补</w:t>
      </w:r>
    </w:p>
    <w:p w14:paraId="58A5F569">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对</w:t>
      </w:r>
      <w:r>
        <w:rPr>
          <w:rFonts w:hint="default" w:ascii="Times New Roman" w:hAnsi="Times New Roman" w:eastAsia="仿宋_GB2312" w:cs="Times New Roman"/>
          <w:sz w:val="32"/>
          <w:szCs w:val="32"/>
        </w:rPr>
        <w:t>符合本办法第三条规定的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none"/>
          <w:lang w:eastAsia="zh-CN"/>
        </w:rPr>
        <w:t>奖补</w:t>
      </w:r>
      <w:r>
        <w:rPr>
          <w:rFonts w:hint="default" w:ascii="Times New Roman" w:hAnsi="Times New Roman" w:eastAsia="仿宋_GB2312" w:cs="Times New Roman"/>
          <w:sz w:val="32"/>
          <w:szCs w:val="32"/>
          <w:u w:val="none"/>
        </w:rPr>
        <w:t>年度投入强度≥</w:t>
      </w:r>
      <w:r>
        <w:rPr>
          <w:rFonts w:hint="default" w:ascii="Times New Roman" w:hAnsi="Times New Roman" w:eastAsia="仿宋_GB2312" w:cs="Times New Roman"/>
          <w:sz w:val="32"/>
          <w:szCs w:val="32"/>
          <w:u w:val="none"/>
          <w:lang w:val="en"/>
        </w:rPr>
        <w:t>10</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且</w:t>
      </w:r>
      <w:r>
        <w:rPr>
          <w:rFonts w:hint="default" w:ascii="Times New Roman" w:hAnsi="Times New Roman" w:eastAsia="仿宋_GB2312" w:cs="Times New Roman"/>
          <w:sz w:val="32"/>
          <w:szCs w:val="32"/>
          <w:u w:val="none"/>
        </w:rPr>
        <w:t>企业研发经费</w:t>
      </w:r>
      <w:r>
        <w:rPr>
          <w:rFonts w:hint="default" w:ascii="Times New Roman" w:hAnsi="Times New Roman" w:eastAsia="仿宋_GB2312" w:cs="Times New Roman"/>
          <w:sz w:val="32"/>
          <w:szCs w:val="32"/>
          <w:u w:val="none"/>
          <w:lang w:val="en-US"/>
        </w:rPr>
        <w:t>投入</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rPr>
        <w:t>1亿元</w:t>
      </w:r>
      <w:r>
        <w:rPr>
          <w:rFonts w:hint="default" w:ascii="Times New Roman" w:hAnsi="Times New Roman" w:eastAsia="仿宋_GB2312" w:cs="Times New Roman"/>
          <w:sz w:val="32"/>
          <w:szCs w:val="32"/>
          <w:u w:val="none"/>
        </w:rPr>
        <w:t>的企业，单个企业每年奖补总额</w:t>
      </w:r>
      <w:r>
        <w:rPr>
          <w:rFonts w:hint="eastAsia" w:ascii="Times New Roman" w:hAnsi="Times New Roman" w:eastAsia="仿宋_GB2312" w:cs="Times New Roman"/>
          <w:sz w:val="32"/>
          <w:szCs w:val="32"/>
          <w:u w:val="none"/>
          <w:lang w:val="en-US" w:eastAsia="zh-CN"/>
        </w:rPr>
        <w:t>50</w:t>
      </w:r>
      <w:r>
        <w:rPr>
          <w:rFonts w:hint="default" w:ascii="Times New Roman" w:hAnsi="Times New Roman" w:eastAsia="仿宋_GB2312" w:cs="Times New Roman"/>
          <w:sz w:val="32"/>
          <w:szCs w:val="32"/>
          <w:u w:val="none"/>
        </w:rPr>
        <w:t>万元。</w:t>
      </w:r>
    </w:p>
    <w:p w14:paraId="2691AFC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u w:val="none"/>
        </w:rPr>
      </w:pPr>
      <w:r>
        <w:rPr>
          <w:rFonts w:hint="default" w:ascii="Times New Roman" w:hAnsi="Times New Roman" w:eastAsia="黑体" w:cs="Times New Roman"/>
          <w:b w:val="0"/>
          <w:bCs w:val="0"/>
          <w:sz w:val="32"/>
          <w:szCs w:val="32"/>
          <w:u w:val="none"/>
        </w:rPr>
        <w:t>第五条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u w:val="none"/>
        </w:rPr>
        <w:t>企业可根据自身条件，从增量奖补、</w:t>
      </w:r>
      <w:r>
        <w:rPr>
          <w:rFonts w:hint="eastAsia" w:ascii="Times New Roman" w:hAnsi="Times New Roman" w:eastAsia="仿宋_GB2312" w:cs="Times New Roman"/>
          <w:sz w:val="32"/>
          <w:u w:val="none"/>
          <w:lang w:val="en-US" w:eastAsia="zh-CN"/>
        </w:rPr>
        <w:t>工业奖补</w:t>
      </w:r>
      <w:r>
        <w:rPr>
          <w:rFonts w:hint="default" w:ascii="Times New Roman" w:hAnsi="Times New Roman" w:eastAsia="仿宋_GB2312" w:cs="Times New Roman"/>
          <w:sz w:val="32"/>
          <w:u w:val="none"/>
        </w:rPr>
        <w:t>、瞪羚奖补选择一种进行申报，但不得叠加申报。特别奖补可与以上</w:t>
      </w:r>
      <w:r>
        <w:rPr>
          <w:rFonts w:hint="eastAsia" w:ascii="Times New Roman" w:hAnsi="Times New Roman" w:eastAsia="仿宋_GB2312" w:cs="Times New Roman"/>
          <w:sz w:val="32"/>
          <w:u w:val="none"/>
          <w:lang w:val="en-US" w:eastAsia="zh-CN"/>
        </w:rPr>
        <w:t>三</w:t>
      </w:r>
      <w:r>
        <w:rPr>
          <w:rFonts w:hint="default" w:ascii="Times New Roman" w:hAnsi="Times New Roman" w:eastAsia="仿宋_GB2312" w:cs="Times New Roman"/>
          <w:sz w:val="32"/>
          <w:u w:val="none"/>
        </w:rPr>
        <w:t>种奖补叠加申报。单个企业每年可获得奖补资金总额最高为</w:t>
      </w:r>
      <w:r>
        <w:rPr>
          <w:rFonts w:hint="eastAsia" w:ascii="Times New Roman" w:hAnsi="Times New Roman" w:eastAsia="仿宋_GB2312" w:cs="Times New Roman"/>
          <w:sz w:val="32"/>
          <w:u w:val="none"/>
          <w:lang w:val="en-US" w:eastAsia="zh-CN"/>
        </w:rPr>
        <w:t>100</w:t>
      </w:r>
      <w:r>
        <w:rPr>
          <w:rFonts w:hint="default" w:ascii="Times New Roman" w:hAnsi="Times New Roman" w:eastAsia="仿宋_GB2312" w:cs="Times New Roman"/>
          <w:sz w:val="32"/>
          <w:u w:val="none"/>
        </w:rPr>
        <w:t>万元。</w:t>
      </w:r>
    </w:p>
    <w:p w14:paraId="5E278D4C">
      <w:pPr>
        <w:spacing w:line="600" w:lineRule="exact"/>
        <w:ind w:firstLine="640" w:firstLineChars="200"/>
        <w:rPr>
          <w:rFonts w:hint="eastAsia" w:ascii="Times New Roman" w:hAnsi="Times New Roman" w:eastAsia="仿宋_GB2312"/>
          <w:sz w:val="32"/>
          <w:szCs w:val="32"/>
          <w:lang w:eastAsia="zh-CN"/>
        </w:rPr>
      </w:pPr>
      <w:r>
        <w:rPr>
          <w:rFonts w:hint="eastAsia" w:ascii="黑体" w:hAnsi="黑体" w:eastAsia="黑体" w:cs="黑体"/>
          <w:sz w:val="32"/>
          <w:szCs w:val="24"/>
          <w:lang w:val="en-US" w:eastAsia="zh-CN"/>
        </w:rPr>
        <w:t xml:space="preserve">第六条 </w:t>
      </w:r>
      <w:r>
        <w:rPr>
          <w:rFonts w:hint="eastAsia" w:ascii="Times New Roman" w:hAnsi="Times New Roman" w:eastAsia="仿宋_GB2312" w:cs="Times New Roman"/>
          <w:sz w:val="32"/>
          <w:szCs w:val="24"/>
          <w:lang w:val="en-US" w:eastAsia="zh-CN"/>
        </w:rPr>
        <w:t xml:space="preserve"> </w:t>
      </w:r>
      <w:r>
        <w:rPr>
          <w:rFonts w:hint="default" w:ascii="Times New Roman" w:hAnsi="Times New Roman" w:eastAsia="仿宋_GB2312"/>
          <w:sz w:val="32"/>
          <w:szCs w:val="32"/>
        </w:rPr>
        <w:t>经核定</w:t>
      </w:r>
      <w:r>
        <w:rPr>
          <w:rFonts w:hint="eastAsia" w:ascii="Times New Roman" w:hAnsi="Times New Roman" w:eastAsia="仿宋_GB2312"/>
          <w:sz w:val="32"/>
          <w:szCs w:val="32"/>
          <w:lang w:val="en-US" w:eastAsia="zh-CN"/>
        </w:rPr>
        <w:t>奖补金额</w:t>
      </w:r>
      <w:r>
        <w:rPr>
          <w:rFonts w:hint="default" w:ascii="Times New Roman" w:hAnsi="Times New Roman" w:eastAsia="仿宋_GB2312"/>
          <w:sz w:val="32"/>
          <w:szCs w:val="32"/>
        </w:rPr>
        <w:t>不足</w:t>
      </w:r>
      <w:r>
        <w:rPr>
          <w:rFonts w:hint="default" w:ascii="Times New Roman" w:hAnsi="Times New Roman" w:eastAsia="仿宋_GB2312"/>
          <w:sz w:val="32"/>
          <w:szCs w:val="32"/>
          <w:lang w:val="en" w:eastAsia="zh-CN"/>
        </w:rPr>
        <w:t>5</w:t>
      </w:r>
      <w:r>
        <w:rPr>
          <w:rFonts w:hint="default" w:ascii="Times New Roman" w:hAnsi="Times New Roman" w:eastAsia="仿宋_GB2312"/>
          <w:sz w:val="32"/>
          <w:szCs w:val="32"/>
        </w:rPr>
        <w:t>万元的，不予以</w:t>
      </w:r>
      <w:r>
        <w:rPr>
          <w:rFonts w:hint="eastAsia" w:ascii="Times New Roman" w:hAnsi="Times New Roman" w:eastAsia="仿宋_GB2312"/>
          <w:sz w:val="32"/>
          <w:szCs w:val="32"/>
          <w:lang w:val="en-US" w:eastAsia="zh-CN"/>
        </w:rPr>
        <w:t>奖补</w:t>
      </w:r>
      <w:r>
        <w:rPr>
          <w:rFonts w:hint="default" w:ascii="Times New Roman" w:hAnsi="Times New Roman" w:eastAsia="仿宋_GB2312"/>
          <w:sz w:val="32"/>
          <w:szCs w:val="32"/>
        </w:rPr>
        <w:t>。</w:t>
      </w:r>
    </w:p>
    <w:p w14:paraId="0027BBFA">
      <w:pPr>
        <w:keepNext w:val="0"/>
        <w:keepLines w:val="0"/>
        <w:pageBreakBefore w:val="0"/>
        <w:widowControl w:val="0"/>
        <w:kinsoku/>
        <w:wordWrap/>
        <w:overflowPunct/>
        <w:topLinePunct w:val="0"/>
        <w:autoSpaceDE/>
        <w:autoSpaceDN/>
        <w:bidi w:val="0"/>
        <w:adjustRightInd/>
        <w:snapToGrid/>
        <w:spacing w:after="120" w:afterLines="0" w:afterAutospacing="0" w:line="500" w:lineRule="exact"/>
        <w:jc w:val="both"/>
        <w:textAlignment w:val="auto"/>
        <w:rPr>
          <w:rFonts w:hint="default" w:ascii="Times New Roman" w:hAnsi="Times New Roman" w:eastAsia="楷体" w:cs="Times New Roman"/>
          <w:kern w:val="2"/>
          <w:sz w:val="32"/>
          <w:szCs w:val="24"/>
          <w:u w:val="none"/>
          <w:lang w:val="en-US" w:eastAsia="zh-CN" w:bidi="ar-SA"/>
        </w:rPr>
      </w:pPr>
    </w:p>
    <w:p w14:paraId="017BE584">
      <w:pPr>
        <w:pStyle w:val="15"/>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第三章  申报流程</w:t>
      </w:r>
    </w:p>
    <w:p w14:paraId="0519BE9C">
      <w:pPr>
        <w:pStyle w:val="15"/>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黑体" w:cs="Times New Roman"/>
          <w:sz w:val="32"/>
          <w:szCs w:val="32"/>
          <w:u w:val="none"/>
        </w:rPr>
      </w:pPr>
    </w:p>
    <w:p w14:paraId="412C99E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val="en-US" w:eastAsia="zh-CN"/>
        </w:rPr>
        <w:t>七</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发布通知。自治区科技厅会同自治区财政厅发布申报财政奖补的通知。</w:t>
      </w:r>
    </w:p>
    <w:p w14:paraId="4532836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val="en-US" w:eastAsia="zh-CN"/>
        </w:rPr>
        <w:t>八</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企业申报。企业完成所得税年度汇算清缴后，按照申报通知要求在广西科技管理信息平台进行网上申报。每年申报时间结束后，申报端口原则上不再开放。</w:t>
      </w:r>
    </w:p>
    <w:p w14:paraId="33722D6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val="en-US" w:eastAsia="zh-CN"/>
        </w:rPr>
        <w:t>九</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初审推荐。各设区市科技</w:t>
      </w:r>
      <w:r>
        <w:rPr>
          <w:rFonts w:hint="eastAsia" w:ascii="Times New Roman" w:hAnsi="Times New Roman" w:eastAsia="仿宋_GB2312" w:cs="Times New Roman"/>
          <w:sz w:val="32"/>
          <w:szCs w:val="32"/>
          <w:u w:val="none"/>
          <w:lang w:val="en-US" w:eastAsia="zh-CN"/>
        </w:rPr>
        <w:t>局牵头</w:t>
      </w:r>
      <w:r>
        <w:rPr>
          <w:rFonts w:hint="default" w:ascii="Times New Roman" w:hAnsi="Times New Roman" w:eastAsia="仿宋_GB2312" w:cs="Times New Roman"/>
          <w:sz w:val="32"/>
          <w:szCs w:val="32"/>
          <w:u w:val="none"/>
        </w:rPr>
        <w:t>对申报企业进行初审，对不符合条件或形式审查不合格的企业，不予受理，直接退回。经初审无误后，以设区市为单位推荐上报至自治区科技厅。</w:t>
      </w:r>
    </w:p>
    <w:p w14:paraId="56B0FE9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val="en-US" w:eastAsia="zh-CN"/>
        </w:rPr>
        <w:t>十</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汇总核定。自治区科技厅汇总所有申报信息后，联合自治区财政厅、自治区工业和信息化厅对汇总信息进行核定，经核定后的奖补企业名单将在自治区科技厅的官方网站上予以公示，公示时间为5个工作日。</w:t>
      </w:r>
    </w:p>
    <w:p w14:paraId="26FDB86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一</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下达资金。奖补企业名单公示无异议后，由自治区科技厅会同自治区财政厅按相关规定予以下达财政奖补资金。</w:t>
      </w:r>
    </w:p>
    <w:p w14:paraId="2760B7BF">
      <w:pPr>
        <w:widowControl w:val="0"/>
        <w:spacing w:after="120" w:afterLines="0" w:afterAutospacing="0"/>
        <w:jc w:val="both"/>
        <w:rPr>
          <w:rFonts w:hint="default" w:ascii="Times New Roman" w:hAnsi="Times New Roman" w:eastAsia="楷体" w:cs="Times New Roman"/>
          <w:kern w:val="2"/>
          <w:sz w:val="32"/>
          <w:szCs w:val="24"/>
          <w:u w:val="none"/>
          <w:lang w:val="en-US" w:eastAsia="zh-CN" w:bidi="ar-SA"/>
        </w:rPr>
      </w:pPr>
    </w:p>
    <w:p w14:paraId="355E2738">
      <w:pPr>
        <w:pStyle w:val="15"/>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第四章  部门职责</w:t>
      </w:r>
    </w:p>
    <w:p w14:paraId="4FE2B54C">
      <w:pPr>
        <w:pStyle w:val="15"/>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default" w:ascii="Times New Roman" w:hAnsi="Times New Roman" w:eastAsia="黑体" w:cs="Times New Roman"/>
          <w:sz w:val="32"/>
          <w:szCs w:val="32"/>
          <w:u w:val="none"/>
        </w:rPr>
      </w:pPr>
    </w:p>
    <w:p w14:paraId="54F1A42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二</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Cs/>
          <w:sz w:val="32"/>
          <w:szCs w:val="32"/>
          <w:u w:val="none"/>
        </w:rPr>
        <w:t>财政部门主要职责：</w:t>
      </w:r>
    </w:p>
    <w:p w14:paraId="677D7AA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自治区财政厅负责落实财政奖补资金，</w:t>
      </w:r>
      <w:r>
        <w:rPr>
          <w:rFonts w:hint="eastAsia" w:ascii="Times New Roman" w:hAnsi="Times New Roman" w:eastAsia="仿宋_GB2312" w:cs="Times New Roman"/>
          <w:sz w:val="32"/>
          <w:szCs w:val="32"/>
          <w:u w:val="none"/>
          <w:lang w:val="en-US" w:eastAsia="zh-CN"/>
        </w:rPr>
        <w:t>负责加强财政资金的监督管理。</w:t>
      </w:r>
    </w:p>
    <w:p w14:paraId="68B56EE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三</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Cs/>
          <w:sz w:val="32"/>
          <w:szCs w:val="32"/>
          <w:u w:val="none"/>
        </w:rPr>
        <w:t>科技部门主要职责：</w:t>
      </w:r>
    </w:p>
    <w:p w14:paraId="1B5C41A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自治区科技厅负责全区财政奖补工作的牵头组织和监督检查等工作；会同自治区财政厅编制</w:t>
      </w:r>
      <w:r>
        <w:rPr>
          <w:rFonts w:hint="default" w:ascii="Times New Roman" w:hAnsi="Times New Roman" w:eastAsia="仿宋_GB2312" w:cs="Times New Roman"/>
          <w:sz w:val="32"/>
          <w:szCs w:val="32"/>
          <w:u w:val="none"/>
        </w:rPr>
        <w:t>财政奖补资金</w:t>
      </w:r>
      <w:r>
        <w:rPr>
          <w:rFonts w:hint="default" w:ascii="Times New Roman" w:hAnsi="Times New Roman" w:eastAsia="仿宋_GB2312" w:cs="Times New Roman"/>
          <w:bCs/>
          <w:sz w:val="32"/>
          <w:szCs w:val="32"/>
          <w:u w:val="none"/>
        </w:rPr>
        <w:t>年度计划，提出预算建议，并按规定拨付财政奖补资金；指导</w:t>
      </w:r>
      <w:r>
        <w:rPr>
          <w:rFonts w:hint="default" w:ascii="Times New Roman" w:hAnsi="Times New Roman" w:eastAsia="仿宋_GB2312" w:cs="Times New Roman"/>
          <w:sz w:val="32"/>
          <w:szCs w:val="32"/>
          <w:u w:val="none"/>
        </w:rPr>
        <w:t>企业建立研发活动准备金制度和研发项目管理制度，</w:t>
      </w:r>
      <w:r>
        <w:rPr>
          <w:rFonts w:hint="default" w:ascii="Times New Roman" w:hAnsi="Times New Roman" w:eastAsia="仿宋_GB2312" w:cs="Times New Roman"/>
          <w:bCs/>
          <w:sz w:val="32"/>
          <w:szCs w:val="32"/>
          <w:u w:val="none"/>
        </w:rPr>
        <w:t>指导并组织企业开展研发活动备案工作；组织财政奖补的年度申报、核定、公开等，负责对企业申报信息进行检查复核，负责绩效</w:t>
      </w:r>
      <w:r>
        <w:rPr>
          <w:rFonts w:hint="eastAsia" w:ascii="Times New Roman" w:hAnsi="Times New Roman" w:eastAsia="仿宋_GB2312" w:cs="Times New Roman"/>
          <w:bCs/>
          <w:sz w:val="32"/>
          <w:szCs w:val="32"/>
          <w:u w:val="none"/>
          <w:lang w:val="en-US" w:eastAsia="zh-CN"/>
        </w:rPr>
        <w:t>管理</w:t>
      </w:r>
      <w:r>
        <w:rPr>
          <w:rFonts w:hint="default" w:ascii="Times New Roman" w:hAnsi="Times New Roman" w:eastAsia="仿宋_GB2312" w:cs="Times New Roman"/>
          <w:bCs/>
          <w:sz w:val="32"/>
          <w:szCs w:val="32"/>
          <w:u w:val="none"/>
        </w:rPr>
        <w:t>和相关系统建设、运行管理及信息共享等。</w:t>
      </w:r>
    </w:p>
    <w:p w14:paraId="5BEEFCC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各设区市科技部门负责组织本行政区域内的申报推荐工作，对企业申报信息的完整性、真实性、合规性及企业科研诚信情况进行初审，并将初审后的名单推荐上报至自治区科技厅。</w:t>
      </w:r>
    </w:p>
    <w:p w14:paraId="6E744D2E">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四</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Cs/>
          <w:sz w:val="32"/>
          <w:szCs w:val="32"/>
          <w:u w:val="none"/>
        </w:rPr>
        <w:t>工业和信息化部门主要职责：</w:t>
      </w:r>
    </w:p>
    <w:p w14:paraId="6CEC207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ar-SA"/>
        </w:rPr>
        <w:t>自治区工业和信息化厅负责提供</w:t>
      </w:r>
      <w:r>
        <w:rPr>
          <w:rFonts w:hint="default" w:ascii="Times New Roman" w:hAnsi="Times New Roman" w:eastAsia="仿宋_GB2312" w:cs="Times New Roman"/>
          <w:bCs/>
          <w:sz w:val="32"/>
          <w:szCs w:val="32"/>
          <w:lang w:val="en-US" w:eastAsia="zh-CN"/>
        </w:rPr>
        <w:t>新增有研发活动规模以上工业企业</w:t>
      </w:r>
      <w:r>
        <w:rPr>
          <w:rFonts w:hint="eastAsia" w:ascii="Times New Roman" w:hAnsi="Times New Roman" w:eastAsia="仿宋_GB2312" w:cs="Times New Roman"/>
          <w:bCs/>
          <w:sz w:val="32"/>
          <w:szCs w:val="32"/>
          <w:lang w:val="en-US" w:eastAsia="zh-CN"/>
        </w:rPr>
        <w:t>及</w:t>
      </w:r>
      <w:r>
        <w:rPr>
          <w:rFonts w:hint="default" w:ascii="Times New Roman" w:hAnsi="Times New Roman" w:eastAsia="仿宋_GB2312" w:cs="Times New Roman"/>
          <w:bCs/>
          <w:sz w:val="32"/>
          <w:szCs w:val="32"/>
          <w:lang w:val="en-US" w:eastAsia="zh-CN"/>
        </w:rPr>
        <w:t>其研发费用名单</w:t>
      </w:r>
      <w:r>
        <w:rPr>
          <w:rFonts w:hint="eastAsia" w:ascii="Times New Roman" w:hAnsi="Times New Roman" w:eastAsia="仿宋_GB2312" w:cs="Times New Roman"/>
          <w:bCs/>
          <w:sz w:val="32"/>
          <w:szCs w:val="32"/>
          <w:lang w:val="en-US" w:eastAsia="zh-CN"/>
        </w:rPr>
        <w:t>；负责</w:t>
      </w:r>
      <w:r>
        <w:rPr>
          <w:rFonts w:hint="default" w:ascii="Times New Roman" w:hAnsi="Times New Roman" w:eastAsia="仿宋_GB2312" w:cs="Times New Roman"/>
          <w:bCs/>
          <w:sz w:val="32"/>
          <w:szCs w:val="32"/>
          <w:lang w:val="en-US" w:eastAsia="zh-CN"/>
        </w:rPr>
        <w:t>工业奖补</w:t>
      </w:r>
      <w:r>
        <w:rPr>
          <w:rFonts w:hint="default" w:ascii="Times New Roman" w:hAnsi="Times New Roman" w:eastAsia="仿宋_GB2312" w:cs="Times New Roman"/>
          <w:bCs/>
          <w:sz w:val="32"/>
          <w:szCs w:val="32"/>
          <w:lang w:eastAsia="ar-SA"/>
        </w:rPr>
        <w:t>申报材料的核定</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eastAsia="ar-SA"/>
        </w:rPr>
        <w:t>协助开展全区财政奖补申报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ar-SA"/>
        </w:rPr>
        <w:t>监督检查</w:t>
      </w:r>
      <w:r>
        <w:rPr>
          <w:rFonts w:hint="default" w:ascii="Times New Roman" w:hAnsi="Times New Roman" w:eastAsia="仿宋_GB2312" w:cs="Times New Roman"/>
          <w:bCs/>
          <w:sz w:val="32"/>
          <w:szCs w:val="32"/>
          <w:lang w:val="en-US" w:eastAsia="zh-CN"/>
        </w:rPr>
        <w:t>和数据核定</w:t>
      </w:r>
      <w:r>
        <w:rPr>
          <w:rFonts w:hint="default" w:ascii="Times New Roman" w:hAnsi="Times New Roman" w:eastAsia="仿宋_GB2312" w:cs="Times New Roman"/>
          <w:bCs/>
          <w:sz w:val="32"/>
          <w:szCs w:val="32"/>
          <w:lang w:eastAsia="ar-SA"/>
        </w:rPr>
        <w:t>等工作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ar-SA"/>
        </w:rPr>
        <w:t>协助开展规模以上工业企业财政奖补申报材料的核查审定；指导工业企业上规入统工作。</w:t>
      </w:r>
    </w:p>
    <w:p w14:paraId="0A36C13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lang w:eastAsia="ar-SA"/>
        </w:rPr>
      </w:pPr>
      <w:r>
        <w:rPr>
          <w:rFonts w:hint="default" w:ascii="Times New Roman" w:hAnsi="Times New Roman" w:eastAsia="仿宋_GB2312" w:cs="Times New Roman"/>
          <w:bCs/>
          <w:sz w:val="32"/>
          <w:szCs w:val="32"/>
          <w:lang w:val="en-US" w:eastAsia="ar-SA"/>
        </w:rPr>
        <w:t>各设区市工业和信息化部门协助同级科技部门开展本行政区域内工业奖补申报和推荐管理等工作</w:t>
      </w:r>
      <w:r>
        <w:rPr>
          <w:rFonts w:hint="default" w:ascii="Times New Roman" w:hAnsi="Times New Roman" w:eastAsia="仿宋_GB2312" w:cs="Times New Roman"/>
          <w:bCs/>
          <w:sz w:val="32"/>
          <w:szCs w:val="32"/>
          <w:lang w:eastAsia="ar-SA"/>
        </w:rPr>
        <w:t>；参与本行政区域内</w:t>
      </w:r>
      <w:r>
        <w:rPr>
          <w:rFonts w:hint="default" w:ascii="Times New Roman" w:hAnsi="Times New Roman" w:eastAsia="仿宋_GB2312" w:cs="Times New Roman"/>
          <w:bCs/>
          <w:sz w:val="32"/>
          <w:szCs w:val="32"/>
          <w:lang w:val="en-US" w:eastAsia="zh-CN"/>
        </w:rPr>
        <w:t>工业奖补</w:t>
      </w:r>
      <w:r>
        <w:rPr>
          <w:rFonts w:hint="default" w:ascii="Times New Roman" w:hAnsi="Times New Roman" w:eastAsia="仿宋_GB2312" w:cs="Times New Roman"/>
          <w:bCs/>
          <w:sz w:val="32"/>
          <w:szCs w:val="32"/>
          <w:lang w:eastAsia="ar-SA"/>
        </w:rPr>
        <w:t>申报材料的核定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ar-SA"/>
        </w:rPr>
        <w:t>协助开展本行政区域内财政奖补申报和监督检查等工作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ar-SA"/>
        </w:rPr>
        <w:t>指导工业企业上规入统工作。</w:t>
      </w:r>
    </w:p>
    <w:p w14:paraId="012B251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五</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Cs/>
          <w:sz w:val="32"/>
          <w:szCs w:val="32"/>
          <w:u w:val="none"/>
        </w:rPr>
        <w:t>企业主要职责：</w:t>
      </w:r>
    </w:p>
    <w:p w14:paraId="307950B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（一）企业应切实履行法人主体责任，建立健全研发活动管理制度，诚信开展研发活动，不断提高企业研发经费投入强度，提升产品核心竞争力和市场效益。</w:t>
      </w:r>
    </w:p>
    <w:p w14:paraId="565FDF6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（二）企业应按时、如实填报税务报表、统计报表，依法依规履行相关法律责任和义务。</w:t>
      </w:r>
    </w:p>
    <w:p w14:paraId="778302A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（三）企业应按通知要求在规定时间内提交申报材料，如实申报财政奖补。</w:t>
      </w:r>
    </w:p>
    <w:p w14:paraId="3C95F18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（四）企业应加强对</w:t>
      </w:r>
      <w:r>
        <w:rPr>
          <w:rFonts w:hint="default" w:ascii="Times New Roman" w:hAnsi="Times New Roman" w:eastAsia="仿宋_GB2312" w:cs="Times New Roman"/>
          <w:sz w:val="32"/>
          <w:szCs w:val="32"/>
          <w:u w:val="none"/>
        </w:rPr>
        <w:t>财政奖补资金</w:t>
      </w:r>
      <w:r>
        <w:rPr>
          <w:rFonts w:hint="default" w:ascii="Times New Roman" w:hAnsi="Times New Roman" w:eastAsia="仿宋_GB2312" w:cs="Times New Roman"/>
          <w:bCs/>
          <w:sz w:val="32"/>
          <w:szCs w:val="32"/>
          <w:u w:val="none"/>
        </w:rPr>
        <w:t>的使用管理，严格执行财务规章制度和会计核算办法，做好研发活动台账管理，自觉接受监督检查和绩效</w:t>
      </w:r>
      <w:r>
        <w:rPr>
          <w:rFonts w:hint="eastAsia" w:ascii="Times New Roman" w:hAnsi="Times New Roman" w:eastAsia="仿宋_GB2312" w:cs="Times New Roman"/>
          <w:bCs/>
          <w:sz w:val="32"/>
          <w:szCs w:val="32"/>
          <w:u w:val="none"/>
          <w:lang w:val="en-US" w:eastAsia="zh-CN"/>
        </w:rPr>
        <w:t>管理</w:t>
      </w:r>
      <w:r>
        <w:rPr>
          <w:rFonts w:hint="default" w:ascii="Times New Roman" w:hAnsi="Times New Roman" w:eastAsia="仿宋_GB2312" w:cs="Times New Roman"/>
          <w:bCs/>
          <w:sz w:val="32"/>
          <w:szCs w:val="32"/>
          <w:u w:val="none"/>
        </w:rPr>
        <w:t>等工作，主动配合开展相关创新监测统计工作。</w:t>
      </w:r>
    </w:p>
    <w:p w14:paraId="6CFBDCF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（五）企业获得奖补资金后，因享受研发费用加计扣除政策的实际研发投入发生变化，导致应享受奖补资金减少的，应及时告知属地市级科技主管部门，并主动退回减少的奖补资金。</w:t>
      </w:r>
    </w:p>
    <w:p w14:paraId="53836710">
      <w:pPr>
        <w:snapToGrid w:val="0"/>
        <w:spacing w:line="560" w:lineRule="exact"/>
        <w:ind w:firstLine="640" w:firstLineChars="200"/>
        <w:rPr>
          <w:rFonts w:hint="default" w:ascii="Times New Roman" w:hAnsi="Times New Roman" w:eastAsia="楷体" w:cs="Times New Roman"/>
          <w:sz w:val="32"/>
          <w:u w:val="none"/>
        </w:rPr>
      </w:pPr>
      <w:r>
        <w:rPr>
          <w:rFonts w:hint="default" w:ascii="Times New Roman" w:hAnsi="Times New Roman" w:eastAsia="仿宋_GB2312" w:cs="Times New Roman"/>
          <w:bCs/>
          <w:sz w:val="32"/>
          <w:szCs w:val="32"/>
          <w:u w:val="none"/>
        </w:rPr>
        <w:t>（六）企业应及时更新在广西科技管理信息平台上留存的单位信息并提供相应证明材料，确保奖补资金顺利发放。</w:t>
      </w:r>
    </w:p>
    <w:p w14:paraId="7BB3BF80">
      <w:pPr>
        <w:pStyle w:val="15"/>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黑体" w:cs="Times New Roman"/>
          <w:sz w:val="32"/>
          <w:szCs w:val="32"/>
          <w:u w:val="none"/>
        </w:rPr>
      </w:pPr>
    </w:p>
    <w:p w14:paraId="1C290F8D">
      <w:pPr>
        <w:pStyle w:val="15"/>
        <w:keepNext w:val="0"/>
        <w:keepLines w:val="0"/>
        <w:pageBreakBefore w:val="0"/>
        <w:kinsoku/>
        <w:wordWrap/>
        <w:overflowPunct/>
        <w:topLinePunct w:val="0"/>
        <w:autoSpaceDE/>
        <w:autoSpaceDN/>
        <w:bidi w:val="0"/>
        <w:adjustRightInd/>
        <w:snapToGrid w:val="0"/>
        <w:spacing w:line="560" w:lineRule="exact"/>
        <w:ind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第五章  奖补资金使用管理</w:t>
      </w:r>
    </w:p>
    <w:p w14:paraId="0EC22140">
      <w:pPr>
        <w:pStyle w:val="15"/>
        <w:keepNext w:val="0"/>
        <w:keepLines w:val="0"/>
        <w:pageBreakBefore w:val="0"/>
        <w:kinsoku/>
        <w:wordWrap/>
        <w:overflowPunct/>
        <w:topLinePunct w:val="0"/>
        <w:autoSpaceDE/>
        <w:autoSpaceDN/>
        <w:bidi w:val="0"/>
        <w:adjustRightInd/>
        <w:snapToGrid w:val="0"/>
        <w:spacing w:line="560" w:lineRule="exact"/>
        <w:ind w:firstLine="0" w:firstLineChars="0"/>
        <w:jc w:val="both"/>
        <w:textAlignment w:val="auto"/>
        <w:rPr>
          <w:rFonts w:hint="default" w:ascii="Times New Roman" w:hAnsi="Times New Roman" w:eastAsia="黑体" w:cs="Times New Roman"/>
          <w:sz w:val="32"/>
          <w:szCs w:val="32"/>
          <w:u w:val="none"/>
        </w:rPr>
      </w:pPr>
    </w:p>
    <w:p w14:paraId="61C3F03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六</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财政奖补资金原则上用于企业自立研发项目或配套各级财政科技计划项目的研发支出。企业应对财政奖补资金的使用和涉及的研发项目实行分账核算。</w:t>
      </w:r>
    </w:p>
    <w:p w14:paraId="5AB004D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第十</w:t>
      </w:r>
      <w:r>
        <w:rPr>
          <w:rFonts w:hint="eastAsia" w:ascii="Times New Roman" w:hAnsi="Times New Roman" w:eastAsia="黑体" w:cs="Times New Roman"/>
          <w:b w:val="0"/>
          <w:bCs w:val="0"/>
          <w:sz w:val="32"/>
          <w:szCs w:val="32"/>
          <w:u w:val="none"/>
          <w:lang w:val="en-US" w:eastAsia="zh-CN"/>
        </w:rPr>
        <w:t>七</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Cs/>
          <w:sz w:val="32"/>
          <w:szCs w:val="32"/>
          <w:u w:val="none"/>
        </w:rPr>
        <w:t>自治区科技厅、自治区财政厅</w:t>
      </w:r>
      <w:r>
        <w:rPr>
          <w:rFonts w:hint="default" w:ascii="Times New Roman" w:hAnsi="Times New Roman" w:eastAsia="仿宋_GB2312" w:cs="Times New Roman"/>
          <w:sz w:val="32"/>
          <w:szCs w:val="32"/>
          <w:u w:val="none"/>
        </w:rPr>
        <w:t>、自治区工业和信息化厅</w:t>
      </w:r>
      <w:r>
        <w:rPr>
          <w:rFonts w:hint="default" w:ascii="Times New Roman" w:hAnsi="Times New Roman" w:eastAsia="仿宋_GB2312" w:cs="Times New Roman"/>
          <w:bCs/>
          <w:sz w:val="32"/>
          <w:szCs w:val="32"/>
          <w:u w:val="none"/>
        </w:rPr>
        <w:t>建立企业研发经费投入信息共享机制。</w:t>
      </w:r>
    </w:p>
    <w:p w14:paraId="334912C6">
      <w:pPr>
        <w:snapToGrid w:val="0"/>
        <w:spacing w:line="560" w:lineRule="exact"/>
        <w:ind w:firstLine="624" w:firstLineChars="200"/>
        <w:rPr>
          <w:rFonts w:hint="default" w:ascii="Times New Roman" w:hAnsi="Times New Roman" w:eastAsia="仿宋_GB2312" w:cs="Times New Roman"/>
          <w:bCs/>
          <w:sz w:val="32"/>
          <w:szCs w:val="32"/>
          <w:u w:val="none"/>
        </w:rPr>
      </w:pPr>
      <w:r>
        <w:rPr>
          <w:rFonts w:ascii="黑体" w:hAnsi="黑体" w:eastAsia="黑体" w:cs="黑体"/>
          <w:b w:val="0"/>
          <w:bCs w:val="0"/>
          <w:spacing w:val="-4"/>
          <w:sz w:val="32"/>
          <w:szCs w:val="32"/>
          <w:u w:val="none"/>
        </w:rPr>
        <w:t>第十</w:t>
      </w:r>
      <w:r>
        <w:rPr>
          <w:rFonts w:hint="eastAsia" w:ascii="黑体" w:hAnsi="黑体" w:eastAsia="黑体" w:cs="黑体"/>
          <w:b w:val="0"/>
          <w:bCs w:val="0"/>
          <w:spacing w:val="-4"/>
          <w:sz w:val="32"/>
          <w:szCs w:val="32"/>
          <w:u w:val="none"/>
          <w:lang w:val="en-US" w:eastAsia="zh-CN"/>
        </w:rPr>
        <w:t>八</w:t>
      </w:r>
      <w:r>
        <w:rPr>
          <w:rFonts w:ascii="黑体" w:hAnsi="黑体" w:eastAsia="黑体" w:cs="黑体"/>
          <w:b w:val="0"/>
          <w:bCs w:val="0"/>
          <w:spacing w:val="-4"/>
          <w:sz w:val="32"/>
          <w:szCs w:val="32"/>
          <w:u w:val="none"/>
        </w:rPr>
        <w:t>条</w:t>
      </w:r>
      <w:r>
        <w:rPr>
          <w:rFonts w:ascii="黑体" w:hAnsi="黑体" w:eastAsia="黑体" w:cs="黑体"/>
          <w:spacing w:val="120"/>
          <w:sz w:val="32"/>
          <w:szCs w:val="32"/>
          <w:u w:val="none"/>
        </w:rPr>
        <w:t xml:space="preserve"> </w:t>
      </w:r>
      <w:r>
        <w:rPr>
          <w:rFonts w:hint="default" w:ascii="Times New Roman" w:hAnsi="Times New Roman" w:eastAsia="仿宋_GB2312" w:cs="Times New Roman"/>
          <w:bCs/>
          <w:spacing w:val="0"/>
          <w:sz w:val="32"/>
          <w:szCs w:val="32"/>
          <w:u w:val="none"/>
        </w:rPr>
        <w:t>自治区科技厅、自治区财政厅</w:t>
      </w:r>
      <w:r>
        <w:rPr>
          <w:rFonts w:hint="eastAsia" w:ascii="Times New Roman" w:hAnsi="Times New Roman" w:eastAsia="仿宋_GB2312" w:cs="Times New Roman"/>
          <w:bCs/>
          <w:spacing w:val="0"/>
          <w:sz w:val="32"/>
          <w:szCs w:val="32"/>
          <w:u w:val="none"/>
          <w:lang w:val="en-US" w:eastAsia="zh-CN"/>
        </w:rPr>
        <w:t>将</w:t>
      </w:r>
      <w:r>
        <w:rPr>
          <w:rFonts w:hint="default" w:ascii="Times New Roman" w:hAnsi="Times New Roman" w:eastAsia="仿宋_GB2312" w:cs="Times New Roman"/>
          <w:bCs/>
          <w:spacing w:val="0"/>
          <w:sz w:val="32"/>
          <w:szCs w:val="32"/>
          <w:u w:val="none"/>
        </w:rPr>
        <w:t>加强预算绩效管理</w:t>
      </w:r>
      <w:r>
        <w:rPr>
          <w:rFonts w:hint="eastAsia" w:ascii="Times New Roman" w:hAnsi="Times New Roman" w:eastAsia="仿宋_GB2312" w:cs="Times New Roman"/>
          <w:bCs/>
          <w:spacing w:val="0"/>
          <w:sz w:val="32"/>
          <w:szCs w:val="32"/>
          <w:u w:val="none"/>
          <w:lang w:val="en-US" w:eastAsia="zh-CN"/>
        </w:rPr>
        <w:t>，</w:t>
      </w:r>
      <w:r>
        <w:rPr>
          <w:rFonts w:hint="default" w:ascii="Times New Roman" w:hAnsi="Times New Roman" w:eastAsia="仿宋_GB2312" w:cs="Times New Roman"/>
          <w:bCs/>
          <w:spacing w:val="0"/>
          <w:sz w:val="32"/>
          <w:szCs w:val="32"/>
          <w:u w:val="none"/>
        </w:rPr>
        <w:t>适时组织或委托第三方中介机构对政策实施、资金落实、资金使用等情况开展绩效评价，绩效评价结果作为今后财政安排专项资金和后续完善政策的重要依据。</w:t>
      </w:r>
    </w:p>
    <w:p w14:paraId="4FDEB1B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val="en-US" w:eastAsia="zh-CN"/>
        </w:rPr>
        <w:t>十九</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US" w:eastAsia="zh-CN"/>
        </w:rPr>
        <w:t>对在资金申报、审核、使用、管理等工作中，存在弄虚作假、截留、挪用、挤占资金等违法、违规、违纪、失信行为的，依照《中华人民共和国预算法》《中华人民共和国公务员法》《中华人民共和国监察法》《中华人民共和国税收征收管理法》《中华人民共和国统计法》《财政违法行为处罚处分条例》等有关法律、法规、规章及行政规范性文件的规定予以处理，依法追究有关单位及其相关人员责任，涉嫌犯罪的，依法移送司法机关处理。</w:t>
      </w:r>
    </w:p>
    <w:p w14:paraId="2E2C2C7F">
      <w:pPr>
        <w:widowControl w:val="0"/>
        <w:spacing w:after="120" w:afterLines="0" w:afterAutospacing="0"/>
        <w:jc w:val="both"/>
        <w:rPr>
          <w:rFonts w:hint="default" w:ascii="Times New Roman" w:hAnsi="Times New Roman" w:eastAsia="楷体" w:cs="Times New Roman"/>
          <w:kern w:val="2"/>
          <w:sz w:val="32"/>
          <w:szCs w:val="24"/>
          <w:u w:val="none"/>
          <w:lang w:val="en-US" w:eastAsia="zh-CN" w:bidi="ar-SA"/>
        </w:rPr>
      </w:pPr>
    </w:p>
    <w:p w14:paraId="09A27399">
      <w:pPr>
        <w:pStyle w:val="15"/>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第六章  附</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则</w:t>
      </w:r>
    </w:p>
    <w:p w14:paraId="789CF869">
      <w:pPr>
        <w:pStyle w:val="15"/>
        <w:keepNext w:val="0"/>
        <w:keepLines w:val="0"/>
        <w:pageBreakBefore w:val="0"/>
        <w:kinsoku/>
        <w:wordWrap/>
        <w:overflowPunct/>
        <w:topLinePunct w:val="0"/>
        <w:autoSpaceDE/>
        <w:autoSpaceDN/>
        <w:bidi w:val="0"/>
        <w:adjustRightInd/>
        <w:spacing w:line="560" w:lineRule="exact"/>
        <w:ind w:firstLine="0" w:firstLineChars="0"/>
        <w:jc w:val="both"/>
        <w:textAlignment w:val="auto"/>
        <w:rPr>
          <w:rFonts w:hint="default" w:ascii="Times New Roman" w:hAnsi="Times New Roman" w:eastAsia="黑体" w:cs="Times New Roman"/>
          <w:sz w:val="32"/>
          <w:szCs w:val="32"/>
          <w:u w:val="none"/>
        </w:rPr>
      </w:pPr>
    </w:p>
    <w:p w14:paraId="17E42F0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w:t>
      </w:r>
      <w:r>
        <w:rPr>
          <w:rFonts w:hint="eastAsia" w:ascii="Times New Roman" w:hAnsi="Times New Roman" w:eastAsia="黑体" w:cs="Times New Roman"/>
          <w:b w:val="0"/>
          <w:bCs w:val="0"/>
          <w:sz w:val="32"/>
          <w:szCs w:val="32"/>
          <w:u w:val="none"/>
          <w:lang w:val="en-US" w:eastAsia="zh-CN"/>
        </w:rPr>
        <w:t>二十</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val="en-US" w:eastAsia="zh-CN"/>
        </w:rPr>
        <w:t xml:space="preserve"> </w:t>
      </w:r>
      <w:r>
        <w:rPr>
          <w:rFonts w:hint="eastAsia" w:ascii="仿宋_GB2312" w:hAnsi="仿宋_GB2312" w:eastAsia="仿宋_GB2312" w:cs="仿宋_GB2312"/>
          <w:b w:val="0"/>
          <w:bCs/>
          <w:sz w:val="32"/>
          <w:szCs w:val="32"/>
          <w:u w:val="none"/>
          <w:lang w:val="en-US" w:eastAsia="ar-SA"/>
        </w:rPr>
        <w:t>本办法自发布之日实施，</w:t>
      </w:r>
      <w:r>
        <w:rPr>
          <w:rFonts w:hint="default" w:ascii="Times New Roman" w:hAnsi="Times New Roman" w:eastAsia="仿宋_GB2312" w:cs="Times New Roman"/>
          <w:b w:val="0"/>
          <w:bCs/>
          <w:sz w:val="32"/>
          <w:szCs w:val="32"/>
          <w:u w:val="none"/>
          <w:lang w:val="en-US" w:eastAsia="ar-SA"/>
        </w:rPr>
        <w:t>有效期至202</w:t>
      </w:r>
      <w:r>
        <w:rPr>
          <w:rFonts w:hint="default" w:ascii="Times New Roman" w:hAnsi="Times New Roman" w:eastAsia="仿宋_GB2312" w:cs="Times New Roman"/>
          <w:b w:val="0"/>
          <w:bCs/>
          <w:sz w:val="32"/>
          <w:szCs w:val="32"/>
          <w:u w:val="none"/>
          <w:lang w:val="en-US" w:eastAsia="zh-CN"/>
        </w:rPr>
        <w:t>7</w:t>
      </w:r>
      <w:r>
        <w:rPr>
          <w:rFonts w:hint="default" w:ascii="Times New Roman" w:hAnsi="Times New Roman" w:eastAsia="仿宋_GB2312" w:cs="Times New Roman"/>
          <w:b w:val="0"/>
          <w:bCs/>
          <w:sz w:val="32"/>
          <w:szCs w:val="32"/>
          <w:u w:val="none"/>
          <w:lang w:val="en-US" w:eastAsia="ar-SA"/>
        </w:rPr>
        <w:t>年12月31日。</w:t>
      </w:r>
      <w:r>
        <w:rPr>
          <w:rFonts w:hint="default" w:ascii="Times New Roman" w:hAnsi="Times New Roman" w:eastAsia="仿宋_GB2312" w:cs="Times New Roman"/>
          <w:bCs/>
          <w:sz w:val="32"/>
          <w:szCs w:val="32"/>
          <w:u w:val="none"/>
        </w:rPr>
        <w:t>本办法由自治区科技厅会同自治区财政厅</w:t>
      </w:r>
      <w:r>
        <w:rPr>
          <w:rFonts w:hint="default" w:ascii="Times New Roman" w:hAnsi="Times New Roman" w:eastAsia="仿宋_GB2312" w:cs="Times New Roman"/>
          <w:sz w:val="32"/>
          <w:szCs w:val="32"/>
          <w:u w:val="none"/>
        </w:rPr>
        <w:t>、自治区工业和信息化厅</w:t>
      </w:r>
      <w:r>
        <w:rPr>
          <w:rFonts w:hint="default" w:ascii="Times New Roman" w:hAnsi="Times New Roman" w:eastAsia="仿宋_GB2312" w:cs="Times New Roman"/>
          <w:bCs/>
          <w:sz w:val="32"/>
          <w:szCs w:val="32"/>
          <w:u w:val="none"/>
        </w:rPr>
        <w:t>负责解释。</w:t>
      </w:r>
    </w:p>
    <w:p w14:paraId="041EEF6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u w:val="none"/>
        </w:rPr>
      </w:pPr>
      <w:r>
        <w:rPr>
          <w:rFonts w:hint="default" w:ascii="Times New Roman" w:hAnsi="Times New Roman" w:eastAsia="黑体" w:cs="Times New Roman"/>
          <w:b w:val="0"/>
          <w:bCs w:val="0"/>
          <w:sz w:val="32"/>
          <w:szCs w:val="32"/>
          <w:u w:val="none"/>
        </w:rPr>
        <w:t>第二十</w:t>
      </w:r>
      <w:r>
        <w:rPr>
          <w:rFonts w:hint="eastAsia" w:ascii="Times New Roman" w:hAnsi="Times New Roman" w:eastAsia="黑体" w:cs="Times New Roman"/>
          <w:b w:val="0"/>
          <w:bCs w:val="0"/>
          <w:sz w:val="32"/>
          <w:szCs w:val="32"/>
          <w:u w:val="none"/>
          <w:lang w:val="en-US" w:eastAsia="zh-CN"/>
        </w:rPr>
        <w:t>一</w:t>
      </w:r>
      <w:r>
        <w:rPr>
          <w:rFonts w:hint="default" w:ascii="Times New Roman" w:hAnsi="Times New Roman" w:eastAsia="黑体" w:cs="Times New Roman"/>
          <w:b w:val="0"/>
          <w:bCs w:val="0"/>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各设区市可结合本地实际，制订相应的激励企业加大研发经费投入政策。</w:t>
      </w:r>
    </w:p>
    <w:p w14:paraId="0D87655C">
      <w:pPr>
        <w:keepNext w:val="0"/>
        <w:keepLines w:val="0"/>
        <w:pageBreakBefore w:val="0"/>
        <w:kinsoku/>
        <w:wordWrap/>
        <w:topLinePunct w:val="0"/>
        <w:autoSpaceDE/>
        <w:autoSpaceDN/>
        <w:bidi w:val="0"/>
        <w:adjustRightInd/>
        <w:snapToGrid/>
        <w:spacing w:line="560" w:lineRule="exact"/>
        <w:ind w:left="0" w:leftChars="0" w:firstLine="640" w:firstLineChars="200"/>
        <w:jc w:val="both"/>
        <w:textAlignment w:val="auto"/>
        <w:rPr>
          <w:spacing w:val="0"/>
          <w:sz w:val="32"/>
          <w:szCs w:val="32"/>
        </w:rPr>
      </w:pPr>
    </w:p>
    <w:sectPr>
      <w:footerReference r:id="rId4" w:type="first"/>
      <w:footerReference r:id="rId3"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锐正黑_GBK 中">
    <w:altName w:val="黑体"/>
    <w:panose1 w:val="02010600010101010101"/>
    <w:charset w:val="00"/>
    <w:family w:val="auto"/>
    <w:pitch w:val="default"/>
    <w:sig w:usb0="00000000" w:usb1="00000000"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wiss"/>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5E7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1E2B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jwut4BAAC+AwAADgAAAGRycy9lMm9Eb2MueG1srVPNjtMwEL4j8Q6W&#10;7zTZaoW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2PC63gEAAL4DAAAOAAAAAAAA&#10;AAEAIAAAAB4BAABkcnMvZTJvRG9jLnhtbFBLBQYAAAAABgAGAFkBAABuBQAAAAA=&#10;">
              <v:fill on="f" focussize="0,0"/>
              <v:stroke on="f"/>
              <v:imagedata o:title=""/>
              <o:lock v:ext="edit" aspectratio="f"/>
              <v:textbox inset="0mm,0mm,0mm,0mm" style="mso-fit-shape-to-text:t;">
                <w:txbxContent>
                  <w:p w14:paraId="6AF1E2B4">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225A">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9EE506">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219EE506">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方正仿宋_GBK" w:hAnsi="Times New Roman" w:eastAsia="方正仿宋_GBK"/>
        <w:color w:val="FFFFFF"/>
      </w:rPr>
      <mc:AlternateContent>
        <mc:Choice Requires="wpg">
          <w:drawing>
            <wp:anchor distT="0" distB="0" distL="114300" distR="114300" simplePos="0" relativeHeight="251659264" behindDoc="0" locked="0" layoutInCell="1" allowOverlap="1">
              <wp:simplePos x="0" y="0"/>
              <wp:positionH relativeFrom="column">
                <wp:posOffset>-241300</wp:posOffset>
              </wp:positionH>
              <wp:positionV relativeFrom="paragraph">
                <wp:posOffset>168275</wp:posOffset>
              </wp:positionV>
              <wp:extent cx="6120130" cy="53975"/>
              <wp:effectExtent l="0" t="4445" r="6350" b="33020"/>
              <wp:wrapNone/>
              <wp:docPr id="3" name="组合 1"/>
              <wp:cNvGraphicFramePr/>
              <a:graphic xmlns:a="http://schemas.openxmlformats.org/drawingml/2006/main">
                <a:graphicData uri="http://schemas.microsoft.com/office/word/2010/wordprocessingGroup">
                  <wpg:wgp>
                    <wpg:cNvGrpSpPr/>
                    <wpg:grpSpPr>
                      <a:xfrm rot="10800000">
                        <a:off x="0" y="0"/>
                        <a:ext cx="6120130" cy="53975"/>
                        <a:chOff x="1474" y="2576"/>
                        <a:chExt cx="8957" cy="85"/>
                      </a:xfrm>
                    </wpg:grpSpPr>
                    <wps:wsp>
                      <wps:cNvPr id="1" name="直线 2"/>
                      <wps:cNvSpPr/>
                      <wps:spPr>
                        <a:xfrm flipV="1">
                          <a:off x="1474" y="2576"/>
                          <a:ext cx="8957" cy="0"/>
                        </a:xfrm>
                        <a:prstGeom prst="line">
                          <a:avLst/>
                        </a:prstGeom>
                        <a:ln w="38100" cap="flat" cmpd="sng">
                          <a:solidFill>
                            <a:srgbClr val="FF0000"/>
                          </a:solidFill>
                          <a:prstDash val="solid"/>
                          <a:headEnd type="none" w="med" len="med"/>
                          <a:tailEnd type="none" w="med" len="med"/>
                        </a:ln>
                      </wps:spPr>
                      <wps:bodyPr upright="1"/>
                    </wps:wsp>
                    <wps:wsp>
                      <wps:cNvPr id="2" name="直线 3"/>
                      <wps:cNvSpPr/>
                      <wps:spPr>
                        <a:xfrm>
                          <a:off x="1474" y="2661"/>
                          <a:ext cx="8957"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19pt;margin-top:13.25pt;height:4.25pt;width:481.9pt;rotation:11796480f;z-index:251659264;mso-width-relative:page;mso-height-relative:page;" coordorigin="1474,2576" coordsize="8957,85" o:gfxdata="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1VONHNkAAAAJ&#10;AQAADwAAAAAAAAABACAAAAAiAAAAZHJzL2Rvd25yZXYueG1sUEsBAhQAFAAAAAgAh07iQOINNIGN&#10;AgAAJQcAAA4AAAAAAAAAAQAgAAAAKAEAAGRycy9lMm9Eb2MueG1sUEsFBgAAAAAGAAYAWQEAACcG&#10;AAAAAA==&#10;">
              <o:lock v:ext="edit" aspectratio="f"/>
              <v:line id="直线 2" o:spid="_x0000_s1026" o:spt="20" style="position:absolute;left:1474;top:2576;flip:y;height:0;width:8957;" filled="f" stroked="t" coordsize="21600,21600" o:gfxdata="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3Lt7sAAADa&#10;AAAADwAAAAAAAAABACAAAAAiAAAAZHJzL2Rvd25yZXYueG1sUEsBAhQAFAAAAAgAh07iQDMvBZ47&#10;AAAAOQAAABAAAAAAAAAAAQAgAAAACgEAAGRycy9zaGFwZXhtbC54bWxQSwUGAAAAAAYABgBbAQAA&#10;tAMAAAAA&#10;">
                <v:fill on="f" focussize="0,0"/>
                <v:stroke weight="3pt" color="#FF0000" joinstyle="round"/>
                <v:imagedata o:title=""/>
                <o:lock v:ext="edit" aspectratio="f"/>
              </v:line>
              <v:line id="直线 3" o:spid="_x0000_s1026" o:spt="20" style="position:absolute;left:1474;top:2661;height:0;width:8957;"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B795B"/>
    <w:rsid w:val="1B4FA592"/>
    <w:rsid w:val="3DD33AB2"/>
    <w:rsid w:val="3EAB0813"/>
    <w:rsid w:val="3FD9605D"/>
    <w:rsid w:val="57D75BE3"/>
    <w:rsid w:val="5A7AD7C4"/>
    <w:rsid w:val="5FFD20E9"/>
    <w:rsid w:val="632DD31E"/>
    <w:rsid w:val="6C7E0B50"/>
    <w:rsid w:val="6FDB84AE"/>
    <w:rsid w:val="6FEDCD9D"/>
    <w:rsid w:val="735F3A1F"/>
    <w:rsid w:val="77FE4300"/>
    <w:rsid w:val="77FFE4C8"/>
    <w:rsid w:val="7AF867E4"/>
    <w:rsid w:val="7BD92CE2"/>
    <w:rsid w:val="7BFCCD1B"/>
    <w:rsid w:val="7DBEAF29"/>
    <w:rsid w:val="7EBF442E"/>
    <w:rsid w:val="7EF58A7F"/>
    <w:rsid w:val="7EFFA4B0"/>
    <w:rsid w:val="7F5FD8FC"/>
    <w:rsid w:val="7F9B8438"/>
    <w:rsid w:val="7FBFDC2A"/>
    <w:rsid w:val="7FBFEF05"/>
    <w:rsid w:val="7FFB4E38"/>
    <w:rsid w:val="7FFE5BE4"/>
    <w:rsid w:val="7FFF3C35"/>
    <w:rsid w:val="96FB4828"/>
    <w:rsid w:val="98F7C377"/>
    <w:rsid w:val="9DD9C902"/>
    <w:rsid w:val="9FD81EEA"/>
    <w:rsid w:val="A4131D02"/>
    <w:rsid w:val="A77F20BD"/>
    <w:rsid w:val="A7F73197"/>
    <w:rsid w:val="AD2EAEA4"/>
    <w:rsid w:val="AE7D7473"/>
    <w:rsid w:val="BBFD72F8"/>
    <w:rsid w:val="BD9BC40B"/>
    <w:rsid w:val="CB29D863"/>
    <w:rsid w:val="D63B39AF"/>
    <w:rsid w:val="D69C9C35"/>
    <w:rsid w:val="DAF79D17"/>
    <w:rsid w:val="DE7ADA4E"/>
    <w:rsid w:val="DEDE28BD"/>
    <w:rsid w:val="DF3FEDC1"/>
    <w:rsid w:val="DFC7D6F2"/>
    <w:rsid w:val="E97DFC22"/>
    <w:rsid w:val="EDEBF227"/>
    <w:rsid w:val="EE6D1793"/>
    <w:rsid w:val="EEFFF357"/>
    <w:rsid w:val="F2F9702D"/>
    <w:rsid w:val="F36624BB"/>
    <w:rsid w:val="F6FBB824"/>
    <w:rsid w:val="F76F3E16"/>
    <w:rsid w:val="F7ED2AA8"/>
    <w:rsid w:val="FA9F21A5"/>
    <w:rsid w:val="FAE99AE5"/>
    <w:rsid w:val="FB23BB0F"/>
    <w:rsid w:val="FB91D0D7"/>
    <w:rsid w:val="FCDDCD80"/>
    <w:rsid w:val="FDB71F7E"/>
    <w:rsid w:val="FDBBA52C"/>
    <w:rsid w:val="FFB90AF1"/>
    <w:rsid w:val="FFCCEFF8"/>
    <w:rsid w:val="FFDDC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样式1"/>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 w:type="paragraph" w:styleId="4">
    <w:name w:val="index 5"/>
    <w:basedOn w:val="1"/>
    <w:next w:val="1"/>
    <w:qFormat/>
    <w:uiPriority w:val="0"/>
    <w:pPr>
      <w:widowControl w:val="0"/>
      <w:spacing w:line="560" w:lineRule="exact"/>
      <w:ind w:left="0" w:firstLine="200" w:firstLineChars="200"/>
      <w:jc w:val="both"/>
    </w:pPr>
    <w:rPr>
      <w:rFonts w:ascii="方正锐正黑_GBK 中" w:eastAsia="方正锐正黑_GBK 中" w:cs="Times New Roman"/>
      <w:kern w:val="2"/>
      <w:sz w:val="32"/>
      <w:szCs w:val="24"/>
      <w:lang w:val="en-US" w:eastAsia="zh-CN" w:bidi="ar-SA"/>
    </w:rPr>
  </w:style>
  <w:style w:type="paragraph" w:styleId="5">
    <w:name w:val="Body Text"/>
    <w:basedOn w:val="1"/>
    <w:qFormat/>
    <w:uiPriority w:val="0"/>
    <w:pPr>
      <w:spacing w:after="120" w:afterLines="0" w:afterAutospacing="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15">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868</Words>
  <Characters>911</Characters>
  <Lines>0</Lines>
  <Paragraphs>0</Paragraphs>
  <TotalTime>3.33333333333333</TotalTime>
  <ScaleCrop>false</ScaleCrop>
  <LinksUpToDate>false</LinksUpToDate>
  <CharactersWithSpaces>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墨迹夏子</cp:lastModifiedBy>
  <cp:lastPrinted>2024-08-11T19:24:13Z</cp:lastPrinted>
  <dcterms:modified xsi:type="dcterms:W3CDTF">2025-03-04T10:44:23Z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393C1E41864945C2A5A5B7FC3D8B72BE_13</vt:lpwstr>
  </property>
</Properties>
</file>