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2E4BF">
      <w:pPr>
        <w:pStyle w:val="15"/>
        <w:keepNext w:val="0"/>
        <w:keepLines w:val="0"/>
        <w:pageBreakBefore w:val="0"/>
        <w:widowControl w:val="0"/>
        <w:shd w:val="clear" w:color="auto" w:fill="auto"/>
        <w:kinsoku/>
        <w:wordWrap/>
        <w:overflowPunct/>
        <w:topLinePunct w:val="0"/>
        <w:autoSpaceDE/>
        <w:autoSpaceDN/>
        <w:bidi w:val="0"/>
        <w:snapToGrid/>
        <w:spacing w:line="540"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Times New Roman" w:hAnsi="Times New Roman" w:eastAsia="黑体" w:cs="Times New Roman"/>
          <w:color w:val="auto"/>
          <w:sz w:val="32"/>
          <w:szCs w:val="32"/>
          <w:highlight w:val="none"/>
          <w:lang w:val="en-US" w:eastAsia="zh-CN"/>
        </w:rPr>
        <w:t>3</w:t>
      </w:r>
      <w:bookmarkStart w:id="0" w:name="_GoBack"/>
      <w:bookmarkEnd w:id="0"/>
    </w:p>
    <w:p w14:paraId="6DADD940">
      <w:pPr>
        <w:pStyle w:val="2"/>
        <w:keepNext w:val="0"/>
        <w:keepLines w:val="0"/>
        <w:pageBreakBefore w:val="0"/>
        <w:widowControl w:val="0"/>
        <w:shd w:val="clear" w:color="auto" w:fill="auto"/>
        <w:kinsoku/>
        <w:wordWrap/>
        <w:overflowPunct/>
        <w:topLinePunct w:val="0"/>
        <w:autoSpaceDE/>
        <w:autoSpaceDN/>
        <w:bidi w:val="0"/>
        <w:snapToGrid/>
        <w:spacing w:line="540" w:lineRule="exact"/>
        <w:textAlignment w:val="auto"/>
        <w:rPr>
          <w:rFonts w:hint="eastAsia"/>
          <w:color w:val="auto"/>
          <w:highlight w:val="none"/>
          <w:lang w:val="en-US" w:eastAsia="zh-CN"/>
        </w:rPr>
      </w:pPr>
    </w:p>
    <w:p w14:paraId="6D96A5E2">
      <w:pPr>
        <w:keepNext w:val="0"/>
        <w:keepLines w:val="0"/>
        <w:pageBreakBefore w:val="0"/>
        <w:widowControl w:val="0"/>
        <w:shd w:val="clear" w:color="auto" w:fill="auto"/>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广西科技</w:t>
      </w:r>
      <w:r>
        <w:rPr>
          <w:rFonts w:hint="eastAsia" w:ascii="Times New Roman" w:hAnsi="Times New Roman" w:eastAsia="方正小标宋简体" w:cs="Times New Roman"/>
          <w:color w:val="auto"/>
          <w:sz w:val="44"/>
          <w:szCs w:val="44"/>
          <w:highlight w:val="none"/>
          <w:lang w:val="en-US" w:eastAsia="zh-CN"/>
        </w:rPr>
        <w:t>计划</w:t>
      </w:r>
      <w:r>
        <w:rPr>
          <w:rFonts w:hint="default" w:ascii="Times New Roman" w:hAnsi="Times New Roman" w:eastAsia="方正小标宋简体" w:cs="Times New Roman"/>
          <w:color w:val="auto"/>
          <w:sz w:val="44"/>
          <w:szCs w:val="44"/>
          <w:highlight w:val="none"/>
          <w:lang w:eastAsia="zh-CN"/>
        </w:rPr>
        <w:t>项目经费</w:t>
      </w:r>
      <w:r>
        <w:rPr>
          <w:rFonts w:hint="default" w:ascii="Times New Roman" w:hAnsi="Times New Roman" w:eastAsia="方正小标宋简体" w:cs="Times New Roman"/>
          <w:color w:val="auto"/>
          <w:sz w:val="44"/>
          <w:szCs w:val="44"/>
          <w:highlight w:val="none"/>
        </w:rPr>
        <w:t>管理办法</w:t>
      </w:r>
    </w:p>
    <w:p w14:paraId="04E9CC66">
      <w:pPr>
        <w:keepNext w:val="0"/>
        <w:keepLines w:val="0"/>
        <w:pageBreakBefore w:val="0"/>
        <w:widowControl w:val="0"/>
        <w:shd w:val="clear" w:color="auto" w:fill="auto"/>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征求意见稿</w:t>
      </w:r>
      <w:r>
        <w:rPr>
          <w:rFonts w:hint="eastAsia" w:ascii="楷体_GB2312" w:hAnsi="楷体_GB2312" w:eastAsia="楷体_GB2312" w:cs="楷体_GB2312"/>
          <w:color w:val="auto"/>
          <w:sz w:val="32"/>
          <w:szCs w:val="32"/>
          <w:highlight w:val="none"/>
          <w:lang w:eastAsia="zh-CN"/>
        </w:rPr>
        <w:t>）</w:t>
      </w:r>
    </w:p>
    <w:p w14:paraId="7EE24CBA">
      <w:pPr>
        <w:keepNext w:val="0"/>
        <w:keepLines w:val="0"/>
        <w:pageBreakBefore w:val="0"/>
        <w:widowControl w:val="0"/>
        <w:shd w:val="clear" w:color="auto" w:fill="auto"/>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auto"/>
          <w:sz w:val="32"/>
          <w:szCs w:val="32"/>
          <w:highlight w:val="none"/>
        </w:rPr>
      </w:pPr>
    </w:p>
    <w:p w14:paraId="0B62008B">
      <w:pPr>
        <w:keepNext w:val="0"/>
        <w:keepLines w:val="0"/>
        <w:pageBreakBefore w:val="0"/>
        <w:widowControl w:val="0"/>
        <w:shd w:val="clear" w:color="auto" w:fill="auto"/>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第一章</w:t>
      </w:r>
      <w:r>
        <w:rPr>
          <w:rFonts w:hint="default" w:ascii="Times New Roman" w:hAnsi="Times New Roman" w:eastAsia="黑体" w:cs="Times New Roman"/>
          <w:color w:val="auto"/>
          <w:sz w:val="32"/>
          <w:szCs w:val="32"/>
          <w:highlight w:val="none"/>
          <w:lang w:val="en"/>
        </w:rPr>
        <w:t xml:space="preserve">  </w:t>
      </w:r>
      <w:r>
        <w:rPr>
          <w:rFonts w:hint="default" w:ascii="Times New Roman" w:hAnsi="Times New Roman" w:eastAsia="黑体" w:cs="Times New Roman"/>
          <w:color w:val="auto"/>
          <w:sz w:val="32"/>
          <w:szCs w:val="32"/>
          <w:highlight w:val="none"/>
        </w:rPr>
        <w:t>总</w:t>
      </w:r>
      <w:r>
        <w:rPr>
          <w:rFonts w:hint="default" w:ascii="Times New Roman" w:hAnsi="Times New Roman" w:eastAsia="黑体" w:cs="Times New Roman"/>
          <w:color w:val="auto"/>
          <w:sz w:val="32"/>
          <w:szCs w:val="32"/>
          <w:highlight w:val="none"/>
          <w:lang w:val="en"/>
        </w:rPr>
        <w:t xml:space="preserve">  </w:t>
      </w:r>
      <w:r>
        <w:rPr>
          <w:rFonts w:hint="default" w:ascii="Times New Roman" w:hAnsi="Times New Roman" w:eastAsia="黑体" w:cs="Times New Roman"/>
          <w:color w:val="auto"/>
          <w:sz w:val="32"/>
          <w:szCs w:val="32"/>
          <w:highlight w:val="none"/>
        </w:rPr>
        <w:t>则</w:t>
      </w:r>
    </w:p>
    <w:p w14:paraId="229D950D">
      <w:pPr>
        <w:pStyle w:val="2"/>
        <w:keepNext w:val="0"/>
        <w:keepLines w:val="0"/>
        <w:pageBreakBefore w:val="0"/>
        <w:widowControl w:val="0"/>
        <w:kinsoku/>
        <w:wordWrap/>
        <w:overflowPunct/>
        <w:topLinePunct w:val="0"/>
        <w:bidi w:val="0"/>
        <w:snapToGrid/>
        <w:spacing w:line="540" w:lineRule="exact"/>
        <w:textAlignment w:val="auto"/>
        <w:rPr>
          <w:rFonts w:hint="default"/>
        </w:rPr>
      </w:pPr>
    </w:p>
    <w:p w14:paraId="0EDD1B45">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第一条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为规范</w:t>
      </w:r>
      <w:r>
        <w:rPr>
          <w:rFonts w:hint="default" w:ascii="Times New Roman" w:hAnsi="Times New Roman" w:eastAsia="仿宋_GB2312" w:cs="Times New Roman"/>
          <w:color w:val="auto"/>
          <w:sz w:val="32"/>
          <w:szCs w:val="32"/>
          <w:highlight w:val="none"/>
          <w:lang w:val="en-US" w:eastAsia="zh-CN"/>
        </w:rPr>
        <w:t>自治区科技计划项目</w:t>
      </w:r>
      <w:r>
        <w:rPr>
          <w:rFonts w:hint="default" w:ascii="Times New Roman" w:hAnsi="Times New Roman" w:eastAsia="仿宋_GB2312" w:cs="Times New Roman"/>
          <w:color w:val="auto"/>
          <w:sz w:val="32"/>
          <w:szCs w:val="32"/>
          <w:highlight w:val="none"/>
        </w:rPr>
        <w:t>经费管理和使用，提高经费使用效益，根据国家、自治区有关财经</w:t>
      </w:r>
      <w:r>
        <w:rPr>
          <w:rFonts w:hint="default" w:ascii="Times New Roman" w:hAnsi="Times New Roman" w:eastAsia="仿宋_GB2312" w:cs="Times New Roman"/>
          <w:color w:val="auto"/>
          <w:sz w:val="32"/>
          <w:szCs w:val="32"/>
          <w:highlight w:val="none"/>
          <w:lang w:val="en-US" w:eastAsia="zh-CN"/>
        </w:rPr>
        <w:t>法律制度</w:t>
      </w:r>
      <w:r>
        <w:rPr>
          <w:rFonts w:hint="default" w:ascii="Times New Roman" w:hAnsi="Times New Roman" w:eastAsia="仿宋_GB2312" w:cs="Times New Roman"/>
          <w:color w:val="auto"/>
          <w:sz w:val="32"/>
          <w:szCs w:val="32"/>
          <w:highlight w:val="none"/>
        </w:rPr>
        <w:t>和</w:t>
      </w:r>
      <w:r>
        <w:rPr>
          <w:rFonts w:hint="default" w:ascii="Times New Roman" w:hAnsi="Times New Roman" w:eastAsia="仿宋_GB2312" w:cs="Times New Roman"/>
          <w:color w:val="auto"/>
          <w:sz w:val="32"/>
          <w:szCs w:val="32"/>
          <w:highlight w:val="none"/>
          <w:lang w:val="en-US" w:eastAsia="zh-CN"/>
        </w:rPr>
        <w:t>政策要求</w:t>
      </w:r>
      <w:r>
        <w:rPr>
          <w:rFonts w:hint="default" w:ascii="Times New Roman" w:hAnsi="Times New Roman" w:eastAsia="仿宋_GB2312" w:cs="Times New Roman"/>
          <w:color w:val="auto"/>
          <w:sz w:val="32"/>
          <w:szCs w:val="32"/>
          <w:highlight w:val="none"/>
        </w:rPr>
        <w:t>，结合</w:t>
      </w:r>
      <w:r>
        <w:rPr>
          <w:rFonts w:hint="default" w:ascii="Times New Roman" w:hAnsi="Times New Roman" w:eastAsia="仿宋_GB2312" w:cs="Times New Roman"/>
          <w:color w:val="auto"/>
          <w:sz w:val="32"/>
          <w:szCs w:val="32"/>
          <w:highlight w:val="none"/>
          <w:lang w:val="en-US" w:eastAsia="zh-CN"/>
        </w:rPr>
        <w:t>自治区科技计划项目</w:t>
      </w:r>
      <w:r>
        <w:rPr>
          <w:rFonts w:hint="default" w:ascii="Times New Roman" w:hAnsi="Times New Roman" w:eastAsia="仿宋_GB2312" w:cs="Times New Roman"/>
          <w:color w:val="auto"/>
          <w:sz w:val="32"/>
          <w:szCs w:val="32"/>
          <w:highlight w:val="none"/>
        </w:rPr>
        <w:t>管理</w:t>
      </w:r>
      <w:r>
        <w:rPr>
          <w:rFonts w:hint="default" w:ascii="Times New Roman" w:hAnsi="Times New Roman" w:eastAsia="仿宋_GB2312" w:cs="Times New Roman"/>
          <w:color w:val="auto"/>
          <w:sz w:val="32"/>
          <w:szCs w:val="32"/>
          <w:highlight w:val="none"/>
          <w:lang w:val="en-US" w:eastAsia="zh-CN"/>
        </w:rPr>
        <w:t>工作实际</w:t>
      </w:r>
      <w:r>
        <w:rPr>
          <w:rFonts w:hint="default" w:ascii="Times New Roman" w:hAnsi="Times New Roman" w:eastAsia="仿宋_GB2312" w:cs="Times New Roman"/>
          <w:color w:val="auto"/>
          <w:sz w:val="32"/>
          <w:szCs w:val="32"/>
          <w:highlight w:val="none"/>
        </w:rPr>
        <w:t>，制定本办法。</w:t>
      </w:r>
    </w:p>
    <w:p w14:paraId="679F3E1D">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第二条</w:t>
      </w:r>
      <w:r>
        <w:rPr>
          <w:rFonts w:hint="default" w:ascii="Times New Roman" w:hAnsi="Times New Roman" w:eastAsia="仿宋_GB2312" w:cs="Times New Roman"/>
          <w:color w:val="auto"/>
          <w:sz w:val="32"/>
          <w:szCs w:val="32"/>
          <w:highlight w:val="none"/>
          <w:lang w:val="en"/>
        </w:rPr>
        <w:t xml:space="preserve">  </w:t>
      </w:r>
      <w:r>
        <w:rPr>
          <w:rFonts w:hint="eastAsia" w:ascii="Times New Roman" w:hAnsi="Times New Roman" w:eastAsia="仿宋_GB2312" w:cs="Times New Roman"/>
          <w:color w:val="auto"/>
          <w:sz w:val="32"/>
          <w:szCs w:val="32"/>
          <w:highlight w:val="none"/>
          <w:lang w:val="en-US" w:eastAsia="zh-CN"/>
        </w:rPr>
        <w:t>广西</w:t>
      </w:r>
      <w:r>
        <w:rPr>
          <w:rFonts w:hint="default" w:ascii="Times New Roman" w:hAnsi="Times New Roman" w:eastAsia="仿宋_GB2312" w:cs="Times New Roman"/>
          <w:color w:val="auto"/>
          <w:sz w:val="32"/>
          <w:szCs w:val="32"/>
          <w:highlight w:val="none"/>
          <w:lang w:val="en-US" w:eastAsia="zh-CN"/>
        </w:rPr>
        <w:t>科技计划项目经费（以下简称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项目经费</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）是指自治区本</w:t>
      </w:r>
      <w:r>
        <w:rPr>
          <w:rFonts w:hint="default" w:ascii="Times New Roman" w:hAnsi="Times New Roman" w:eastAsia="仿宋_GB2312" w:cs="Times New Roman"/>
          <w:color w:val="auto"/>
          <w:sz w:val="32"/>
          <w:szCs w:val="32"/>
          <w:highlight w:val="none"/>
        </w:rPr>
        <w:t>级财政预算安排</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通过自治区</w:t>
      </w:r>
      <w:r>
        <w:rPr>
          <w:rFonts w:hint="default" w:ascii="Times New Roman" w:hAnsi="Times New Roman" w:eastAsia="仿宋_GB2312" w:cs="Times New Roman"/>
          <w:color w:val="auto"/>
          <w:sz w:val="32"/>
          <w:szCs w:val="32"/>
          <w:highlight w:val="none"/>
        </w:rPr>
        <w:t>科技计划</w:t>
      </w:r>
      <w:r>
        <w:rPr>
          <w:rFonts w:hint="default" w:ascii="Times New Roman" w:hAnsi="Times New Roman" w:eastAsia="仿宋_GB2312" w:cs="Times New Roman"/>
          <w:color w:val="auto"/>
          <w:sz w:val="32"/>
          <w:szCs w:val="32"/>
          <w:highlight w:val="none"/>
          <w:lang w:val="en-US" w:eastAsia="zh-CN"/>
        </w:rPr>
        <w:t>用于</w:t>
      </w:r>
      <w:r>
        <w:rPr>
          <w:rFonts w:hint="default" w:ascii="Times New Roman" w:hAnsi="Times New Roman" w:eastAsia="仿宋_GB2312" w:cs="Times New Roman"/>
          <w:color w:val="auto"/>
          <w:sz w:val="32"/>
          <w:szCs w:val="32"/>
          <w:highlight w:val="none"/>
        </w:rPr>
        <w:t>支持</w:t>
      </w:r>
      <w:r>
        <w:rPr>
          <w:rFonts w:hint="default" w:ascii="Times New Roman" w:hAnsi="Times New Roman" w:eastAsia="仿宋_GB2312" w:cs="Times New Roman"/>
          <w:color w:val="auto"/>
          <w:sz w:val="32"/>
          <w:szCs w:val="32"/>
          <w:highlight w:val="none"/>
          <w:lang w:val="en-US" w:eastAsia="zh-CN"/>
        </w:rPr>
        <w:t>在本自治区</w:t>
      </w:r>
      <w:r>
        <w:rPr>
          <w:rFonts w:hint="default" w:ascii="Times New Roman" w:hAnsi="Times New Roman" w:eastAsia="仿宋_GB2312" w:cs="Times New Roman"/>
          <w:color w:val="auto"/>
          <w:sz w:val="32"/>
          <w:szCs w:val="32"/>
          <w:highlight w:val="none"/>
        </w:rPr>
        <w:t>开展基础研究、关键核心技术攻关、</w:t>
      </w:r>
      <w:r>
        <w:rPr>
          <w:rFonts w:hint="default" w:ascii="Times New Roman" w:hAnsi="Times New Roman" w:eastAsia="仿宋_GB2312" w:cs="Times New Roman"/>
          <w:color w:val="auto"/>
          <w:sz w:val="32"/>
          <w:szCs w:val="32"/>
          <w:highlight w:val="none"/>
          <w:lang w:val="en-US" w:eastAsia="zh-CN"/>
        </w:rPr>
        <w:t>科技成果转化、科技</w:t>
      </w:r>
      <w:r>
        <w:rPr>
          <w:rFonts w:hint="default" w:ascii="Times New Roman" w:hAnsi="Times New Roman" w:eastAsia="仿宋_GB2312" w:cs="Times New Roman"/>
          <w:color w:val="auto"/>
          <w:sz w:val="32"/>
          <w:szCs w:val="32"/>
          <w:highlight w:val="none"/>
        </w:rPr>
        <w:t>创新平台建设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区域创新能力提升、科技交流与合作等方面</w:t>
      </w:r>
      <w:r>
        <w:rPr>
          <w:rFonts w:hint="default" w:ascii="Times New Roman" w:hAnsi="Times New Roman" w:eastAsia="仿宋_GB2312" w:cs="Times New Roman"/>
          <w:color w:val="auto"/>
          <w:sz w:val="32"/>
          <w:szCs w:val="32"/>
          <w:highlight w:val="none"/>
        </w:rPr>
        <w:t>的专项</w:t>
      </w:r>
      <w:r>
        <w:rPr>
          <w:rFonts w:hint="eastAsia" w:ascii="Times New Roman" w:hAnsi="Times New Roman" w:eastAsia="仿宋_GB2312" w:cs="Times New Roman"/>
          <w:color w:val="auto"/>
          <w:sz w:val="32"/>
          <w:szCs w:val="32"/>
          <w:highlight w:val="none"/>
          <w:lang w:val="en-US" w:eastAsia="zh-CN"/>
        </w:rPr>
        <w:t>资金</w:t>
      </w:r>
      <w:r>
        <w:rPr>
          <w:rFonts w:hint="default" w:ascii="Times New Roman" w:hAnsi="Times New Roman" w:eastAsia="仿宋_GB2312" w:cs="Times New Roman"/>
          <w:color w:val="auto"/>
          <w:sz w:val="32"/>
          <w:szCs w:val="32"/>
          <w:highlight w:val="none"/>
        </w:rPr>
        <w:t>。</w:t>
      </w:r>
    </w:p>
    <w:p w14:paraId="4C5C5585">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第三条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lang w:eastAsia="zh-CN"/>
        </w:rPr>
        <w:t>项目经费按照</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突出重点、分类支持、科学管理、注重绩效</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的原则管理和使用</w:t>
      </w:r>
      <w:r>
        <w:rPr>
          <w:rFonts w:hint="default" w:ascii="Times New Roman" w:hAnsi="Times New Roman" w:eastAsia="仿宋_GB2312" w:cs="Times New Roman"/>
          <w:color w:val="auto"/>
          <w:sz w:val="32"/>
          <w:szCs w:val="32"/>
          <w:highlight w:val="none"/>
        </w:rPr>
        <w:t>。</w:t>
      </w:r>
    </w:p>
    <w:p w14:paraId="2A74E95B">
      <w:pPr>
        <w:keepNext w:val="0"/>
        <w:keepLines w:val="0"/>
        <w:pageBreakBefore w:val="0"/>
        <w:widowControl w:val="0"/>
        <w:shd w:val="clear" w:color="auto" w:fill="auto"/>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color w:val="auto"/>
          <w:sz w:val="32"/>
          <w:szCs w:val="32"/>
          <w:highlight w:val="none"/>
        </w:rPr>
      </w:pPr>
    </w:p>
    <w:p w14:paraId="1E064309">
      <w:pPr>
        <w:keepNext w:val="0"/>
        <w:keepLines w:val="0"/>
        <w:pageBreakBefore w:val="0"/>
        <w:widowControl w:val="0"/>
        <w:shd w:val="clear" w:color="auto" w:fill="auto"/>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第二章</w:t>
      </w:r>
      <w:r>
        <w:rPr>
          <w:rFonts w:hint="default" w:ascii="Times New Roman" w:hAnsi="Times New Roman" w:eastAsia="黑体" w:cs="Times New Roman"/>
          <w:color w:val="auto"/>
          <w:sz w:val="32"/>
          <w:szCs w:val="32"/>
          <w:highlight w:val="none"/>
          <w:lang w:val="en-US" w:eastAsia="zh-CN"/>
        </w:rPr>
        <w:t xml:space="preserve">  </w:t>
      </w:r>
      <w:r>
        <w:rPr>
          <w:rFonts w:hint="eastAsia" w:ascii="Times New Roman" w:hAnsi="Times New Roman" w:eastAsia="黑体" w:cs="Times New Roman"/>
          <w:color w:val="auto"/>
          <w:sz w:val="32"/>
          <w:szCs w:val="32"/>
          <w:highlight w:val="none"/>
          <w:lang w:val="en-US" w:eastAsia="zh-CN"/>
        </w:rPr>
        <w:t>机构</w:t>
      </w:r>
      <w:r>
        <w:rPr>
          <w:rFonts w:hint="default" w:ascii="Times New Roman" w:hAnsi="Times New Roman" w:eastAsia="黑体" w:cs="Times New Roman"/>
          <w:color w:val="auto"/>
          <w:sz w:val="32"/>
          <w:szCs w:val="32"/>
          <w:highlight w:val="none"/>
          <w:lang w:eastAsia="zh-CN"/>
        </w:rPr>
        <w:t>职责</w:t>
      </w:r>
    </w:p>
    <w:p w14:paraId="304E3370">
      <w:pPr>
        <w:pStyle w:val="2"/>
        <w:keepNext w:val="0"/>
        <w:keepLines w:val="0"/>
        <w:pageBreakBefore w:val="0"/>
        <w:widowControl w:val="0"/>
        <w:kinsoku/>
        <w:wordWrap/>
        <w:overflowPunct/>
        <w:topLinePunct w:val="0"/>
        <w:bidi w:val="0"/>
        <w:snapToGrid/>
        <w:spacing w:line="540" w:lineRule="exact"/>
        <w:textAlignment w:val="auto"/>
        <w:rPr>
          <w:rFonts w:hint="default"/>
          <w:lang w:eastAsia="zh-CN"/>
        </w:rPr>
      </w:pPr>
    </w:p>
    <w:p w14:paraId="675DF1D6">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第四条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rPr>
        <w:t>财政厅会同</w:t>
      </w:r>
      <w:r>
        <w:rPr>
          <w:rFonts w:hint="default"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rPr>
        <w:t>科技厅制定</w:t>
      </w:r>
      <w:r>
        <w:rPr>
          <w:rFonts w:hint="default" w:ascii="Times New Roman" w:hAnsi="Times New Roman" w:eastAsia="仿宋_GB2312" w:cs="Times New Roman"/>
          <w:color w:val="auto"/>
          <w:sz w:val="32"/>
          <w:szCs w:val="32"/>
          <w:highlight w:val="none"/>
          <w:lang w:val="en-US" w:eastAsia="zh-CN"/>
        </w:rPr>
        <w:t>项目经费</w:t>
      </w:r>
      <w:r>
        <w:rPr>
          <w:rFonts w:hint="default" w:ascii="Times New Roman" w:hAnsi="Times New Roman" w:eastAsia="仿宋_GB2312" w:cs="Times New Roman"/>
          <w:color w:val="auto"/>
          <w:sz w:val="32"/>
          <w:szCs w:val="32"/>
          <w:highlight w:val="none"/>
        </w:rPr>
        <w:t>管理办法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负责</w:t>
      </w:r>
      <w:r>
        <w:rPr>
          <w:rFonts w:hint="default" w:ascii="Times New Roman" w:hAnsi="Times New Roman" w:eastAsia="仿宋_GB2312" w:cs="Times New Roman"/>
          <w:color w:val="auto"/>
          <w:sz w:val="32"/>
          <w:szCs w:val="32"/>
          <w:highlight w:val="none"/>
          <w:lang w:eastAsia="zh-CN"/>
        </w:rPr>
        <w:t>项目经费</w:t>
      </w:r>
      <w:r>
        <w:rPr>
          <w:rFonts w:hint="default" w:ascii="Times New Roman" w:hAnsi="Times New Roman" w:eastAsia="仿宋_GB2312" w:cs="Times New Roman"/>
          <w:color w:val="auto"/>
          <w:sz w:val="32"/>
          <w:szCs w:val="32"/>
          <w:highlight w:val="none"/>
        </w:rPr>
        <w:t>预算管理，及时审核批复用款计划，进行</w:t>
      </w:r>
      <w:r>
        <w:rPr>
          <w:rFonts w:hint="default" w:ascii="Times New Roman" w:hAnsi="Times New Roman" w:eastAsia="仿宋_GB2312" w:cs="Times New Roman"/>
          <w:color w:val="auto"/>
          <w:sz w:val="32"/>
          <w:szCs w:val="32"/>
          <w:highlight w:val="none"/>
          <w:lang w:val="en-US" w:eastAsia="zh-CN"/>
        </w:rPr>
        <w:t>项目经费</w:t>
      </w:r>
      <w:r>
        <w:rPr>
          <w:rFonts w:hint="default" w:ascii="Times New Roman" w:hAnsi="Times New Roman" w:eastAsia="仿宋_GB2312" w:cs="Times New Roman"/>
          <w:color w:val="auto"/>
          <w:sz w:val="32"/>
          <w:szCs w:val="32"/>
          <w:highlight w:val="none"/>
        </w:rPr>
        <w:t>监管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配合科技厅开展</w:t>
      </w:r>
      <w:r>
        <w:rPr>
          <w:rFonts w:hint="default" w:ascii="Times New Roman" w:hAnsi="Times New Roman" w:eastAsia="仿宋_GB2312" w:cs="Times New Roman"/>
          <w:color w:val="auto"/>
          <w:sz w:val="32"/>
          <w:szCs w:val="32"/>
          <w:highlight w:val="none"/>
          <w:lang w:val="en-US" w:eastAsia="zh-CN"/>
        </w:rPr>
        <w:t>全过程预算</w:t>
      </w:r>
      <w:r>
        <w:rPr>
          <w:rFonts w:hint="default" w:ascii="Times New Roman" w:hAnsi="Times New Roman" w:eastAsia="仿宋_GB2312" w:cs="Times New Roman"/>
          <w:color w:val="auto"/>
          <w:sz w:val="32"/>
          <w:szCs w:val="32"/>
          <w:highlight w:val="none"/>
        </w:rPr>
        <w:t>绩效</w:t>
      </w:r>
      <w:r>
        <w:rPr>
          <w:rFonts w:hint="default" w:ascii="Times New Roman" w:hAnsi="Times New Roman" w:eastAsia="仿宋_GB2312" w:cs="Times New Roman"/>
          <w:color w:val="auto"/>
          <w:sz w:val="32"/>
          <w:szCs w:val="32"/>
          <w:highlight w:val="none"/>
          <w:lang w:val="en-US" w:eastAsia="zh-CN"/>
        </w:rPr>
        <w:t>管理和监督检查</w:t>
      </w:r>
      <w:r>
        <w:rPr>
          <w:rFonts w:hint="default" w:ascii="Times New Roman" w:hAnsi="Times New Roman" w:eastAsia="仿宋_GB2312" w:cs="Times New Roman"/>
          <w:color w:val="auto"/>
          <w:sz w:val="32"/>
          <w:szCs w:val="32"/>
          <w:highlight w:val="none"/>
        </w:rPr>
        <w:t>等。</w:t>
      </w:r>
    </w:p>
    <w:p w14:paraId="1590DE52">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w:t>
      </w:r>
      <w:r>
        <w:rPr>
          <w:rFonts w:hint="default" w:ascii="Times New Roman" w:hAnsi="Times New Roman" w:eastAsia="仿宋_GB2312" w:cs="Times New Roman"/>
          <w:b/>
          <w:bCs/>
          <w:color w:val="auto"/>
          <w:sz w:val="32"/>
          <w:szCs w:val="32"/>
          <w:highlight w:val="none"/>
          <w:lang w:eastAsia="zh-CN"/>
        </w:rPr>
        <w:t>五</w:t>
      </w:r>
      <w:r>
        <w:rPr>
          <w:rFonts w:hint="default" w:ascii="Times New Roman" w:hAnsi="Times New Roman" w:eastAsia="仿宋_GB2312" w:cs="Times New Roman"/>
          <w:b/>
          <w:bCs/>
          <w:color w:val="auto"/>
          <w:sz w:val="32"/>
          <w:szCs w:val="32"/>
          <w:highlight w:val="none"/>
          <w:lang w:val="en-US" w:eastAsia="zh-CN"/>
        </w:rPr>
        <w:t>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rPr>
        <w:t>科技厅</w:t>
      </w:r>
      <w:r>
        <w:rPr>
          <w:rFonts w:hint="default" w:ascii="Times New Roman" w:hAnsi="Times New Roman" w:eastAsia="仿宋_GB2312" w:cs="Times New Roman"/>
          <w:color w:val="auto"/>
          <w:sz w:val="32"/>
          <w:szCs w:val="32"/>
          <w:highlight w:val="none"/>
          <w:lang w:val="en-US" w:eastAsia="zh-CN"/>
        </w:rPr>
        <w:t>参与制定项目经费管理办法，</w:t>
      </w:r>
      <w:r>
        <w:rPr>
          <w:rFonts w:hint="default" w:ascii="Times New Roman" w:hAnsi="Times New Roman" w:eastAsia="仿宋_GB2312" w:cs="Times New Roman"/>
          <w:color w:val="auto"/>
          <w:sz w:val="32"/>
          <w:szCs w:val="32"/>
          <w:highlight w:val="none"/>
        </w:rPr>
        <w:t>负责</w:t>
      </w:r>
      <w:r>
        <w:rPr>
          <w:rFonts w:hint="default" w:ascii="Times New Roman" w:hAnsi="Times New Roman" w:eastAsia="仿宋_GB2312" w:cs="Times New Roman"/>
          <w:color w:val="auto"/>
          <w:sz w:val="32"/>
          <w:szCs w:val="32"/>
          <w:highlight w:val="none"/>
          <w:lang w:val="en-US" w:eastAsia="zh-CN"/>
        </w:rPr>
        <w:t>科技计划项目管理</w:t>
      </w:r>
      <w:r>
        <w:rPr>
          <w:rFonts w:hint="default" w:ascii="Times New Roman" w:hAnsi="Times New Roman" w:eastAsia="仿宋_GB2312" w:cs="Times New Roman"/>
          <w:color w:val="auto"/>
          <w:sz w:val="32"/>
          <w:szCs w:val="32"/>
          <w:highlight w:val="none"/>
        </w:rPr>
        <w:t>，提出</w:t>
      </w: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rPr>
        <w:t>经费</w:t>
      </w:r>
      <w:r>
        <w:rPr>
          <w:rFonts w:hint="default" w:ascii="Times New Roman" w:hAnsi="Times New Roman" w:eastAsia="仿宋_GB2312" w:cs="Times New Roman"/>
          <w:color w:val="auto"/>
          <w:sz w:val="32"/>
          <w:szCs w:val="32"/>
          <w:highlight w:val="none"/>
          <w:lang w:val="en-US" w:eastAsia="zh-CN"/>
        </w:rPr>
        <w:t>分配建议</w:t>
      </w:r>
      <w:r>
        <w:rPr>
          <w:rFonts w:hint="default" w:ascii="Times New Roman" w:hAnsi="Times New Roman" w:eastAsia="仿宋_GB2312" w:cs="Times New Roman"/>
          <w:color w:val="auto"/>
          <w:sz w:val="32"/>
          <w:szCs w:val="32"/>
          <w:highlight w:val="none"/>
        </w:rPr>
        <w:t>方案，拨付</w:t>
      </w: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rPr>
        <w:t>经费，</w:t>
      </w:r>
      <w:r>
        <w:rPr>
          <w:rFonts w:hint="default" w:ascii="Times New Roman" w:hAnsi="Times New Roman" w:eastAsia="仿宋_GB2312" w:cs="Times New Roman"/>
          <w:color w:val="auto"/>
          <w:sz w:val="32"/>
          <w:szCs w:val="32"/>
          <w:highlight w:val="none"/>
          <w:lang w:eastAsia="zh-CN"/>
        </w:rPr>
        <w:t>按规定组织开展</w:t>
      </w:r>
      <w:r>
        <w:rPr>
          <w:rFonts w:hint="default" w:ascii="Times New Roman" w:hAnsi="Times New Roman" w:eastAsia="仿宋_GB2312" w:cs="Times New Roman"/>
          <w:color w:val="auto"/>
          <w:sz w:val="32"/>
          <w:szCs w:val="32"/>
          <w:highlight w:val="none"/>
          <w:lang w:val="en-US" w:eastAsia="zh-CN"/>
        </w:rPr>
        <w:t>项目经费</w:t>
      </w:r>
      <w:r>
        <w:rPr>
          <w:rFonts w:hint="default" w:ascii="Times New Roman" w:hAnsi="Times New Roman" w:eastAsia="仿宋_GB2312" w:cs="Times New Roman"/>
          <w:color w:val="auto"/>
          <w:sz w:val="32"/>
          <w:szCs w:val="32"/>
          <w:highlight w:val="none"/>
          <w:lang w:eastAsia="zh-CN"/>
        </w:rPr>
        <w:t>预算绩效管理</w:t>
      </w:r>
      <w:r>
        <w:rPr>
          <w:rFonts w:hint="default" w:ascii="Times New Roman" w:hAnsi="Times New Roman" w:eastAsia="仿宋_GB2312" w:cs="Times New Roman"/>
          <w:color w:val="auto"/>
          <w:sz w:val="32"/>
          <w:szCs w:val="32"/>
          <w:highlight w:val="none"/>
          <w:lang w:val="en-US" w:eastAsia="zh-CN"/>
        </w:rPr>
        <w:t>和监督检查</w:t>
      </w:r>
      <w:r>
        <w:rPr>
          <w:rFonts w:hint="default" w:ascii="Times New Roman" w:hAnsi="Times New Roman" w:eastAsia="仿宋_GB2312" w:cs="Times New Roman"/>
          <w:color w:val="auto"/>
          <w:sz w:val="32"/>
          <w:szCs w:val="32"/>
          <w:highlight w:val="none"/>
          <w:lang w:eastAsia="zh-CN"/>
        </w:rPr>
        <w:t>等。</w:t>
      </w:r>
    </w:p>
    <w:p w14:paraId="2BE169F9">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w:t>
      </w:r>
      <w:r>
        <w:rPr>
          <w:rFonts w:hint="default" w:ascii="Times New Roman" w:hAnsi="Times New Roman" w:eastAsia="仿宋_GB2312" w:cs="Times New Roman"/>
          <w:b/>
          <w:bCs/>
          <w:color w:val="auto"/>
          <w:sz w:val="32"/>
          <w:szCs w:val="32"/>
          <w:highlight w:val="none"/>
          <w:lang w:eastAsia="zh-CN"/>
        </w:rPr>
        <w:t>六</w:t>
      </w:r>
      <w:r>
        <w:rPr>
          <w:rFonts w:hint="default" w:ascii="Times New Roman" w:hAnsi="Times New Roman" w:eastAsia="仿宋_GB2312" w:cs="Times New Roman"/>
          <w:b/>
          <w:bCs/>
          <w:color w:val="auto"/>
          <w:sz w:val="32"/>
          <w:szCs w:val="32"/>
          <w:highlight w:val="none"/>
          <w:lang w:val="en-US" w:eastAsia="zh-CN"/>
        </w:rPr>
        <w:t>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项目</w:t>
      </w:r>
      <w:r>
        <w:rPr>
          <w:rFonts w:hint="eastAsia" w:ascii="Times New Roman" w:hAnsi="Times New Roman" w:eastAsia="仿宋_GB2312" w:cs="Times New Roman"/>
          <w:color w:val="auto"/>
          <w:sz w:val="32"/>
          <w:szCs w:val="32"/>
          <w:highlight w:val="none"/>
          <w:lang w:val="en-US" w:eastAsia="zh-CN"/>
        </w:rPr>
        <w:t>管理机构</w:t>
      </w:r>
      <w:r>
        <w:rPr>
          <w:rFonts w:hint="default" w:ascii="Times New Roman" w:hAnsi="Times New Roman" w:eastAsia="仿宋_GB2312" w:cs="Times New Roman"/>
          <w:color w:val="auto"/>
          <w:sz w:val="32"/>
          <w:szCs w:val="32"/>
          <w:highlight w:val="none"/>
        </w:rPr>
        <w:t>负责项目经费</w:t>
      </w:r>
      <w:r>
        <w:rPr>
          <w:rFonts w:hint="default" w:ascii="Times New Roman" w:hAnsi="Times New Roman" w:eastAsia="仿宋_GB2312" w:cs="Times New Roman"/>
          <w:color w:val="auto"/>
          <w:sz w:val="32"/>
          <w:szCs w:val="32"/>
          <w:highlight w:val="none"/>
          <w:lang w:val="en-US" w:eastAsia="zh-CN"/>
        </w:rPr>
        <w:t>的过程管理</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按要求组织开展预算评审，</w:t>
      </w:r>
      <w:r>
        <w:rPr>
          <w:rFonts w:hint="default" w:ascii="Times New Roman" w:hAnsi="Times New Roman" w:eastAsia="仿宋_GB2312" w:cs="Times New Roman"/>
          <w:color w:val="auto"/>
          <w:sz w:val="32"/>
          <w:szCs w:val="32"/>
          <w:highlight w:val="none"/>
        </w:rPr>
        <w:t>监督项目承担单位落实项目经费以外资金及相关配套条件；配合有关部门对项目经费使用情况进行自查、绩效考评和监督检查等。</w:t>
      </w:r>
    </w:p>
    <w:p w14:paraId="55B80CC4">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w:t>
      </w:r>
      <w:r>
        <w:rPr>
          <w:rFonts w:hint="default" w:ascii="Times New Roman" w:hAnsi="Times New Roman" w:eastAsia="仿宋_GB2312" w:cs="Times New Roman"/>
          <w:b/>
          <w:bCs/>
          <w:color w:val="auto"/>
          <w:sz w:val="32"/>
          <w:szCs w:val="32"/>
          <w:highlight w:val="none"/>
          <w:lang w:eastAsia="zh-CN"/>
        </w:rPr>
        <w:t>七</w:t>
      </w:r>
      <w:r>
        <w:rPr>
          <w:rFonts w:hint="default" w:ascii="Times New Roman" w:hAnsi="Times New Roman" w:eastAsia="仿宋_GB2312" w:cs="Times New Roman"/>
          <w:b/>
          <w:bCs/>
          <w:color w:val="auto"/>
          <w:sz w:val="32"/>
          <w:szCs w:val="32"/>
          <w:highlight w:val="none"/>
          <w:lang w:val="en-US" w:eastAsia="zh-CN"/>
        </w:rPr>
        <w:t>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项目承担单位是</w:t>
      </w:r>
      <w:r>
        <w:rPr>
          <w:rFonts w:hint="default" w:ascii="Times New Roman" w:hAnsi="Times New Roman" w:eastAsia="仿宋_GB2312" w:cs="Times New Roman"/>
          <w:color w:val="auto"/>
          <w:sz w:val="32"/>
          <w:szCs w:val="32"/>
          <w:highlight w:val="none"/>
          <w:lang w:val="en-US" w:eastAsia="zh-CN"/>
        </w:rPr>
        <w:t>项目经费</w:t>
      </w:r>
      <w:r>
        <w:rPr>
          <w:rFonts w:hint="default" w:ascii="Times New Roman" w:hAnsi="Times New Roman" w:eastAsia="仿宋_GB2312" w:cs="Times New Roman"/>
          <w:color w:val="auto"/>
          <w:sz w:val="32"/>
          <w:szCs w:val="32"/>
          <w:highlight w:val="none"/>
        </w:rPr>
        <w:t>管理使用的责任主体，负责</w:t>
      </w:r>
      <w:r>
        <w:rPr>
          <w:rFonts w:hint="default" w:ascii="Times New Roman" w:hAnsi="Times New Roman" w:eastAsia="仿宋_GB2312" w:cs="Times New Roman"/>
          <w:color w:val="auto"/>
          <w:sz w:val="32"/>
          <w:szCs w:val="32"/>
          <w:highlight w:val="none"/>
          <w:lang w:val="en-US" w:eastAsia="zh-CN"/>
        </w:rPr>
        <w:t>经费</w:t>
      </w:r>
      <w:r>
        <w:rPr>
          <w:rFonts w:hint="default" w:ascii="Times New Roman" w:hAnsi="Times New Roman" w:eastAsia="仿宋_GB2312" w:cs="Times New Roman"/>
          <w:color w:val="auto"/>
          <w:sz w:val="32"/>
          <w:szCs w:val="32"/>
          <w:highlight w:val="none"/>
        </w:rPr>
        <w:t>的日常管理和监督工作，并负责落实全过程预算绩效管理具体工作。</w:t>
      </w:r>
    </w:p>
    <w:p w14:paraId="7B2B3217">
      <w:pPr>
        <w:pStyle w:val="2"/>
        <w:keepNext w:val="0"/>
        <w:keepLines w:val="0"/>
        <w:pageBreakBefore w:val="0"/>
        <w:widowControl w:val="0"/>
        <w:shd w:val="clear" w:color="auto" w:fill="auto"/>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（一）</w:t>
      </w:r>
      <w:r>
        <w:rPr>
          <w:rFonts w:hint="default" w:ascii="Times New Roman" w:hAnsi="Times New Roman" w:eastAsia="仿宋_GB2312" w:cs="Times New Roman"/>
          <w:color w:val="auto"/>
          <w:kern w:val="2"/>
          <w:sz w:val="32"/>
          <w:szCs w:val="32"/>
          <w:highlight w:val="none"/>
          <w:lang w:val="en-US" w:eastAsia="zh-CN" w:bidi="ar-SA"/>
        </w:rPr>
        <w:t>负责</w:t>
      </w:r>
      <w:r>
        <w:rPr>
          <w:rFonts w:hint="eastAsia" w:ascii="Times New Roman" w:hAnsi="Times New Roman" w:eastAsia="仿宋_GB2312" w:cs="Times New Roman"/>
          <w:color w:val="auto"/>
          <w:kern w:val="2"/>
          <w:sz w:val="32"/>
          <w:szCs w:val="32"/>
          <w:highlight w:val="none"/>
          <w:lang w:val="en-US" w:eastAsia="zh-CN" w:bidi="ar-SA"/>
        </w:rPr>
        <w:t>建立</w:t>
      </w:r>
      <w:r>
        <w:rPr>
          <w:rFonts w:hint="default" w:ascii="Times New Roman" w:hAnsi="Times New Roman" w:eastAsia="仿宋_GB2312" w:cs="Times New Roman"/>
          <w:color w:val="auto"/>
          <w:kern w:val="2"/>
          <w:sz w:val="32"/>
          <w:szCs w:val="32"/>
          <w:highlight w:val="none"/>
          <w:lang w:val="en-US" w:eastAsia="zh-CN" w:bidi="ar-SA"/>
        </w:rPr>
        <w:t>和完善单位内控制度</w:t>
      </w:r>
      <w:r>
        <w:rPr>
          <w:rFonts w:hint="eastAsia" w:ascii="Times New Roman" w:hAnsi="Times New Roman" w:eastAsia="仿宋_GB2312" w:cs="Times New Roman"/>
          <w:color w:val="auto"/>
          <w:kern w:val="2"/>
          <w:sz w:val="32"/>
          <w:szCs w:val="32"/>
          <w:highlight w:val="none"/>
          <w:lang w:val="en-US" w:eastAsia="zh-CN" w:bidi="ar-SA"/>
        </w:rPr>
        <w:t>，以及</w:t>
      </w:r>
      <w:r>
        <w:rPr>
          <w:rFonts w:hint="default" w:ascii="Times New Roman" w:hAnsi="Times New Roman" w:eastAsia="仿宋_GB2312" w:cs="Times New Roman"/>
          <w:color w:val="auto"/>
          <w:kern w:val="2"/>
          <w:sz w:val="32"/>
          <w:szCs w:val="32"/>
          <w:highlight w:val="none"/>
          <w:lang w:val="en-US" w:eastAsia="zh-CN" w:bidi="ar-SA"/>
        </w:rPr>
        <w:t>与项目经费管理有关的预算、支出、报销等财务规章制度</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落实项目预算调剂、科研仪器采购、劳务费管理、差旅会议管理、间接费用管理（含绩效分配）、结余资金使用等管理</w:t>
      </w:r>
      <w:r>
        <w:rPr>
          <w:rFonts w:hint="eastAsia" w:ascii="Times New Roman" w:hAnsi="Times New Roman" w:eastAsia="仿宋_GB2312" w:cs="Times New Roman"/>
          <w:color w:val="auto"/>
          <w:kern w:val="2"/>
          <w:sz w:val="32"/>
          <w:szCs w:val="32"/>
          <w:highlight w:val="none"/>
          <w:lang w:val="en-US" w:eastAsia="zh-CN" w:bidi="ar-SA"/>
        </w:rPr>
        <w:t>工作</w:t>
      </w:r>
      <w:r>
        <w:rPr>
          <w:rFonts w:hint="default" w:ascii="Times New Roman" w:hAnsi="Times New Roman" w:eastAsia="仿宋_GB2312" w:cs="Times New Roman"/>
          <w:color w:val="auto"/>
          <w:kern w:val="2"/>
          <w:sz w:val="32"/>
          <w:szCs w:val="32"/>
          <w:highlight w:val="none"/>
          <w:lang w:val="en-US" w:eastAsia="zh-CN" w:bidi="ar-SA"/>
        </w:rPr>
        <w:t>。</w:t>
      </w:r>
    </w:p>
    <w:p w14:paraId="7F4574C7">
      <w:pPr>
        <w:pStyle w:val="2"/>
        <w:keepNext w:val="0"/>
        <w:keepLines w:val="0"/>
        <w:pageBreakBefore w:val="0"/>
        <w:widowControl w:val="0"/>
        <w:shd w:val="clear" w:color="auto" w:fill="auto"/>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（二）</w:t>
      </w:r>
      <w:r>
        <w:rPr>
          <w:rFonts w:hint="default" w:ascii="Times New Roman" w:hAnsi="Times New Roman" w:eastAsia="仿宋_GB2312" w:cs="Times New Roman"/>
          <w:color w:val="auto"/>
          <w:kern w:val="2"/>
          <w:sz w:val="32"/>
          <w:szCs w:val="32"/>
          <w:highlight w:val="none"/>
          <w:lang w:val="en-US" w:eastAsia="zh-CN" w:bidi="ar-SA"/>
        </w:rPr>
        <w:t>负责建立健全科研财务助理制度，为科研人员在预算编制和调剂、资金支出、财务决算和验收等方面提供专业化服务，减轻科研人员事务性负担。</w:t>
      </w:r>
    </w:p>
    <w:p w14:paraId="5F631B05">
      <w:pPr>
        <w:pStyle w:val="2"/>
        <w:keepNext w:val="0"/>
        <w:keepLines w:val="0"/>
        <w:pageBreakBefore w:val="0"/>
        <w:widowControl w:val="0"/>
        <w:shd w:val="clear" w:color="auto" w:fill="auto"/>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（三）</w:t>
      </w:r>
      <w:r>
        <w:rPr>
          <w:rFonts w:hint="default" w:ascii="Times New Roman" w:hAnsi="Times New Roman" w:eastAsia="仿宋_GB2312" w:cs="Times New Roman"/>
          <w:color w:val="auto"/>
          <w:kern w:val="2"/>
          <w:sz w:val="32"/>
          <w:szCs w:val="32"/>
          <w:highlight w:val="none"/>
          <w:lang w:val="en-US" w:eastAsia="zh-CN" w:bidi="ar-SA"/>
        </w:rPr>
        <w:t>负责编制项目经费预算和决算，按照项目有关匹配资金的约定，落实单位自筹资金及其他配套条件。</w:t>
      </w:r>
    </w:p>
    <w:p w14:paraId="2B9EED90">
      <w:pPr>
        <w:pStyle w:val="2"/>
        <w:keepNext w:val="0"/>
        <w:keepLines w:val="0"/>
        <w:pageBreakBefore w:val="0"/>
        <w:widowControl w:val="0"/>
        <w:shd w:val="clear" w:color="auto" w:fill="auto"/>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（四）</w:t>
      </w:r>
      <w:r>
        <w:rPr>
          <w:rFonts w:hint="default" w:ascii="Times New Roman" w:hAnsi="Times New Roman" w:eastAsia="仿宋_GB2312" w:cs="Times New Roman"/>
          <w:color w:val="auto"/>
          <w:kern w:val="2"/>
          <w:sz w:val="32"/>
          <w:szCs w:val="32"/>
          <w:highlight w:val="none"/>
          <w:lang w:val="en-US" w:eastAsia="zh-CN" w:bidi="ar-SA"/>
        </w:rPr>
        <w:t>负责完善单位内部信息公开公示制度，加强项目经费内部监督。配合进行项目经费审计等工作，接受</w:t>
      </w:r>
      <w:r>
        <w:rPr>
          <w:rFonts w:hint="eastAsia" w:ascii="Times New Roman" w:hAnsi="Times New Roman" w:eastAsia="仿宋_GB2312" w:cs="Times New Roman"/>
          <w:color w:val="auto"/>
          <w:kern w:val="2"/>
          <w:sz w:val="32"/>
          <w:szCs w:val="32"/>
          <w:highlight w:val="none"/>
          <w:lang w:val="en-US" w:eastAsia="zh-CN" w:bidi="ar-SA"/>
        </w:rPr>
        <w:t>自治区财政厅</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自治区科技厅</w:t>
      </w:r>
      <w:r>
        <w:rPr>
          <w:rFonts w:hint="default" w:ascii="Times New Roman" w:hAnsi="Times New Roman" w:eastAsia="仿宋_GB2312" w:cs="Times New Roman"/>
          <w:color w:val="auto"/>
          <w:kern w:val="2"/>
          <w:sz w:val="32"/>
          <w:szCs w:val="32"/>
          <w:highlight w:val="none"/>
          <w:lang w:val="en-US" w:eastAsia="zh-CN" w:bidi="ar-SA"/>
        </w:rPr>
        <w:t>等有关部门的监督检查和绩效评价等工作。</w:t>
      </w:r>
    </w:p>
    <w:p w14:paraId="0AA8CFF0">
      <w:pPr>
        <w:pStyle w:val="2"/>
        <w:keepNext w:val="0"/>
        <w:keepLines w:val="0"/>
        <w:pageBreakBefore w:val="0"/>
        <w:widowControl w:val="0"/>
        <w:shd w:val="clear" w:color="auto" w:fill="auto"/>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（五）负责有关财务文件的归档保存。</w:t>
      </w:r>
    </w:p>
    <w:p w14:paraId="5CCF6186">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rPr>
      </w:pPr>
    </w:p>
    <w:p w14:paraId="5B0416CC">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章</w:t>
      </w:r>
      <w:r>
        <w:rPr>
          <w:rFonts w:hint="default" w:ascii="Times New Roman" w:hAnsi="Times New Roman" w:eastAsia="黑体" w:cs="Times New Roman"/>
          <w:color w:val="auto"/>
          <w:sz w:val="32"/>
          <w:szCs w:val="32"/>
          <w:highlight w:val="none"/>
          <w:lang w:val="en-US" w:eastAsia="zh-CN"/>
        </w:rPr>
        <w:t xml:space="preserve">  经费</w:t>
      </w:r>
      <w:r>
        <w:rPr>
          <w:rFonts w:hint="default" w:ascii="Times New Roman" w:hAnsi="Times New Roman" w:eastAsia="黑体" w:cs="Times New Roman"/>
          <w:color w:val="auto"/>
          <w:sz w:val="32"/>
          <w:szCs w:val="32"/>
          <w:highlight w:val="none"/>
        </w:rPr>
        <w:t>支持范围</w:t>
      </w:r>
      <w:r>
        <w:rPr>
          <w:rFonts w:hint="eastAsia" w:ascii="Times New Roman" w:hAnsi="Times New Roman" w:eastAsia="黑体" w:cs="Times New Roman"/>
          <w:color w:val="auto"/>
          <w:sz w:val="32"/>
          <w:szCs w:val="32"/>
          <w:highlight w:val="none"/>
          <w:lang w:val="en-US" w:eastAsia="zh-CN"/>
        </w:rPr>
        <w:t>和</w:t>
      </w:r>
      <w:r>
        <w:rPr>
          <w:rFonts w:hint="default" w:ascii="Times New Roman" w:hAnsi="Times New Roman" w:eastAsia="黑体" w:cs="Times New Roman"/>
          <w:color w:val="auto"/>
          <w:sz w:val="32"/>
          <w:szCs w:val="32"/>
          <w:highlight w:val="none"/>
        </w:rPr>
        <w:t>开支范围</w:t>
      </w:r>
    </w:p>
    <w:p w14:paraId="21E73FEC">
      <w:pPr>
        <w:pStyle w:val="2"/>
        <w:keepNext w:val="0"/>
        <w:keepLines w:val="0"/>
        <w:pageBreakBefore w:val="0"/>
        <w:widowControl w:val="0"/>
        <w:kinsoku/>
        <w:wordWrap/>
        <w:overflowPunct/>
        <w:topLinePunct w:val="0"/>
        <w:bidi w:val="0"/>
        <w:snapToGrid/>
        <w:spacing w:line="560" w:lineRule="exact"/>
        <w:textAlignment w:val="auto"/>
        <w:rPr>
          <w:rFonts w:hint="eastAsia"/>
          <w:lang w:val="en-US" w:eastAsia="zh-CN"/>
        </w:rPr>
      </w:pPr>
    </w:p>
    <w:p w14:paraId="6B5E7C09">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lang w:val="en-US" w:eastAsia="zh-CN"/>
        </w:rPr>
        <w:t>项目经费主要用于以下方面：</w:t>
      </w:r>
    </w:p>
    <w:p w14:paraId="5E934BB2">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一</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夯基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行动计划（</w:t>
      </w:r>
      <w:r>
        <w:rPr>
          <w:rFonts w:hint="default" w:ascii="Times New Roman" w:hAnsi="Times New Roman" w:eastAsia="仿宋_GB2312" w:cs="Times New Roman"/>
          <w:color w:val="auto"/>
          <w:sz w:val="32"/>
          <w:szCs w:val="32"/>
          <w:highlight w:val="none"/>
          <w:lang w:val="en-US" w:eastAsia="zh-CN"/>
        </w:rPr>
        <w:t>广西</w:t>
      </w:r>
      <w:r>
        <w:rPr>
          <w:rFonts w:hint="default" w:ascii="Times New Roman" w:hAnsi="Times New Roman" w:eastAsia="仿宋_GB2312" w:cs="Times New Roman"/>
          <w:color w:val="auto"/>
          <w:sz w:val="32"/>
          <w:szCs w:val="32"/>
          <w:highlight w:val="none"/>
        </w:rPr>
        <w:t>基础研究计划）</w:t>
      </w:r>
      <w:r>
        <w:rPr>
          <w:rFonts w:hint="eastAsia" w:ascii="Times New Roman" w:hAnsi="Times New Roman" w:eastAsia="仿宋_GB2312" w:cs="Times New Roman"/>
          <w:color w:val="auto"/>
          <w:sz w:val="32"/>
          <w:szCs w:val="32"/>
          <w:highlight w:val="none"/>
          <w:lang w:eastAsia="zh-CN"/>
        </w:rPr>
        <w:t>；</w:t>
      </w:r>
    </w:p>
    <w:p w14:paraId="64E087E8">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尖锋</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行动计划</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广西重大专项计划</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w:t>
      </w:r>
    </w:p>
    <w:p w14:paraId="33D0BD9C">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智果</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行动计划（广西科技成果转化计划）</w:t>
      </w:r>
      <w:r>
        <w:rPr>
          <w:rFonts w:hint="eastAsia" w:ascii="Times New Roman" w:hAnsi="Times New Roman" w:eastAsia="仿宋_GB2312" w:cs="Times New Roman"/>
          <w:color w:val="auto"/>
          <w:sz w:val="32"/>
          <w:szCs w:val="32"/>
          <w:highlight w:val="none"/>
          <w:lang w:val="en-US" w:eastAsia="zh-CN"/>
        </w:rPr>
        <w:t>；</w:t>
      </w:r>
    </w:p>
    <w:p w14:paraId="3494B7DA">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（四）</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垒台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行动</w:t>
      </w:r>
      <w:r>
        <w:rPr>
          <w:rFonts w:hint="default" w:ascii="Times New Roman" w:hAnsi="Times New Roman" w:eastAsia="仿宋_GB2312" w:cs="Times New Roman"/>
          <w:color w:val="auto"/>
          <w:sz w:val="32"/>
          <w:szCs w:val="32"/>
          <w:highlight w:val="none"/>
        </w:rPr>
        <w:t>计划</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广西科技创新平台计划</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w:t>
      </w:r>
    </w:p>
    <w:p w14:paraId="7E45D500">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协同</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行动计划（广西区域创新能力提升计划）</w:t>
      </w:r>
      <w:r>
        <w:rPr>
          <w:rFonts w:hint="eastAsia" w:ascii="Times New Roman" w:hAnsi="Times New Roman" w:eastAsia="仿宋_GB2312" w:cs="Times New Roman"/>
          <w:color w:val="auto"/>
          <w:sz w:val="32"/>
          <w:szCs w:val="32"/>
          <w:highlight w:val="none"/>
          <w:lang w:eastAsia="zh-CN"/>
        </w:rPr>
        <w:t>；</w:t>
      </w:r>
    </w:p>
    <w:p w14:paraId="0F7688C8">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赋能</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行动计划（广西重点研发计划）</w:t>
      </w:r>
      <w:r>
        <w:rPr>
          <w:rFonts w:hint="eastAsia" w:ascii="Times New Roman" w:hAnsi="Times New Roman" w:eastAsia="仿宋_GB2312" w:cs="Times New Roman"/>
          <w:color w:val="auto"/>
          <w:sz w:val="32"/>
          <w:szCs w:val="32"/>
          <w:highlight w:val="none"/>
          <w:lang w:eastAsia="zh-CN"/>
        </w:rPr>
        <w:t>；</w:t>
      </w:r>
    </w:p>
    <w:p w14:paraId="6CBA6013">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七</w:t>
      </w:r>
      <w:r>
        <w:rPr>
          <w:rFonts w:hint="default" w:ascii="Times New Roman" w:hAnsi="Times New Roman" w:eastAsia="仿宋_GB2312" w:cs="Times New Roman"/>
          <w:color w:val="auto"/>
          <w:sz w:val="32"/>
          <w:szCs w:val="32"/>
          <w:highlight w:val="none"/>
        </w:rPr>
        <w:t>）其他方面。围绕</w:t>
      </w:r>
      <w:r>
        <w:rPr>
          <w:rFonts w:hint="default" w:ascii="Times New Roman" w:hAnsi="Times New Roman" w:eastAsia="仿宋_GB2312" w:cs="Times New Roman"/>
          <w:color w:val="auto"/>
          <w:sz w:val="32"/>
          <w:szCs w:val="32"/>
          <w:highlight w:val="none"/>
          <w:lang w:val="en-US" w:eastAsia="zh-CN"/>
        </w:rPr>
        <w:t>自治区党委</w:t>
      </w:r>
      <w:r>
        <w:rPr>
          <w:rFonts w:hint="default" w:ascii="Times New Roman" w:hAnsi="Times New Roman" w:eastAsia="仿宋_GB2312" w:cs="Times New Roman"/>
          <w:color w:val="auto"/>
          <w:sz w:val="32"/>
          <w:szCs w:val="32"/>
          <w:highlight w:val="none"/>
        </w:rPr>
        <w:t>、政府重点工作部署，由</w:t>
      </w:r>
      <w:r>
        <w:rPr>
          <w:rFonts w:hint="default"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rPr>
        <w:t>科技厅立项支持的其他科技项目，以及与</w:t>
      </w:r>
      <w:r>
        <w:rPr>
          <w:rFonts w:hint="eastAsia" w:ascii="Times New Roman" w:hAnsi="Times New Roman" w:eastAsia="仿宋_GB2312" w:cs="Times New Roman"/>
          <w:color w:val="auto"/>
          <w:sz w:val="32"/>
          <w:szCs w:val="32"/>
          <w:highlight w:val="none"/>
          <w:lang w:val="en-US" w:eastAsia="zh-CN"/>
        </w:rPr>
        <w:t>国家、</w:t>
      </w:r>
      <w:r>
        <w:rPr>
          <w:rFonts w:hint="default"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rPr>
        <w:t>有关部门和地方共同组织实施的项目等。</w:t>
      </w:r>
    </w:p>
    <w:p w14:paraId="3EADE77C">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经费支持</w:t>
      </w:r>
      <w:r>
        <w:rPr>
          <w:rFonts w:hint="default" w:ascii="Times New Roman" w:hAnsi="Times New Roman" w:eastAsia="仿宋_GB2312" w:cs="Times New Roman"/>
          <w:color w:val="auto"/>
          <w:sz w:val="32"/>
          <w:szCs w:val="32"/>
          <w:highlight w:val="none"/>
          <w:lang w:val="en-US" w:eastAsia="zh-CN"/>
        </w:rPr>
        <w:t>方式主要包括前补助和后补助。本办法主要规范采用前补助方式支持的项目经费。</w:t>
      </w:r>
    </w:p>
    <w:p w14:paraId="4C92E066">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十</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lang w:eastAsia="zh-CN"/>
        </w:rPr>
        <w:t>项目经费</w:t>
      </w:r>
      <w:r>
        <w:rPr>
          <w:rFonts w:hint="eastAsia" w:ascii="Times New Roman" w:hAnsi="Times New Roman" w:eastAsia="仿宋_GB2312" w:cs="Times New Roman"/>
          <w:color w:val="auto"/>
          <w:sz w:val="32"/>
          <w:szCs w:val="32"/>
          <w:highlight w:val="none"/>
          <w:lang w:val="en-US" w:eastAsia="zh-CN"/>
        </w:rPr>
        <w:t>开支范围包括</w:t>
      </w:r>
      <w:r>
        <w:rPr>
          <w:rFonts w:hint="default" w:ascii="Times New Roman" w:hAnsi="Times New Roman" w:eastAsia="仿宋_GB2312" w:cs="Times New Roman"/>
          <w:color w:val="auto"/>
          <w:sz w:val="32"/>
          <w:szCs w:val="32"/>
          <w:highlight w:val="none"/>
        </w:rPr>
        <w:t>直接费用和间接费用</w:t>
      </w:r>
      <w:r>
        <w:rPr>
          <w:rFonts w:hint="eastAsia" w:ascii="Times New Roman" w:hAnsi="Times New Roman" w:eastAsia="仿宋_GB2312" w:cs="Times New Roman"/>
          <w:color w:val="auto"/>
          <w:sz w:val="32"/>
          <w:szCs w:val="32"/>
          <w:highlight w:val="none"/>
          <w:lang w:val="en-US" w:eastAsia="zh-CN"/>
        </w:rPr>
        <w:t>两部分</w:t>
      </w:r>
      <w:r>
        <w:rPr>
          <w:rFonts w:hint="default" w:ascii="Times New Roman" w:hAnsi="Times New Roman" w:eastAsia="仿宋_GB2312" w:cs="Times New Roman"/>
          <w:color w:val="auto"/>
          <w:sz w:val="32"/>
          <w:szCs w:val="32"/>
          <w:highlight w:val="none"/>
        </w:rPr>
        <w:t>。</w:t>
      </w:r>
    </w:p>
    <w:p w14:paraId="0F84D6EC">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十一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直接费用是指在项目实施过程中发生的与之直接相关的费用。</w:t>
      </w:r>
      <w:r>
        <w:rPr>
          <w:rFonts w:hint="default" w:ascii="Times New Roman" w:hAnsi="Times New Roman" w:eastAsia="仿宋_GB2312" w:cs="Times New Roman"/>
          <w:color w:val="auto"/>
          <w:sz w:val="32"/>
          <w:szCs w:val="32"/>
          <w:highlight w:val="none"/>
          <w:lang w:val="en-US" w:eastAsia="zh-CN"/>
        </w:rPr>
        <w:t>主要</w:t>
      </w:r>
      <w:r>
        <w:rPr>
          <w:rFonts w:hint="default" w:ascii="Times New Roman" w:hAnsi="Times New Roman" w:eastAsia="仿宋_GB2312" w:cs="Times New Roman"/>
          <w:color w:val="auto"/>
          <w:sz w:val="32"/>
          <w:szCs w:val="32"/>
          <w:highlight w:val="none"/>
        </w:rPr>
        <w:t>包括：</w:t>
      </w:r>
    </w:p>
    <w:p w14:paraId="047E8399">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设备费：是指在项目实施过程中购置或试制专用仪器设备，对现有仪器设备进行升级改造，以及租赁外单位仪器设备而发生的费用。计算类仪器设备和软件工具可在设备费科目列支。严格控制设备购置尤其是大型科学仪器设备购置，鼓励开放共享、自主研制、租赁专用仪器设备</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rPr>
        <w:t>对现有仪器设备进行升级改造，避免重复购置。凡是广西大型科学仪器协作共用网能够满足项目研发需求的不予购买。</w:t>
      </w:r>
    </w:p>
    <w:p w14:paraId="3E83D369">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业务费。是指在项目实施过程中消耗的各种材料、辅助材料等低值易耗品的采购、运输、装卸、整理等费用，发生的测试化验加工、燃料动力、出版/文献/信息传播/知识产权事务、会议/差旅/国际合作交流等费用，以及其他相关支出。</w:t>
      </w:r>
    </w:p>
    <w:p w14:paraId="631FA451">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对国内差旅费中的伙食补助费、市内交通费和难以取得发票的住宿费探索实行包干制的项目承担单位，应制定相应的财务管理规定并承担主体责任。</w:t>
      </w:r>
    </w:p>
    <w:p w14:paraId="41C4B565">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（三）劳务费。是指在项目实施过程中支付给参与项目的研究生、博士后、访问学者和项目聘用的研究人员、科研辅助人员等的劳务性费用，以及支付给临时聘请的咨询专家的费用等。</w:t>
      </w:r>
    </w:p>
    <w:p w14:paraId="6EFD3F0B">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项目聘用人员劳务费</w:t>
      </w:r>
      <w:r>
        <w:rPr>
          <w:rFonts w:hint="default" w:ascii="Times New Roman" w:hAnsi="Times New Roman" w:eastAsia="仿宋_GB2312" w:cs="Times New Roman"/>
          <w:color w:val="auto"/>
          <w:sz w:val="32"/>
          <w:szCs w:val="32"/>
          <w:highlight w:val="none"/>
          <w:lang w:val="en-US" w:eastAsia="zh-CN"/>
        </w:rPr>
        <w:t>开支标准，</w:t>
      </w:r>
      <w:r>
        <w:rPr>
          <w:rFonts w:hint="default" w:ascii="Times New Roman" w:hAnsi="Times New Roman" w:eastAsia="仿宋_GB2312" w:cs="Times New Roman"/>
          <w:color w:val="auto"/>
          <w:sz w:val="32"/>
          <w:szCs w:val="32"/>
          <w:highlight w:val="none"/>
        </w:rPr>
        <w:t>应参照当地科学研究和技术服务业从业人员近三年平均工资水平，根据</w:t>
      </w:r>
      <w:r>
        <w:rPr>
          <w:rFonts w:hint="default" w:ascii="Times New Roman" w:hAnsi="Times New Roman" w:eastAsia="仿宋_GB2312" w:cs="Times New Roman"/>
          <w:color w:val="auto"/>
          <w:sz w:val="32"/>
          <w:szCs w:val="32"/>
          <w:highlight w:val="none"/>
          <w:lang w:val="en-US" w:eastAsia="zh-CN"/>
        </w:rPr>
        <w:t>其</w:t>
      </w:r>
      <w:r>
        <w:rPr>
          <w:rFonts w:hint="default" w:ascii="Times New Roman" w:hAnsi="Times New Roman" w:eastAsia="仿宋_GB2312" w:cs="Times New Roman"/>
          <w:color w:val="auto"/>
          <w:sz w:val="32"/>
          <w:szCs w:val="32"/>
          <w:highlight w:val="none"/>
        </w:rPr>
        <w:t>在项目研究中承担的工作任务确定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其由单位缴纳的社会保险补助、住房公积金等</w:t>
      </w:r>
      <w:r>
        <w:rPr>
          <w:rFonts w:hint="default" w:ascii="Times New Roman" w:hAnsi="Times New Roman" w:eastAsia="仿宋_GB2312" w:cs="Times New Roman"/>
          <w:color w:val="auto"/>
          <w:sz w:val="32"/>
          <w:szCs w:val="32"/>
          <w:highlight w:val="none"/>
          <w:lang w:val="en-US" w:eastAsia="zh-CN"/>
        </w:rPr>
        <w:t>可</w:t>
      </w:r>
      <w:r>
        <w:rPr>
          <w:rFonts w:hint="default" w:ascii="Times New Roman" w:hAnsi="Times New Roman" w:eastAsia="仿宋_GB2312" w:cs="Times New Roman"/>
          <w:color w:val="auto"/>
          <w:sz w:val="32"/>
          <w:szCs w:val="32"/>
          <w:highlight w:val="none"/>
        </w:rPr>
        <w:t>纳入劳务费科目开支。</w:t>
      </w:r>
    </w:p>
    <w:p w14:paraId="1F44FB8A">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专家咨询费不得支付给项目组成员及与本项目管理相关的工作人员。</w:t>
      </w:r>
    </w:p>
    <w:p w14:paraId="1966D191">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十二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间接费用是指承担单位在组织实施项目过程中发生的，无法在直接费用中列支的相关费用。主要包括：承担单位为项目研究提供的房屋占用，日常水、电、气、暖消耗，有关管理费用的补助支出，以及激励科研人员的绩效支出等。</w:t>
      </w:r>
    </w:p>
    <w:p w14:paraId="60CDBB57">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间接费用实行总额控制，按照</w:t>
      </w:r>
      <w:r>
        <w:rPr>
          <w:rFonts w:hint="default" w:ascii="Times New Roman" w:hAnsi="Times New Roman" w:eastAsia="仿宋_GB2312" w:cs="Times New Roman"/>
          <w:color w:val="auto"/>
          <w:sz w:val="32"/>
          <w:szCs w:val="32"/>
          <w:highlight w:val="none"/>
          <w:lang w:val="en-US" w:eastAsia="zh-CN"/>
        </w:rPr>
        <w:t>直接</w:t>
      </w:r>
      <w:r>
        <w:rPr>
          <w:rFonts w:hint="default" w:ascii="Times New Roman" w:hAnsi="Times New Roman" w:eastAsia="仿宋_GB2312" w:cs="Times New Roman"/>
          <w:color w:val="auto"/>
          <w:sz w:val="32"/>
          <w:szCs w:val="32"/>
          <w:highlight w:val="none"/>
        </w:rPr>
        <w:t>费用扣除设备购置费后的一定比例核定。具体比例为：500万元以下部分，不超过</w:t>
      </w:r>
      <w:r>
        <w:rPr>
          <w:rFonts w:hint="default" w:ascii="Times New Roman" w:hAnsi="Times New Roman" w:eastAsia="仿宋_GB2312" w:cs="Times New Roman"/>
          <w:color w:val="auto"/>
          <w:sz w:val="32"/>
          <w:szCs w:val="32"/>
          <w:highlight w:val="none"/>
          <w:lang w:val="en-US" w:eastAsia="zh-CN"/>
        </w:rPr>
        <w:t>35</w:t>
      </w:r>
      <w:r>
        <w:rPr>
          <w:rFonts w:hint="default" w:ascii="Times New Roman" w:hAnsi="Times New Roman" w:eastAsia="仿宋_GB2312" w:cs="Times New Roman"/>
          <w:color w:val="auto"/>
          <w:sz w:val="32"/>
          <w:szCs w:val="32"/>
          <w:highlight w:val="none"/>
        </w:rPr>
        <w:t>%；500万元至1000万元的部分，不超过</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%；1000万元以上的部分，不超过</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%。对数学等纯理论基础研究项目，间接费用比例最高不超过60%。</w:t>
      </w:r>
    </w:p>
    <w:p w14:paraId="79B72AA2">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承担单位可将间接费用全部用于绩效支出，并向创新绩效突出的团队和个人倾斜。间接费用中绩效支出纳入项目承担单位绩效工资总量管理，不计入项目承担单位年度绩效工资基数。项目承担单位不得在核定的间接费用以外再以任何名义在项目经费中重复提取、列支相关费用。</w:t>
      </w:r>
    </w:p>
    <w:p w14:paraId="4FBB0BC6">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间接费用由承担单位统筹安排使用。承担单位应当建立健全间接费用的内部管理办法，公开透明、合规合理使用间接费用，处理好分摊间接成本和对科研人员激励的关系，绩效支出安排与科研人员在项目工作中的实际贡献挂钩。</w:t>
      </w:r>
    </w:p>
    <w:p w14:paraId="3FEFED00">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rPr>
      </w:pPr>
    </w:p>
    <w:p w14:paraId="2C1A0706">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第四章</w:t>
      </w:r>
      <w:r>
        <w:rPr>
          <w:rFonts w:hint="default" w:ascii="Times New Roman" w:hAnsi="Times New Roman" w:eastAsia="黑体" w:cs="Times New Roman"/>
          <w:color w:val="auto"/>
          <w:sz w:val="32"/>
          <w:szCs w:val="32"/>
          <w:highlight w:val="none"/>
          <w:lang w:val="en-US" w:eastAsia="zh-CN"/>
        </w:rPr>
        <w:t xml:space="preserve">  经费</w:t>
      </w:r>
      <w:r>
        <w:rPr>
          <w:rFonts w:hint="default" w:ascii="Times New Roman" w:hAnsi="Times New Roman" w:eastAsia="黑体" w:cs="Times New Roman"/>
          <w:color w:val="auto"/>
          <w:sz w:val="32"/>
          <w:szCs w:val="32"/>
          <w:highlight w:val="none"/>
        </w:rPr>
        <w:t>预算管理</w:t>
      </w:r>
    </w:p>
    <w:p w14:paraId="06E05347">
      <w:pPr>
        <w:pStyle w:val="2"/>
        <w:keepNext w:val="0"/>
        <w:keepLines w:val="0"/>
        <w:pageBreakBefore w:val="0"/>
        <w:widowControl w:val="0"/>
        <w:kinsoku/>
        <w:wordWrap/>
        <w:overflowPunct/>
        <w:topLinePunct w:val="0"/>
        <w:bidi w:val="0"/>
        <w:snapToGrid/>
        <w:spacing w:line="560" w:lineRule="exact"/>
        <w:textAlignment w:val="auto"/>
        <w:rPr>
          <w:rFonts w:hint="default"/>
        </w:rPr>
      </w:pPr>
    </w:p>
    <w:p w14:paraId="713093FB">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十三</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项目承担单位应当按照政策相符性、目标相关性和经济合理性原则，科学、合理、真实地编制</w:t>
      </w: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rPr>
        <w:t>预算。有多个单位联合申报一个项目的，应当同时编列各单位承担的主要任务、经费预算等。</w:t>
      </w:r>
      <w:r>
        <w:rPr>
          <w:rFonts w:hint="eastAsia" w:ascii="Times New Roman" w:hAnsi="Times New Roman" w:eastAsia="仿宋_GB2312" w:cs="Times New Roman"/>
          <w:color w:val="auto"/>
          <w:sz w:val="32"/>
          <w:szCs w:val="32"/>
          <w:highlight w:val="none"/>
          <w:lang w:val="en-US" w:eastAsia="zh-CN"/>
        </w:rPr>
        <w:t>人才类、基础研究类等</w:t>
      </w:r>
      <w:r>
        <w:rPr>
          <w:rFonts w:hint="default" w:ascii="Times New Roman" w:hAnsi="Times New Roman" w:eastAsia="仿宋_GB2312" w:cs="Times New Roman"/>
          <w:color w:val="auto"/>
          <w:sz w:val="32"/>
          <w:szCs w:val="32"/>
          <w:highlight w:val="none"/>
        </w:rPr>
        <w:t>实行经费包干制的项目无需编制项目预算。</w:t>
      </w:r>
    </w:p>
    <w:p w14:paraId="71BB55A8">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eastAsia" w:ascii="Times New Roman" w:hAnsi="Times New Roman" w:eastAsia="仿宋_GB2312" w:cs="Times New Roman"/>
          <w:b/>
          <w:bCs/>
          <w:color w:val="auto"/>
          <w:sz w:val="32"/>
          <w:szCs w:val="32"/>
          <w:highlight w:val="none"/>
          <w:lang w:val="en-US" w:eastAsia="zh-CN"/>
        </w:rPr>
        <w:t>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  项目</w:t>
      </w:r>
      <w:r>
        <w:rPr>
          <w:rFonts w:hint="default" w:ascii="Times New Roman" w:hAnsi="Times New Roman" w:eastAsia="仿宋_GB2312" w:cs="Times New Roman"/>
          <w:color w:val="auto"/>
          <w:sz w:val="32"/>
          <w:szCs w:val="32"/>
          <w:highlight w:val="none"/>
          <w:lang w:val="en-US" w:eastAsia="zh-CN"/>
        </w:rPr>
        <w:t>经费预算由收入预算和经费预算构成。</w:t>
      </w:r>
      <w:r>
        <w:rPr>
          <w:rFonts w:hint="default" w:ascii="Times New Roman" w:hAnsi="Times New Roman" w:eastAsia="仿宋_GB2312" w:cs="Times New Roman"/>
          <w:color w:val="auto"/>
          <w:sz w:val="32"/>
          <w:szCs w:val="32"/>
          <w:highlight w:val="none"/>
        </w:rPr>
        <w:t>收入预算包括自治区本级财政经费、市县财政经费、单位自筹经费</w:t>
      </w:r>
      <w:r>
        <w:rPr>
          <w:rFonts w:hint="default" w:ascii="Times New Roman" w:hAnsi="Times New Roman" w:eastAsia="仿宋_GB2312" w:cs="Times New Roman"/>
          <w:color w:val="auto"/>
          <w:sz w:val="32"/>
          <w:szCs w:val="32"/>
          <w:highlight w:val="none"/>
          <w:lang w:val="en-US" w:eastAsia="zh-CN"/>
        </w:rPr>
        <w:t>和其他来源资金等</w:t>
      </w:r>
      <w:r>
        <w:rPr>
          <w:rFonts w:hint="default" w:ascii="Times New Roman" w:hAnsi="Times New Roman" w:eastAsia="仿宋_GB2312" w:cs="Times New Roman"/>
          <w:color w:val="auto"/>
          <w:sz w:val="32"/>
          <w:szCs w:val="32"/>
          <w:highlight w:val="none"/>
        </w:rPr>
        <w:t>从</w:t>
      </w:r>
      <w:r>
        <w:rPr>
          <w:rFonts w:hint="default" w:ascii="Times New Roman" w:hAnsi="Times New Roman" w:eastAsia="仿宋_GB2312" w:cs="Times New Roman"/>
          <w:color w:val="auto"/>
          <w:sz w:val="32"/>
          <w:szCs w:val="32"/>
          <w:highlight w:val="none"/>
          <w:lang w:val="en-US" w:eastAsia="zh-CN"/>
        </w:rPr>
        <w:t>各种</w:t>
      </w:r>
      <w:r>
        <w:rPr>
          <w:rFonts w:hint="default" w:ascii="Times New Roman" w:hAnsi="Times New Roman" w:eastAsia="仿宋_GB2312" w:cs="Times New Roman"/>
          <w:color w:val="auto"/>
          <w:sz w:val="32"/>
          <w:szCs w:val="32"/>
          <w:highlight w:val="none"/>
        </w:rPr>
        <w:t>渠道获得的经费。支出预算按照经费开支范围确定的支出科目和不同经费来源分别编列，并对各项支出的主要用途和测算理由等进行说明。直接费用中除50万元以上设备费外，其他费用只提供基本测算说明，不需要提供明细。</w:t>
      </w:r>
    </w:p>
    <w:p w14:paraId="3E6D8BBA">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eastAsia" w:ascii="Times New Roman" w:hAnsi="Times New Roman" w:eastAsia="仿宋_GB2312" w:cs="Times New Roman"/>
          <w:b/>
          <w:bCs/>
          <w:color w:val="auto"/>
          <w:sz w:val="32"/>
          <w:szCs w:val="32"/>
          <w:highlight w:val="none"/>
          <w:lang w:val="en-US" w:eastAsia="zh-CN"/>
        </w:rPr>
        <w:t>五</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对单台/套价格在50万元以上的仪器设备，按照《关于印发广西壮族自治区本级新购大型科学仪器设备联合评议试行办法的通知》（桂财教〔2014〕112号）要求，通过新购大型科学仪器设备联合评议后才能编入预算。</w:t>
      </w:r>
    </w:p>
    <w:p w14:paraId="4627995D">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eastAsia" w:ascii="Times New Roman" w:hAnsi="Times New Roman" w:eastAsia="仿宋_GB2312" w:cs="Times New Roman"/>
          <w:b/>
          <w:bCs/>
          <w:color w:val="auto"/>
          <w:sz w:val="32"/>
          <w:szCs w:val="32"/>
          <w:highlight w:val="none"/>
          <w:lang w:val="en-US" w:eastAsia="zh-CN"/>
        </w:rPr>
        <w:t>六</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项目</w:t>
      </w:r>
      <w:r>
        <w:rPr>
          <w:rFonts w:hint="eastAsia" w:ascii="Times New Roman" w:hAnsi="Times New Roman" w:eastAsia="仿宋_GB2312" w:cs="Times New Roman"/>
          <w:color w:val="auto"/>
          <w:sz w:val="32"/>
          <w:szCs w:val="32"/>
          <w:highlight w:val="none"/>
          <w:lang w:val="en-US" w:eastAsia="zh-CN"/>
        </w:rPr>
        <w:t>管理机构</w:t>
      </w:r>
      <w:r>
        <w:rPr>
          <w:rFonts w:hint="default" w:ascii="Times New Roman" w:hAnsi="Times New Roman" w:eastAsia="仿宋_GB2312" w:cs="Times New Roman"/>
          <w:color w:val="auto"/>
          <w:sz w:val="32"/>
          <w:szCs w:val="32"/>
          <w:highlight w:val="none"/>
        </w:rPr>
        <w:t>按相关规定组织专家</w:t>
      </w:r>
      <w:r>
        <w:rPr>
          <w:rFonts w:hint="default" w:ascii="Times New Roman" w:hAnsi="Times New Roman" w:eastAsia="仿宋_GB2312" w:cs="Times New Roman"/>
          <w:color w:val="auto"/>
          <w:sz w:val="32"/>
          <w:szCs w:val="32"/>
          <w:highlight w:val="none"/>
          <w:lang w:val="en-US" w:eastAsia="zh-CN"/>
        </w:rPr>
        <w:t>在开展</w:t>
      </w:r>
      <w:r>
        <w:rPr>
          <w:rFonts w:hint="eastAsia"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lang w:val="en-US" w:eastAsia="zh-CN"/>
        </w:rPr>
        <w:t>评审时同步进行</w:t>
      </w:r>
      <w:r>
        <w:rPr>
          <w:rFonts w:hint="default" w:ascii="Times New Roman" w:hAnsi="Times New Roman" w:eastAsia="仿宋_GB2312" w:cs="Times New Roman"/>
          <w:color w:val="auto"/>
          <w:sz w:val="32"/>
          <w:szCs w:val="32"/>
          <w:highlight w:val="none"/>
        </w:rPr>
        <w:t>经费预算评审。</w:t>
      </w:r>
    </w:p>
    <w:p w14:paraId="1D99AB02">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预算评审应当按照规范的程序和要求，坚持独立、客观、公正、科学的原则，对项目申报预算的</w:t>
      </w:r>
      <w:r>
        <w:rPr>
          <w:rFonts w:hint="eastAsia" w:ascii="Times New Roman" w:hAnsi="Times New Roman" w:eastAsia="仿宋_GB2312" w:cs="Times New Roman"/>
          <w:color w:val="auto"/>
          <w:sz w:val="32"/>
          <w:szCs w:val="32"/>
          <w:highlight w:val="none"/>
          <w:lang w:val="en-US" w:eastAsia="zh-CN"/>
        </w:rPr>
        <w:t>目标相关性、</w:t>
      </w:r>
      <w:r>
        <w:rPr>
          <w:rFonts w:hint="default" w:ascii="Times New Roman" w:hAnsi="Times New Roman" w:eastAsia="仿宋_GB2312" w:cs="Times New Roman"/>
          <w:color w:val="auto"/>
          <w:sz w:val="32"/>
          <w:szCs w:val="32"/>
          <w:highlight w:val="none"/>
        </w:rPr>
        <w:t>政策相符性和经济合理性进行评审</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不得将预算编制细致程度作为评审预算的因素，</w:t>
      </w:r>
      <w:r>
        <w:rPr>
          <w:rFonts w:hint="default" w:ascii="Times New Roman" w:hAnsi="Times New Roman" w:eastAsia="仿宋_GB2312" w:cs="Times New Roman"/>
          <w:color w:val="auto"/>
          <w:sz w:val="32"/>
          <w:szCs w:val="32"/>
          <w:highlight w:val="none"/>
        </w:rPr>
        <w:t>不得简单按比例核减预算。</w:t>
      </w:r>
    </w:p>
    <w:p w14:paraId="2B19F0E4">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eastAsia" w:ascii="Times New Roman" w:hAnsi="Times New Roman" w:eastAsia="仿宋_GB2312" w:cs="Times New Roman"/>
          <w:b/>
          <w:bCs/>
          <w:color w:val="auto"/>
          <w:sz w:val="32"/>
          <w:szCs w:val="32"/>
          <w:highlight w:val="none"/>
          <w:lang w:val="en-US" w:eastAsia="zh-CN"/>
        </w:rPr>
        <w:t>七</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rPr>
        <w:t>科技厅</w:t>
      </w:r>
      <w:r>
        <w:rPr>
          <w:rFonts w:hint="default" w:ascii="Times New Roman" w:hAnsi="Times New Roman" w:eastAsia="仿宋_GB2312" w:cs="Times New Roman"/>
          <w:color w:val="auto"/>
          <w:sz w:val="32"/>
          <w:szCs w:val="32"/>
          <w:highlight w:val="none"/>
          <w:lang w:val="en-US" w:eastAsia="zh-CN"/>
        </w:rPr>
        <w:t>在</w:t>
      </w:r>
      <w:r>
        <w:rPr>
          <w:rFonts w:hint="default" w:ascii="Times New Roman" w:hAnsi="Times New Roman" w:eastAsia="仿宋_GB2312" w:cs="Times New Roman"/>
          <w:color w:val="auto"/>
          <w:sz w:val="32"/>
          <w:szCs w:val="32"/>
          <w:highlight w:val="none"/>
        </w:rPr>
        <w:t>评审意见</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val="en-US" w:eastAsia="zh-CN"/>
        </w:rPr>
        <w:t>基础上审核项目经费预算，</w:t>
      </w:r>
      <w:r>
        <w:rPr>
          <w:rFonts w:hint="default" w:ascii="Times New Roman" w:hAnsi="Times New Roman" w:eastAsia="仿宋_GB2312" w:cs="Times New Roman"/>
          <w:color w:val="auto"/>
          <w:sz w:val="32"/>
          <w:szCs w:val="32"/>
          <w:highlight w:val="none"/>
        </w:rPr>
        <w:t>编制</w:t>
      </w: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rPr>
        <w:t>预算建议</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送</w:t>
      </w:r>
      <w:r>
        <w:rPr>
          <w:rFonts w:hint="eastAsia"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rPr>
        <w:t>财政厅审核后纳入自治区本级部门预算管理。</w:t>
      </w:r>
    </w:p>
    <w:p w14:paraId="6A90D9C4">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eastAsia" w:ascii="Times New Roman" w:hAnsi="Times New Roman" w:eastAsia="仿宋_GB2312" w:cs="Times New Roman"/>
          <w:b/>
          <w:bCs/>
          <w:color w:val="auto"/>
          <w:sz w:val="32"/>
          <w:szCs w:val="32"/>
          <w:highlight w:val="none"/>
          <w:lang w:val="en-US" w:eastAsia="zh-CN"/>
        </w:rPr>
        <w:t>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
        </w:rPr>
        <w:t xml:space="preserve">  </w:t>
      </w:r>
      <w:r>
        <w:rPr>
          <w:rFonts w:hint="eastAsia"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rPr>
        <w:t>财政厅、</w:t>
      </w:r>
      <w:r>
        <w:rPr>
          <w:rFonts w:hint="eastAsia"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rPr>
        <w:t>科技厅可在部门预算批复前预拨</w:t>
      </w:r>
      <w:r>
        <w:rPr>
          <w:rFonts w:hint="eastAsia"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rPr>
        <w:t>经费。</w:t>
      </w:r>
      <w:r>
        <w:rPr>
          <w:rFonts w:hint="eastAsia"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rPr>
        <w:t>科技厅在项目任务书签订后</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日内将经费拨付至项目承担单位。对批准立项并分年度实施的项目，根据项目执行情况，将分年度项目经费列入年度预算下达。由多个单位承担的项目，牵头单位要依据项目任务书及时将</w:t>
      </w:r>
      <w:r>
        <w:rPr>
          <w:rFonts w:hint="eastAsia" w:ascii="Times New Roman" w:hAnsi="Times New Roman" w:eastAsia="仿宋_GB2312" w:cs="Times New Roman"/>
          <w:color w:val="auto"/>
          <w:sz w:val="32"/>
          <w:szCs w:val="32"/>
          <w:highlight w:val="none"/>
          <w:lang w:val="en-US" w:eastAsia="zh-CN"/>
        </w:rPr>
        <w:t>经费</w:t>
      </w:r>
      <w:r>
        <w:rPr>
          <w:rFonts w:hint="default" w:ascii="Times New Roman" w:hAnsi="Times New Roman" w:eastAsia="仿宋_GB2312" w:cs="Times New Roman"/>
          <w:color w:val="auto"/>
          <w:sz w:val="32"/>
          <w:szCs w:val="32"/>
          <w:highlight w:val="none"/>
        </w:rPr>
        <w:t>拨付至参与单位。项目参与单位不得再向外转拨</w:t>
      </w:r>
      <w:r>
        <w:rPr>
          <w:rFonts w:hint="eastAsia" w:ascii="Times New Roman" w:hAnsi="Times New Roman" w:eastAsia="仿宋_GB2312" w:cs="Times New Roman"/>
          <w:color w:val="auto"/>
          <w:sz w:val="32"/>
          <w:szCs w:val="32"/>
          <w:highlight w:val="none"/>
          <w:lang w:val="en-US" w:eastAsia="zh-CN"/>
        </w:rPr>
        <w:t>经费</w:t>
      </w:r>
      <w:r>
        <w:rPr>
          <w:rFonts w:hint="default" w:ascii="Times New Roman" w:hAnsi="Times New Roman" w:eastAsia="仿宋_GB2312" w:cs="Times New Roman"/>
          <w:color w:val="auto"/>
          <w:sz w:val="32"/>
          <w:szCs w:val="32"/>
          <w:highlight w:val="none"/>
        </w:rPr>
        <w:t>。</w:t>
      </w:r>
    </w:p>
    <w:p w14:paraId="3B21CE11">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章</w:t>
      </w:r>
      <w:r>
        <w:rPr>
          <w:rFonts w:hint="default" w:ascii="Times New Roman" w:hAnsi="Times New Roman" w:eastAsia="黑体" w:cs="Times New Roman"/>
          <w:color w:val="auto"/>
          <w:sz w:val="32"/>
          <w:szCs w:val="32"/>
          <w:highlight w:val="none"/>
          <w:lang w:val="en-US" w:eastAsia="zh-CN"/>
        </w:rPr>
        <w:t xml:space="preserve">  经费使用</w:t>
      </w:r>
      <w:r>
        <w:rPr>
          <w:rFonts w:hint="default" w:ascii="Times New Roman" w:hAnsi="Times New Roman" w:eastAsia="黑体" w:cs="Times New Roman"/>
          <w:color w:val="auto"/>
          <w:sz w:val="32"/>
          <w:szCs w:val="32"/>
          <w:highlight w:val="none"/>
        </w:rPr>
        <w:t>管理</w:t>
      </w:r>
    </w:p>
    <w:p w14:paraId="0DBEFF6F">
      <w:pPr>
        <w:pStyle w:val="2"/>
        <w:keepNext w:val="0"/>
        <w:keepLines w:val="0"/>
        <w:pageBreakBefore w:val="0"/>
        <w:widowControl w:val="0"/>
        <w:kinsoku/>
        <w:wordWrap/>
        <w:overflowPunct/>
        <w:topLinePunct w:val="0"/>
        <w:bidi w:val="0"/>
        <w:snapToGrid/>
        <w:spacing w:line="560" w:lineRule="exact"/>
        <w:textAlignment w:val="auto"/>
        <w:rPr>
          <w:rFonts w:hint="default"/>
        </w:rPr>
      </w:pPr>
    </w:p>
    <w:p w14:paraId="4EA4F0B1">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eastAsia" w:ascii="Times New Roman" w:hAnsi="Times New Roman" w:eastAsia="仿宋_GB2312" w:cs="Times New Roman"/>
          <w:b/>
          <w:bCs/>
          <w:color w:val="auto"/>
          <w:sz w:val="32"/>
          <w:szCs w:val="32"/>
          <w:highlight w:val="none"/>
          <w:lang w:val="en-US" w:eastAsia="zh-CN"/>
        </w:rPr>
        <w:t>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
        </w:rPr>
        <w:t xml:space="preserve">  </w:t>
      </w:r>
      <w:r>
        <w:rPr>
          <w:rFonts w:hint="eastAsia"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rPr>
        <w:t>科技厅与项目管理机构、项目承担单位签订项目任务书（含预算），项目任务书中项目经费预算作为项目预算执行、绩效考评和监督检查的主要依据。</w:t>
      </w:r>
    </w:p>
    <w:p w14:paraId="771B140A">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二十</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项目承担单位应正确行使项目经费管理使用自主权，加强项目经费绩效管理，将项目经费纳入单位财务统一管理，对项目经费实行专项管理，进行单独核算，确保</w:t>
      </w:r>
      <w:r>
        <w:rPr>
          <w:rFonts w:hint="eastAsia" w:ascii="Times New Roman" w:hAnsi="Times New Roman" w:eastAsia="仿宋_GB2312" w:cs="Times New Roman"/>
          <w:color w:val="auto"/>
          <w:sz w:val="32"/>
          <w:szCs w:val="32"/>
          <w:highlight w:val="none"/>
          <w:lang w:val="en-US" w:eastAsia="zh-CN"/>
        </w:rPr>
        <w:t>专款专用</w:t>
      </w:r>
      <w:r>
        <w:rPr>
          <w:rFonts w:hint="default" w:ascii="Times New Roman" w:hAnsi="Times New Roman" w:eastAsia="仿宋_GB2312" w:cs="Times New Roman"/>
          <w:color w:val="auto"/>
          <w:sz w:val="32"/>
          <w:szCs w:val="32"/>
          <w:highlight w:val="none"/>
        </w:rPr>
        <w:t>。</w:t>
      </w:r>
    </w:p>
    <w:p w14:paraId="53A5690E">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二十一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严格执行国家有关支出管理制度。科研院所、高等学校等事业单位承担项目所发生的差旅/会议/国际合作交流、材料和测试化验加工等支出，按财政部门相关规定实行</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公务卡</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结算或银行转账。项目承担单位应当制定相关</w:t>
      </w:r>
      <w:r>
        <w:rPr>
          <w:rFonts w:hint="eastAsia" w:ascii="Times New Roman" w:hAnsi="Times New Roman" w:eastAsia="仿宋_GB2312" w:cs="Times New Roman"/>
          <w:color w:val="auto"/>
          <w:sz w:val="32"/>
          <w:szCs w:val="32"/>
          <w:highlight w:val="none"/>
          <w:lang w:val="en-US" w:eastAsia="zh-CN"/>
        </w:rPr>
        <w:t>制度</w:t>
      </w:r>
      <w:r>
        <w:rPr>
          <w:rFonts w:hint="default" w:ascii="Times New Roman" w:hAnsi="Times New Roman" w:eastAsia="仿宋_GB2312" w:cs="Times New Roman"/>
          <w:color w:val="auto"/>
          <w:sz w:val="32"/>
          <w:szCs w:val="32"/>
          <w:highlight w:val="none"/>
        </w:rPr>
        <w:t>，明确不具备刷卡条件情形下的财务审批程序和报销手续，从严控制现金支出事项，减少现金提取和使用。</w:t>
      </w:r>
    </w:p>
    <w:p w14:paraId="228457D5">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第二十</w:t>
      </w:r>
      <w:r>
        <w:rPr>
          <w:rFonts w:hint="eastAsia" w:ascii="Times New Roman" w:hAnsi="Times New Roman" w:eastAsia="仿宋_GB2312" w:cs="Times New Roman"/>
          <w:b/>
          <w:bCs/>
          <w:color w:val="auto"/>
          <w:sz w:val="32"/>
          <w:szCs w:val="32"/>
          <w:highlight w:val="none"/>
          <w:lang w:val="en-US"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项目承担单位、项目负责人等在项目经费申请和使用管理中</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不得</w:t>
      </w:r>
      <w:r>
        <w:rPr>
          <w:rFonts w:hint="default" w:ascii="Times New Roman" w:hAnsi="Times New Roman" w:eastAsia="仿宋_GB2312" w:cs="Times New Roman"/>
          <w:color w:val="auto"/>
          <w:sz w:val="32"/>
          <w:szCs w:val="32"/>
          <w:highlight w:val="none"/>
        </w:rPr>
        <w:t>存在以下行为</w:t>
      </w:r>
      <w:r>
        <w:rPr>
          <w:rFonts w:hint="eastAsia" w:ascii="Times New Roman" w:hAnsi="Times New Roman" w:eastAsia="仿宋_GB2312" w:cs="Times New Roman"/>
          <w:color w:val="auto"/>
          <w:sz w:val="32"/>
          <w:szCs w:val="32"/>
          <w:highlight w:val="none"/>
          <w:lang w:eastAsia="zh-CN"/>
        </w:rPr>
        <w:t>：</w:t>
      </w:r>
    </w:p>
    <w:p w14:paraId="21520C57">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（一）编报虚假预算等项目材料；</w:t>
      </w:r>
    </w:p>
    <w:p w14:paraId="5607ED1C">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（二）未对</w:t>
      </w: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rPr>
        <w:t>进行单独核算；</w:t>
      </w:r>
    </w:p>
    <w:p w14:paraId="00E8F05E">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（三）列支与本项目任务无关的支出；</w:t>
      </w:r>
    </w:p>
    <w:p w14:paraId="1F06295D">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（四）未按规定执行和调剂预算、违反规定转拨</w:t>
      </w:r>
      <w:r>
        <w:rPr>
          <w:rFonts w:hint="default" w:ascii="Times New Roman" w:hAnsi="Times New Roman" w:eastAsia="仿宋_GB2312" w:cs="Times New Roman"/>
          <w:color w:val="auto"/>
          <w:sz w:val="32"/>
          <w:szCs w:val="32"/>
          <w:highlight w:val="none"/>
          <w:lang w:val="en-US" w:eastAsia="zh-CN"/>
        </w:rPr>
        <w:t>项目经费</w:t>
      </w:r>
      <w:r>
        <w:rPr>
          <w:rFonts w:hint="default" w:ascii="Times New Roman" w:hAnsi="Times New Roman" w:eastAsia="仿宋_GB2312" w:cs="Times New Roman"/>
          <w:color w:val="auto"/>
          <w:sz w:val="32"/>
          <w:szCs w:val="32"/>
          <w:highlight w:val="none"/>
        </w:rPr>
        <w:t>；</w:t>
      </w:r>
    </w:p>
    <w:p w14:paraId="36D19D59">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（五）虚假承诺其他来源资金；</w:t>
      </w:r>
    </w:p>
    <w:p w14:paraId="65BC2021">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（六）通过虚假合同、虚假票据、虚构事项、虚报人员等弄虚作假，转移、套取、报销</w:t>
      </w:r>
      <w:r>
        <w:rPr>
          <w:rFonts w:hint="default" w:ascii="Times New Roman" w:hAnsi="Times New Roman" w:eastAsia="仿宋_GB2312" w:cs="Times New Roman"/>
          <w:color w:val="auto"/>
          <w:sz w:val="32"/>
          <w:szCs w:val="32"/>
          <w:highlight w:val="none"/>
          <w:lang w:val="en-US" w:eastAsia="zh-CN"/>
        </w:rPr>
        <w:t>项目经费</w:t>
      </w:r>
      <w:r>
        <w:rPr>
          <w:rFonts w:hint="default" w:ascii="Times New Roman" w:hAnsi="Times New Roman" w:eastAsia="仿宋_GB2312" w:cs="Times New Roman"/>
          <w:color w:val="auto"/>
          <w:sz w:val="32"/>
          <w:szCs w:val="32"/>
          <w:highlight w:val="none"/>
        </w:rPr>
        <w:t>；</w:t>
      </w:r>
    </w:p>
    <w:p w14:paraId="49A9FABD">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（七）截留、挤占、挪用</w:t>
      </w:r>
      <w:r>
        <w:rPr>
          <w:rFonts w:hint="default" w:ascii="Times New Roman" w:hAnsi="Times New Roman" w:eastAsia="仿宋_GB2312" w:cs="Times New Roman"/>
          <w:color w:val="auto"/>
          <w:sz w:val="32"/>
          <w:szCs w:val="32"/>
          <w:highlight w:val="none"/>
          <w:lang w:val="en-US" w:eastAsia="zh-CN"/>
        </w:rPr>
        <w:t>项目经费</w:t>
      </w:r>
      <w:r>
        <w:rPr>
          <w:rFonts w:hint="default" w:ascii="Times New Roman" w:hAnsi="Times New Roman" w:eastAsia="仿宋_GB2312" w:cs="Times New Roman"/>
          <w:color w:val="auto"/>
          <w:sz w:val="32"/>
          <w:szCs w:val="32"/>
          <w:highlight w:val="none"/>
        </w:rPr>
        <w:t>；</w:t>
      </w:r>
    </w:p>
    <w:p w14:paraId="3C26C9DC">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（八）设置账外账、随意调账变动支出、随意修改记账凭证、提供虚假财务会计资料等；</w:t>
      </w:r>
    </w:p>
    <w:p w14:paraId="74168077">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（九）使用项目</w:t>
      </w:r>
      <w:r>
        <w:rPr>
          <w:rFonts w:hint="default" w:ascii="Times New Roman" w:hAnsi="Times New Roman" w:eastAsia="仿宋_GB2312" w:cs="Times New Roman"/>
          <w:color w:val="auto"/>
          <w:sz w:val="32"/>
          <w:szCs w:val="32"/>
          <w:highlight w:val="none"/>
          <w:lang w:val="en-US" w:eastAsia="zh-CN"/>
        </w:rPr>
        <w:t>经费</w:t>
      </w:r>
      <w:r>
        <w:rPr>
          <w:rFonts w:hint="default" w:ascii="Times New Roman" w:hAnsi="Times New Roman" w:eastAsia="仿宋_GB2312" w:cs="Times New Roman"/>
          <w:color w:val="auto"/>
          <w:sz w:val="32"/>
          <w:szCs w:val="32"/>
          <w:highlight w:val="none"/>
        </w:rPr>
        <w:t>列支应当由个人负担的有关费用和支付各种罚款、捐款、赞助、投资、偿还债务等；</w:t>
      </w:r>
    </w:p>
    <w:p w14:paraId="130E0DD8">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（十）其他违反国家财经纪律的行为。</w:t>
      </w:r>
    </w:p>
    <w:p w14:paraId="5752C3FA">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二十三</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对实施</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里程碑</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式管理的项目，按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里程碑</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关键考核节点组织中期评估，中期</w:t>
      </w:r>
      <w:r>
        <w:rPr>
          <w:rFonts w:hint="eastAsia" w:ascii="Times New Roman" w:hAnsi="Times New Roman" w:eastAsia="仿宋_GB2312" w:cs="Times New Roman"/>
          <w:color w:val="auto"/>
          <w:sz w:val="32"/>
          <w:szCs w:val="32"/>
          <w:highlight w:val="none"/>
          <w:lang w:val="en-US" w:eastAsia="zh-CN"/>
        </w:rPr>
        <w:t>评估</w:t>
      </w:r>
      <w:r>
        <w:rPr>
          <w:rFonts w:hint="default" w:ascii="Times New Roman" w:hAnsi="Times New Roman" w:eastAsia="仿宋_GB2312" w:cs="Times New Roman"/>
          <w:color w:val="auto"/>
          <w:sz w:val="32"/>
          <w:szCs w:val="32"/>
          <w:highlight w:val="none"/>
        </w:rPr>
        <w:t>结果作为项目后续经费拨付依据。对未通过中期</w:t>
      </w:r>
      <w:r>
        <w:rPr>
          <w:rFonts w:hint="eastAsia" w:ascii="Times New Roman" w:hAnsi="Times New Roman" w:eastAsia="仿宋_GB2312" w:cs="Times New Roman"/>
          <w:color w:val="auto"/>
          <w:sz w:val="32"/>
          <w:szCs w:val="32"/>
          <w:highlight w:val="none"/>
          <w:lang w:val="en-US" w:eastAsia="zh-CN"/>
        </w:rPr>
        <w:t>评估</w:t>
      </w:r>
      <w:r>
        <w:rPr>
          <w:rFonts w:hint="default" w:ascii="Times New Roman" w:hAnsi="Times New Roman" w:eastAsia="仿宋_GB2312" w:cs="Times New Roman"/>
          <w:color w:val="auto"/>
          <w:sz w:val="32"/>
          <w:szCs w:val="32"/>
          <w:highlight w:val="none"/>
        </w:rPr>
        <w:t>的项目，暂停拨付后续项目经费，由项目承担单位在</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个月内整改到位后再拨付。若整改后仍不符合要求的，停止拨付项目后续经费。</w:t>
      </w:r>
    </w:p>
    <w:p w14:paraId="4F22EC19">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二十四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项目经费预算确有必要调剂时，项目负责人可在项目总预算范围内，根据科研活动实际需要自主调剂</w:t>
      </w:r>
      <w:r>
        <w:rPr>
          <w:rFonts w:hint="default" w:ascii="Times New Roman" w:hAnsi="Times New Roman" w:eastAsia="仿宋_GB2312" w:cs="Times New Roman"/>
          <w:color w:val="auto"/>
          <w:sz w:val="32"/>
          <w:szCs w:val="32"/>
          <w:highlight w:val="none"/>
          <w:lang w:val="en-US" w:eastAsia="zh-CN"/>
        </w:rPr>
        <w:t>除设备费外的</w:t>
      </w:r>
      <w:r>
        <w:rPr>
          <w:rFonts w:hint="default" w:ascii="Times New Roman" w:hAnsi="Times New Roman" w:eastAsia="仿宋_GB2312" w:cs="Times New Roman"/>
          <w:color w:val="auto"/>
          <w:sz w:val="32"/>
          <w:szCs w:val="32"/>
          <w:highlight w:val="none"/>
        </w:rPr>
        <w:t>直接费用。对设备费预算调剂的，由项目负责人提出申请，所在单位统筹考虑现有设备配置情况和科研项目实际需求，及时办理审批手续</w:t>
      </w:r>
      <w:r>
        <w:rPr>
          <w:rFonts w:hint="eastAsia" w:ascii="Times New Roman" w:hAnsi="Times New Roman" w:eastAsia="仿宋_GB2312" w:cs="Times New Roman"/>
          <w:color w:val="auto"/>
          <w:sz w:val="32"/>
          <w:szCs w:val="32"/>
          <w:highlight w:val="none"/>
          <w:lang w:eastAsia="zh-CN"/>
        </w:rPr>
        <w:t>。间接费用预算调剂不得</w:t>
      </w:r>
      <w:r>
        <w:rPr>
          <w:rFonts w:hint="eastAsia" w:ascii="Times New Roman" w:hAnsi="Times New Roman" w:eastAsia="仿宋_GB2312" w:cs="Times New Roman"/>
          <w:color w:val="auto"/>
          <w:sz w:val="32"/>
          <w:szCs w:val="32"/>
          <w:highlight w:val="none"/>
          <w:lang w:val="en-US" w:eastAsia="zh-CN"/>
        </w:rPr>
        <w:t>调增，可调减用于直接费用</w:t>
      </w:r>
      <w:r>
        <w:rPr>
          <w:rFonts w:hint="eastAsia" w:ascii="Times New Roman" w:hAnsi="Times New Roman" w:eastAsia="仿宋_GB2312" w:cs="Times New Roman"/>
          <w:color w:val="auto"/>
          <w:sz w:val="32"/>
          <w:szCs w:val="32"/>
          <w:highlight w:val="none"/>
          <w:lang w:eastAsia="zh-CN"/>
        </w:rPr>
        <w:t>。</w:t>
      </w:r>
    </w:p>
    <w:p w14:paraId="713FCC5C">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二十五</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项目执行期满后，项目承担单位应当及时清理账目与资产，并如实编制项目经费决算</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项目第一承担单位汇总各项目承担单位决算并编制项目经费决算报表。</w:t>
      </w:r>
    </w:p>
    <w:p w14:paraId="2A085E0F">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二十六</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
        </w:rPr>
        <w:t xml:space="preserve">  </w:t>
      </w:r>
      <w:r>
        <w:rPr>
          <w:rFonts w:hint="eastAsia" w:ascii="Times New Roman" w:hAnsi="Times New Roman" w:eastAsia="仿宋_GB2312" w:cs="Times New Roman"/>
          <w:color w:val="auto"/>
          <w:sz w:val="32"/>
          <w:szCs w:val="32"/>
          <w:highlight w:val="none"/>
          <w:lang w:val="en-US" w:eastAsia="zh-CN"/>
        </w:rPr>
        <w:t>实行经费包干制的项目，</w:t>
      </w:r>
      <w:r>
        <w:rPr>
          <w:rFonts w:hint="default" w:ascii="Times New Roman" w:hAnsi="Times New Roman" w:eastAsia="仿宋_GB2312" w:cs="Times New Roman"/>
          <w:color w:val="auto"/>
          <w:sz w:val="32"/>
          <w:szCs w:val="32"/>
          <w:highlight w:val="none"/>
        </w:rPr>
        <w:t>项目负责人在本办法规定的经费支出范围内，在承诺遵守科研伦理道德和作风学风诚信要求、经费全部用于与本项目研究工作相关支出的基础上，自主决定经费使用。项目执行期满后，项目负责人应当编制项目经费决算，并按规定开展项目验收。</w:t>
      </w:r>
    </w:p>
    <w:p w14:paraId="2E19A33A">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二十七</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项目经费中财政经费结转、结余资金，视不同情况执行：</w:t>
      </w:r>
    </w:p>
    <w:p w14:paraId="5587B594">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项目实施期间，年度剩余经费可结转下一年度按规定继续使用</w:t>
      </w:r>
      <w:r>
        <w:rPr>
          <w:rFonts w:hint="eastAsia" w:ascii="Times New Roman" w:hAnsi="Times New Roman" w:eastAsia="仿宋_GB2312" w:cs="Times New Roman"/>
          <w:color w:val="auto"/>
          <w:sz w:val="32"/>
          <w:szCs w:val="32"/>
          <w:highlight w:val="none"/>
          <w:lang w:eastAsia="zh-CN"/>
        </w:rPr>
        <w:t>；</w:t>
      </w:r>
    </w:p>
    <w:p w14:paraId="4193EB0B">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eastAsia="zh-CN"/>
        </w:rPr>
        <w:t>）对验收时结余资金比例超过20%（含）或金额超过30万元（含）的项目，项目负责人应作出情况说明，经所在单位审核同意后，与项目资金结算表一同作为验收材料</w:t>
      </w:r>
      <w:r>
        <w:rPr>
          <w:rFonts w:hint="eastAsia" w:ascii="Times New Roman" w:hAnsi="Times New Roman" w:eastAsia="仿宋_GB2312" w:cs="Times New Roman"/>
          <w:color w:val="auto"/>
          <w:sz w:val="32"/>
          <w:szCs w:val="32"/>
          <w:highlight w:val="none"/>
          <w:lang w:eastAsia="zh-CN"/>
        </w:rPr>
        <w:t>；</w:t>
      </w:r>
    </w:p>
    <w:p w14:paraId="5C715E8C">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eastAsia="zh-CN"/>
        </w:rPr>
        <w:t>）项目通过验收的，项目承担单位和项目负责人无不良科研诚信记录的，结余资金留归项目承担单位使用，统筹用于科研仪器设备更新、项目实施过程中发生的业务费、劳务费等科研活动直接支出</w:t>
      </w:r>
      <w:r>
        <w:rPr>
          <w:rFonts w:hint="eastAsia" w:ascii="Times New Roman" w:hAnsi="Times New Roman" w:eastAsia="仿宋_GB2312" w:cs="Times New Roman"/>
          <w:color w:val="auto"/>
          <w:sz w:val="32"/>
          <w:szCs w:val="32"/>
          <w:highlight w:val="none"/>
          <w:lang w:eastAsia="zh-CN"/>
        </w:rPr>
        <w:t>；</w:t>
      </w:r>
    </w:p>
    <w:p w14:paraId="45219D05">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项目终止的，项目承担单位应当及时清理账目与资产，编制财务报告及资产清单，由项目牵头单位（或受委托管理单位）审核汇总后报送</w:t>
      </w:r>
      <w:r>
        <w:rPr>
          <w:rFonts w:hint="eastAsia"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rPr>
        <w:t>科技厅进行清查处理，结余经费按原渠道退回</w:t>
      </w:r>
      <w:r>
        <w:rPr>
          <w:rFonts w:hint="eastAsia" w:ascii="Times New Roman" w:hAnsi="Times New Roman" w:eastAsia="仿宋_GB2312" w:cs="Times New Roman"/>
          <w:color w:val="auto"/>
          <w:sz w:val="32"/>
          <w:szCs w:val="32"/>
          <w:highlight w:val="none"/>
          <w:lang w:eastAsia="zh-CN"/>
        </w:rPr>
        <w:t>；</w:t>
      </w:r>
    </w:p>
    <w:p w14:paraId="180410EC">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项目被撤销的，全部项目经费按原渠道退回。</w:t>
      </w:r>
    </w:p>
    <w:p w14:paraId="3BC03357">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上述应收回经费</w:t>
      </w:r>
      <w:r>
        <w:rPr>
          <w:rFonts w:hint="default" w:ascii="Times New Roman" w:hAnsi="Times New Roman" w:eastAsia="仿宋_GB2312" w:cs="Times New Roman"/>
          <w:color w:val="auto"/>
          <w:sz w:val="32"/>
          <w:szCs w:val="32"/>
          <w:highlight w:val="none"/>
          <w:lang w:val="en-US" w:eastAsia="zh-CN"/>
        </w:rPr>
        <w:t>应当</w:t>
      </w:r>
      <w:r>
        <w:rPr>
          <w:rFonts w:hint="default" w:ascii="Times New Roman" w:hAnsi="Times New Roman" w:eastAsia="仿宋_GB2312" w:cs="Times New Roman"/>
          <w:color w:val="auto"/>
          <w:sz w:val="32"/>
          <w:szCs w:val="32"/>
          <w:highlight w:val="none"/>
        </w:rPr>
        <w:t>按要求的时限交回，否则，将限制相关项目承担单位</w:t>
      </w:r>
      <w:r>
        <w:rPr>
          <w:rFonts w:hint="default"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rPr>
        <w:t>科技计划项目申报资格。</w:t>
      </w:r>
      <w:r>
        <w:rPr>
          <w:rFonts w:hint="default" w:ascii="Times New Roman" w:hAnsi="Times New Roman" w:eastAsia="仿宋_GB2312" w:cs="Times New Roman"/>
          <w:color w:val="auto"/>
          <w:sz w:val="32"/>
          <w:szCs w:val="32"/>
          <w:highlight w:val="none"/>
          <w:lang w:val="en-US" w:eastAsia="zh-CN"/>
        </w:rPr>
        <w:t>项目承担单位应</w:t>
      </w:r>
      <w:r>
        <w:rPr>
          <w:rFonts w:hint="eastAsia" w:ascii="Times New Roman" w:hAnsi="Times New Roman" w:eastAsia="仿宋_GB2312" w:cs="Times New Roman"/>
          <w:color w:val="auto"/>
          <w:sz w:val="32"/>
          <w:szCs w:val="32"/>
          <w:highlight w:val="none"/>
          <w:lang w:val="en-US" w:eastAsia="zh-CN"/>
        </w:rPr>
        <w:t>于</w:t>
      </w:r>
      <w:r>
        <w:rPr>
          <w:rFonts w:hint="default" w:ascii="Times New Roman" w:hAnsi="Times New Roman" w:eastAsia="仿宋_GB2312" w:cs="Times New Roman"/>
          <w:color w:val="auto"/>
          <w:sz w:val="32"/>
          <w:szCs w:val="32"/>
          <w:highlight w:val="none"/>
        </w:rPr>
        <w:t>每年8月1日前将验收后两年内（自验收通过次年的1月1日起计算）仍未使用完毕的结余资金情况报自治区科技厅备案。</w:t>
      </w:r>
    </w:p>
    <w:p w14:paraId="616681A8">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项目承担单位应加强结余经费管理，建立健全结余经费盘活机制，加快结余经费使用进度，</w:t>
      </w:r>
      <w:r>
        <w:rPr>
          <w:rFonts w:hint="default" w:ascii="Times New Roman" w:hAnsi="Times New Roman" w:eastAsia="仿宋_GB2312" w:cs="Times New Roman"/>
          <w:color w:val="auto"/>
          <w:sz w:val="32"/>
          <w:szCs w:val="32"/>
          <w:highlight w:val="none"/>
        </w:rPr>
        <w:t>不得使结余资金长期结余或沉淀。对于不需继续使用的结余资金，应及时主动按原渠道退回并报自治区科技厅备案。</w:t>
      </w:r>
    </w:p>
    <w:p w14:paraId="22A3BFC5">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第二十</w:t>
      </w:r>
      <w:r>
        <w:rPr>
          <w:rFonts w:hint="eastAsia" w:ascii="Times New Roman" w:hAnsi="Times New Roman" w:eastAsia="仿宋_GB2312" w:cs="Times New Roman"/>
          <w:b/>
          <w:bCs/>
          <w:color w:val="auto"/>
          <w:sz w:val="32"/>
          <w:szCs w:val="32"/>
          <w:highlight w:val="none"/>
          <w:lang w:val="en-US" w:eastAsia="zh-CN"/>
        </w:rPr>
        <w:t>八</w:t>
      </w:r>
      <w:r>
        <w:rPr>
          <w:rFonts w:hint="default" w:ascii="Times New Roman" w:hAnsi="Times New Roman" w:eastAsia="仿宋_GB2312" w:cs="Times New Roman"/>
          <w:b/>
          <w:bCs/>
          <w:color w:val="auto"/>
          <w:sz w:val="32"/>
          <w:szCs w:val="32"/>
          <w:highlight w:val="none"/>
          <w:lang w:val="en-US" w:eastAsia="zh-CN"/>
        </w:rPr>
        <w:t>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项目实施过程中，行政</w:t>
      </w:r>
      <w:r>
        <w:rPr>
          <w:rFonts w:hint="default"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rPr>
        <w:t>事业单位使用自治区财政经费形成的固定资产属于国有资产，一般由项目承担单位进行管理和使用，自治区有权调配用于相关科学研究。企业使用自治区财政经费形成的固定资产，按照《企业财务通则》等相关规章制度执行。</w:t>
      </w:r>
    </w:p>
    <w:p w14:paraId="51AEF710">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使用</w:t>
      </w:r>
      <w:r>
        <w:rPr>
          <w:rFonts w:hint="default" w:ascii="Times New Roman" w:hAnsi="Times New Roman" w:eastAsia="仿宋_GB2312" w:cs="Times New Roman"/>
          <w:color w:val="auto"/>
          <w:sz w:val="32"/>
          <w:szCs w:val="32"/>
          <w:highlight w:val="none"/>
        </w:rPr>
        <w:t>自治区财政经费形成的知识产权等无形资产的管理，按照国家和自治区有关规定执行。</w:t>
      </w:r>
    </w:p>
    <w:p w14:paraId="34EF0BCC">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使用</w:t>
      </w:r>
      <w:r>
        <w:rPr>
          <w:rFonts w:hint="default" w:ascii="Times New Roman" w:hAnsi="Times New Roman" w:eastAsia="仿宋_GB2312" w:cs="Times New Roman"/>
          <w:color w:val="auto"/>
          <w:sz w:val="32"/>
          <w:szCs w:val="32"/>
          <w:highlight w:val="none"/>
        </w:rPr>
        <w:t>自治区财政经费形成的大型科学仪器设备、科学数据、自然科技资源等，按照有关规定开放共享。</w:t>
      </w:r>
    </w:p>
    <w:p w14:paraId="74ED46CE">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rPr>
      </w:pPr>
    </w:p>
    <w:p w14:paraId="5C6DF2E2">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第六章</w:t>
      </w:r>
      <w:r>
        <w:rPr>
          <w:rFonts w:hint="default" w:ascii="Times New Roman" w:hAnsi="Times New Roman" w:eastAsia="黑体" w:cs="Times New Roman"/>
          <w:color w:val="auto"/>
          <w:sz w:val="32"/>
          <w:szCs w:val="32"/>
          <w:highlight w:val="none"/>
          <w:lang w:val="en-US" w:eastAsia="zh-CN"/>
        </w:rPr>
        <w:t xml:space="preserve">  绩效管理和</w:t>
      </w:r>
      <w:r>
        <w:rPr>
          <w:rFonts w:hint="default" w:ascii="Times New Roman" w:hAnsi="Times New Roman" w:eastAsia="黑体" w:cs="Times New Roman"/>
          <w:color w:val="auto"/>
          <w:sz w:val="32"/>
          <w:szCs w:val="32"/>
          <w:highlight w:val="none"/>
        </w:rPr>
        <w:t>监督检查</w:t>
      </w:r>
    </w:p>
    <w:p w14:paraId="61CDE843">
      <w:pPr>
        <w:pStyle w:val="2"/>
        <w:keepNext w:val="0"/>
        <w:keepLines w:val="0"/>
        <w:pageBreakBefore w:val="0"/>
        <w:widowControl w:val="0"/>
        <w:kinsoku/>
        <w:wordWrap/>
        <w:overflowPunct/>
        <w:topLinePunct w:val="0"/>
        <w:bidi w:val="0"/>
        <w:snapToGrid/>
        <w:spacing w:line="560" w:lineRule="exact"/>
        <w:textAlignment w:val="auto"/>
        <w:rPr>
          <w:rFonts w:hint="default"/>
        </w:rPr>
      </w:pPr>
    </w:p>
    <w:p w14:paraId="543FD2EE">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第二十</w:t>
      </w:r>
      <w:r>
        <w:rPr>
          <w:rFonts w:hint="eastAsia" w:ascii="Times New Roman" w:hAnsi="Times New Roman" w:eastAsia="仿宋_GB2312" w:cs="Times New Roman"/>
          <w:b/>
          <w:bCs/>
          <w:color w:val="auto"/>
          <w:sz w:val="32"/>
          <w:szCs w:val="32"/>
          <w:highlight w:val="none"/>
          <w:lang w:val="en-US" w:eastAsia="zh-CN"/>
        </w:rPr>
        <w:t>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rPr>
        <w:t>财政厅、</w:t>
      </w:r>
      <w:r>
        <w:rPr>
          <w:rFonts w:hint="eastAsia"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rPr>
        <w:t>科技厅</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项目管理机构和项目承担单位应当</w:t>
      </w:r>
      <w:r>
        <w:rPr>
          <w:rFonts w:hint="default" w:ascii="Times New Roman" w:hAnsi="Times New Roman" w:eastAsia="仿宋_GB2312" w:cs="Times New Roman"/>
          <w:color w:val="auto"/>
          <w:sz w:val="32"/>
          <w:szCs w:val="32"/>
          <w:highlight w:val="none"/>
        </w:rPr>
        <w:t>根据职责和分工，建立覆盖经费管理使用全过程的经费监督机制，加强财会监督、预算绩效管理、日常监督与审计监督的贯通协调，增强监督合力，加强信息共享</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提高监督检查效率</w:t>
      </w:r>
      <w:r>
        <w:rPr>
          <w:rFonts w:hint="default" w:ascii="Times New Roman" w:hAnsi="Times New Roman" w:eastAsia="仿宋_GB2312" w:cs="Times New Roman"/>
          <w:color w:val="auto"/>
          <w:sz w:val="32"/>
          <w:szCs w:val="32"/>
          <w:highlight w:val="none"/>
        </w:rPr>
        <w:t>。</w:t>
      </w:r>
    </w:p>
    <w:p w14:paraId="40B540EC">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rPr>
        <w:t>十条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项目承担单位</w:t>
      </w:r>
      <w:r>
        <w:rPr>
          <w:rFonts w:hint="eastAsia" w:ascii="Times New Roman" w:hAnsi="Times New Roman" w:eastAsia="仿宋_GB2312" w:cs="Times New Roman"/>
          <w:color w:val="auto"/>
          <w:sz w:val="32"/>
          <w:szCs w:val="32"/>
          <w:highlight w:val="none"/>
          <w:lang w:val="en-US" w:eastAsia="zh-CN"/>
        </w:rPr>
        <w:t>应当</w:t>
      </w:r>
      <w:r>
        <w:rPr>
          <w:rFonts w:hint="default" w:ascii="Times New Roman" w:hAnsi="Times New Roman" w:eastAsia="仿宋_GB2312" w:cs="Times New Roman"/>
          <w:color w:val="auto"/>
          <w:sz w:val="32"/>
          <w:szCs w:val="32"/>
          <w:highlight w:val="none"/>
        </w:rPr>
        <w:t>按照本办法以及国家、自治区财政财务管理的相关规定，切实履行项目经费管理法人主体责任，完善监督制约机制，动态监管</w:t>
      </w:r>
      <w:r>
        <w:rPr>
          <w:rFonts w:hint="eastAsia" w:ascii="Times New Roman" w:hAnsi="Times New Roman" w:eastAsia="仿宋_GB2312" w:cs="Times New Roman"/>
          <w:color w:val="auto"/>
          <w:sz w:val="32"/>
          <w:szCs w:val="32"/>
          <w:highlight w:val="none"/>
          <w:lang w:val="en-US" w:eastAsia="zh-CN"/>
        </w:rPr>
        <w:t>经费</w:t>
      </w:r>
      <w:r>
        <w:rPr>
          <w:rFonts w:hint="default" w:ascii="Times New Roman" w:hAnsi="Times New Roman" w:eastAsia="仿宋_GB2312" w:cs="Times New Roman"/>
          <w:color w:val="auto"/>
          <w:sz w:val="32"/>
          <w:szCs w:val="32"/>
          <w:highlight w:val="none"/>
        </w:rPr>
        <w:t>使用并实时预警提醒，加强支撑服务条件建设，提高对科研人员的服务水平，建立常态化的自查自纠机制，确保项目经费安全。</w:t>
      </w:r>
    </w:p>
    <w:p w14:paraId="7D6C3743">
      <w:pPr>
        <w:keepNext w:val="0"/>
        <w:keepLines w:val="0"/>
        <w:pageBreakBefore w:val="0"/>
        <w:widowControl w:val="0"/>
        <w:shd w:val="clear" w:color="auto" w:fill="auto"/>
        <w:kinsoku/>
        <w:wordWrap/>
        <w:overflowPunct/>
        <w:topLinePunct w:val="0"/>
        <w:autoSpaceDE/>
        <w:autoSpaceDN/>
        <w:bidi w:val="0"/>
        <w:snapToGrid/>
        <w:spacing w:line="560" w:lineRule="exact"/>
        <w:ind w:firstLine="643" w:firstLineChars="200"/>
        <w:textAlignment w:val="auto"/>
        <w:rPr>
          <w:rFonts w:hint="eastAsia" w:ascii="仿宋" w:hAnsi="仿宋" w:eastAsia="仿宋" w:cs="仿宋"/>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rPr>
        <w:t>十</w:t>
      </w:r>
      <w:r>
        <w:rPr>
          <w:rFonts w:hint="eastAsia" w:ascii="Times New Roman" w:hAnsi="Times New Roman" w:eastAsia="仿宋_GB2312" w:cs="Times New Roman"/>
          <w:b/>
          <w:bCs/>
          <w:color w:val="auto"/>
          <w:sz w:val="32"/>
          <w:szCs w:val="32"/>
          <w:highlight w:val="none"/>
          <w:lang w:val="en-US" w:eastAsia="zh-CN"/>
        </w:rPr>
        <w:t>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
        </w:rPr>
        <w:t xml:space="preserve">  </w:t>
      </w:r>
      <w:r>
        <w:rPr>
          <w:rFonts w:hint="eastAsia" w:ascii="仿宋" w:hAnsi="仿宋" w:eastAsia="仿宋" w:cs="仿宋"/>
          <w:color w:val="auto"/>
          <w:sz w:val="32"/>
          <w:szCs w:val="32"/>
          <w:highlight w:val="none"/>
        </w:rPr>
        <w:t>项目承担单位、项目负责人等出现第</w:t>
      </w:r>
      <w:r>
        <w:rPr>
          <w:rFonts w:hint="eastAsia" w:ascii="仿宋" w:hAnsi="仿宋" w:eastAsia="仿宋" w:cs="仿宋"/>
          <w:color w:val="auto"/>
          <w:sz w:val="32"/>
          <w:szCs w:val="32"/>
          <w:highlight w:val="none"/>
          <w:lang w:val="en-US" w:eastAsia="zh-CN"/>
        </w:rPr>
        <w:t>二十二</w:t>
      </w:r>
      <w:r>
        <w:rPr>
          <w:rFonts w:hint="eastAsia" w:ascii="仿宋" w:hAnsi="仿宋" w:eastAsia="仿宋" w:cs="仿宋"/>
          <w:color w:val="auto"/>
          <w:sz w:val="32"/>
          <w:szCs w:val="32"/>
          <w:highlight w:val="none"/>
        </w:rPr>
        <w:t>条有关情形的，</w:t>
      </w:r>
      <w:r>
        <w:rPr>
          <w:rFonts w:hint="eastAsia" w:ascii="仿宋" w:hAnsi="仿宋" w:eastAsia="仿宋" w:cs="仿宋"/>
          <w:color w:val="auto"/>
          <w:sz w:val="32"/>
          <w:szCs w:val="32"/>
          <w:highlight w:val="none"/>
          <w:lang w:val="en-US" w:eastAsia="zh-CN"/>
        </w:rPr>
        <w:t>自治区</w:t>
      </w:r>
      <w:r>
        <w:rPr>
          <w:rFonts w:hint="eastAsia" w:ascii="仿宋" w:hAnsi="仿宋" w:eastAsia="仿宋" w:cs="仿宋"/>
          <w:color w:val="auto"/>
          <w:sz w:val="32"/>
          <w:szCs w:val="32"/>
          <w:highlight w:val="none"/>
        </w:rPr>
        <w:t>科技厅、</w:t>
      </w:r>
      <w:r>
        <w:rPr>
          <w:rFonts w:hint="eastAsia" w:ascii="仿宋" w:hAnsi="仿宋" w:eastAsia="仿宋" w:cs="仿宋"/>
          <w:color w:val="auto"/>
          <w:sz w:val="32"/>
          <w:szCs w:val="32"/>
          <w:highlight w:val="none"/>
          <w:lang w:val="en-US" w:eastAsia="zh-CN"/>
        </w:rPr>
        <w:t>自治区</w:t>
      </w:r>
      <w:r>
        <w:rPr>
          <w:rFonts w:hint="eastAsia" w:ascii="仿宋" w:hAnsi="仿宋" w:eastAsia="仿宋" w:cs="仿宋"/>
          <w:color w:val="auto"/>
          <w:sz w:val="32"/>
          <w:szCs w:val="32"/>
          <w:highlight w:val="none"/>
        </w:rPr>
        <w:t>财政厅依照有关规定视情节轻重采取责令整改、约谈、暂停项目拨款、终止项目执行、撤销项目、收回项目结余资金、追回已拨资金、阶段性限制相关单位或人员项目申报资格等措施。违反相关法律法规规章的，按照规定予以处理处罚。涉嫌犯罪的，移送司法机关处理。</w:t>
      </w:r>
    </w:p>
    <w:p w14:paraId="62B0CA3A">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rPr>
        <w:t>十</w:t>
      </w:r>
      <w:r>
        <w:rPr>
          <w:rFonts w:hint="eastAsia" w:ascii="Times New Roman" w:hAnsi="Times New Roman" w:eastAsia="仿宋_GB2312" w:cs="Times New Roman"/>
          <w:b/>
          <w:bCs/>
          <w:color w:val="auto"/>
          <w:sz w:val="32"/>
          <w:szCs w:val="32"/>
          <w:highlight w:val="none"/>
          <w:lang w:val="en-US"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项目经费执行过程中实行重大事项报告制度。在项目实施期间出现任务重大调整和变更，以及不可抗拒因素造成意外损失等原因使项目中止或撤销而影响预算执行的重大事项，项目负责人和项目承担单位应及时报告项目管理机构审核后，报</w:t>
      </w:r>
      <w:r>
        <w:rPr>
          <w:rFonts w:hint="default"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rPr>
        <w:t>科技厅审批。</w:t>
      </w:r>
    </w:p>
    <w:p w14:paraId="534BF841">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三十三</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
        </w:rPr>
        <w:t xml:space="preserve">  </w:t>
      </w:r>
      <w:r>
        <w:rPr>
          <w:rFonts w:hint="eastAsia" w:ascii="Times New Roman" w:hAnsi="Times New Roman" w:eastAsia="仿宋_GB2312" w:cs="Times New Roman"/>
          <w:color w:val="auto"/>
          <w:sz w:val="32"/>
          <w:szCs w:val="32"/>
          <w:highlight w:val="none"/>
          <w:lang w:val="en-US" w:eastAsia="zh-CN"/>
        </w:rPr>
        <w:t>项目经费</w:t>
      </w:r>
      <w:r>
        <w:rPr>
          <w:rFonts w:hint="default" w:ascii="Times New Roman" w:hAnsi="Times New Roman" w:eastAsia="仿宋_GB2312" w:cs="Times New Roman"/>
          <w:color w:val="auto"/>
          <w:sz w:val="32"/>
          <w:szCs w:val="32"/>
          <w:highlight w:val="none"/>
        </w:rPr>
        <w:t>使用单位和个人在项目</w:t>
      </w:r>
      <w:r>
        <w:rPr>
          <w:rFonts w:hint="eastAsia" w:ascii="Times New Roman" w:hAnsi="Times New Roman" w:eastAsia="仿宋_GB2312" w:cs="Times New Roman"/>
          <w:color w:val="auto"/>
          <w:sz w:val="32"/>
          <w:szCs w:val="32"/>
          <w:highlight w:val="none"/>
          <w:lang w:val="en-US" w:eastAsia="zh-CN"/>
        </w:rPr>
        <w:t>经费</w:t>
      </w:r>
      <w:r>
        <w:rPr>
          <w:rFonts w:hint="default" w:ascii="Times New Roman" w:hAnsi="Times New Roman" w:eastAsia="仿宋_GB2312" w:cs="Times New Roman"/>
          <w:color w:val="auto"/>
          <w:sz w:val="32"/>
          <w:szCs w:val="32"/>
          <w:highlight w:val="none"/>
        </w:rPr>
        <w:t>使用过程中存在各类违法违规行为的，各级科技、财政、相关部门及其工作人员在项目</w:t>
      </w:r>
      <w:r>
        <w:rPr>
          <w:rFonts w:hint="eastAsia" w:ascii="Times New Roman" w:hAnsi="Times New Roman" w:eastAsia="仿宋_GB2312" w:cs="Times New Roman"/>
          <w:color w:val="auto"/>
          <w:sz w:val="32"/>
          <w:szCs w:val="32"/>
          <w:highlight w:val="none"/>
          <w:lang w:val="en-US" w:eastAsia="zh-CN"/>
        </w:rPr>
        <w:t>经费</w:t>
      </w:r>
      <w:r>
        <w:rPr>
          <w:rFonts w:hint="default" w:ascii="Times New Roman" w:hAnsi="Times New Roman" w:eastAsia="仿宋_GB2312" w:cs="Times New Roman"/>
          <w:color w:val="auto"/>
          <w:sz w:val="32"/>
          <w:szCs w:val="32"/>
          <w:highlight w:val="none"/>
        </w:rPr>
        <w:t>分配、使用、管理等相关工作中存在违法违纪行为的，按照国家和</w:t>
      </w:r>
      <w:r>
        <w:rPr>
          <w:rFonts w:hint="eastAsia"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rPr>
        <w:t>有关规定追究相应责任或依法移送有关机关处理。</w:t>
      </w:r>
    </w:p>
    <w:p w14:paraId="62D65931">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三十四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建立项目经费信用管理机制。</w:t>
      </w:r>
      <w:r>
        <w:rPr>
          <w:rFonts w:hint="eastAsia"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rPr>
        <w:t>科技厅对</w:t>
      </w:r>
      <w:r>
        <w:rPr>
          <w:rFonts w:hint="eastAsia"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rPr>
        <w:t>承担单位</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项目负责人、咨询评审专家等参与项目经费管理使用中存在的违规或失信行为，进行信用记录。</w:t>
      </w:r>
      <w:r>
        <w:rPr>
          <w:rFonts w:hint="eastAsia" w:ascii="Times New Roman" w:hAnsi="Times New Roman" w:eastAsia="仿宋_GB2312" w:cs="Times New Roman"/>
          <w:color w:val="auto"/>
          <w:sz w:val="32"/>
          <w:szCs w:val="32"/>
          <w:highlight w:val="none"/>
          <w:lang w:val="en-US" w:eastAsia="zh-CN"/>
        </w:rPr>
        <w:t>信用</w:t>
      </w:r>
      <w:r>
        <w:rPr>
          <w:rFonts w:hint="default" w:ascii="Times New Roman" w:hAnsi="Times New Roman" w:eastAsia="仿宋_GB2312" w:cs="Times New Roman"/>
          <w:color w:val="auto"/>
          <w:sz w:val="32"/>
          <w:szCs w:val="32"/>
          <w:highlight w:val="none"/>
        </w:rPr>
        <w:t>记录作为项目立项、科技经费安排、咨询专家遴选等的重要</w:t>
      </w:r>
      <w:r>
        <w:rPr>
          <w:rFonts w:hint="eastAsia" w:ascii="Times New Roman" w:hAnsi="Times New Roman" w:eastAsia="仿宋_GB2312" w:cs="Times New Roman"/>
          <w:color w:val="auto"/>
          <w:sz w:val="32"/>
          <w:szCs w:val="32"/>
          <w:highlight w:val="none"/>
          <w:lang w:val="en-US" w:eastAsia="zh-CN"/>
        </w:rPr>
        <w:t>参考</w:t>
      </w:r>
      <w:r>
        <w:rPr>
          <w:rFonts w:hint="default" w:ascii="Times New Roman" w:hAnsi="Times New Roman" w:eastAsia="仿宋_GB2312" w:cs="Times New Roman"/>
          <w:color w:val="auto"/>
          <w:sz w:val="32"/>
          <w:szCs w:val="32"/>
          <w:highlight w:val="none"/>
        </w:rPr>
        <w:t>依据。</w:t>
      </w:r>
    </w:p>
    <w:p w14:paraId="0BF16F78">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rPr>
      </w:pPr>
    </w:p>
    <w:p w14:paraId="3B4FEB1D">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第七章</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附</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则</w:t>
      </w:r>
    </w:p>
    <w:p w14:paraId="7C317CBC">
      <w:pPr>
        <w:pStyle w:val="2"/>
        <w:keepNext w:val="0"/>
        <w:keepLines w:val="0"/>
        <w:pageBreakBefore w:val="0"/>
        <w:widowControl w:val="0"/>
        <w:kinsoku/>
        <w:wordWrap/>
        <w:overflowPunct/>
        <w:topLinePunct w:val="0"/>
        <w:bidi w:val="0"/>
        <w:snapToGrid/>
        <w:spacing w:line="560" w:lineRule="exact"/>
        <w:textAlignment w:val="auto"/>
        <w:rPr>
          <w:rFonts w:hint="default"/>
        </w:rPr>
      </w:pPr>
    </w:p>
    <w:p w14:paraId="0F15B84A">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rPr>
        <w:t>十</w:t>
      </w:r>
      <w:r>
        <w:rPr>
          <w:rFonts w:hint="eastAsia" w:ascii="Times New Roman" w:hAnsi="Times New Roman" w:eastAsia="仿宋_GB2312" w:cs="Times New Roman"/>
          <w:b/>
          <w:bCs/>
          <w:color w:val="auto"/>
          <w:sz w:val="32"/>
          <w:szCs w:val="32"/>
          <w:highlight w:val="none"/>
          <w:lang w:val="en-US" w:eastAsia="zh-CN"/>
        </w:rPr>
        <w:t>五</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本办法由</w:t>
      </w:r>
      <w:r>
        <w:rPr>
          <w:rFonts w:hint="default"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rPr>
        <w:t>财政厅</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rPr>
        <w:t>科技厅负责解释。</w:t>
      </w:r>
    </w:p>
    <w:p w14:paraId="11430A58">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rPr>
        <w:t>十</w:t>
      </w:r>
      <w:r>
        <w:rPr>
          <w:rFonts w:hint="eastAsia" w:ascii="Times New Roman" w:hAnsi="Times New Roman" w:eastAsia="仿宋_GB2312" w:cs="Times New Roman"/>
          <w:b/>
          <w:bCs/>
          <w:color w:val="auto"/>
          <w:sz w:val="32"/>
          <w:szCs w:val="32"/>
          <w:highlight w:val="none"/>
          <w:lang w:val="en-US" w:eastAsia="zh-CN"/>
        </w:rPr>
        <w:t>六</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自治区</w:t>
      </w:r>
      <w:r>
        <w:rPr>
          <w:rFonts w:hint="default" w:ascii="Times New Roman" w:hAnsi="Times New Roman" w:eastAsia="仿宋_GB2312" w:cs="Times New Roman"/>
          <w:color w:val="auto"/>
          <w:sz w:val="32"/>
          <w:szCs w:val="32"/>
          <w:highlight w:val="none"/>
        </w:rPr>
        <w:t>财政厅、</w:t>
      </w:r>
      <w:r>
        <w:rPr>
          <w:rFonts w:hint="eastAsia"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rPr>
        <w:t>科技厅可根据本办法制订各专项计划</w:t>
      </w:r>
      <w:r>
        <w:rPr>
          <w:rFonts w:hint="eastAsia" w:ascii="Times New Roman" w:hAnsi="Times New Roman" w:eastAsia="仿宋_GB2312" w:cs="Times New Roman"/>
          <w:color w:val="auto"/>
          <w:sz w:val="32"/>
          <w:szCs w:val="32"/>
          <w:highlight w:val="none"/>
          <w:lang w:val="en-US" w:eastAsia="zh-CN"/>
        </w:rPr>
        <w:t>经费</w:t>
      </w:r>
      <w:r>
        <w:rPr>
          <w:rFonts w:hint="default" w:ascii="Times New Roman" w:hAnsi="Times New Roman" w:eastAsia="仿宋_GB2312" w:cs="Times New Roman"/>
          <w:color w:val="auto"/>
          <w:sz w:val="32"/>
          <w:szCs w:val="32"/>
          <w:highlight w:val="none"/>
        </w:rPr>
        <w:t>使用管理的实施细则。</w:t>
      </w:r>
    </w:p>
    <w:p w14:paraId="48A50134">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spacing w:val="0"/>
          <w:lang w:val="en" w:eastAsia="zh-CN"/>
        </w:rPr>
      </w:pPr>
      <w:r>
        <w:rPr>
          <w:rFonts w:hint="default"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rPr>
        <w:t>十</w:t>
      </w:r>
      <w:r>
        <w:rPr>
          <w:rFonts w:hint="eastAsia" w:ascii="Times New Roman" w:hAnsi="Times New Roman" w:eastAsia="仿宋_GB2312" w:cs="Times New Roman"/>
          <w:b/>
          <w:bCs/>
          <w:color w:val="auto"/>
          <w:sz w:val="32"/>
          <w:szCs w:val="32"/>
          <w:highlight w:val="none"/>
          <w:lang w:val="en-US" w:eastAsia="zh-CN"/>
        </w:rPr>
        <w:t>七</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b w:val="0"/>
          <w:bCs w:val="0"/>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本办法自发布之日起施行，</w:t>
      </w:r>
      <w:r>
        <w:rPr>
          <w:rFonts w:hint="default" w:ascii="Times New Roman" w:hAnsi="Times New Roman" w:eastAsia="仿宋_GB2312" w:cs="Times New Roman"/>
          <w:color w:val="auto"/>
          <w:sz w:val="32"/>
          <w:szCs w:val="32"/>
          <w:highlight w:val="none"/>
          <w:lang w:val="en-US" w:eastAsia="zh-CN"/>
        </w:rPr>
        <w:t>有效期至2030年</w:t>
      </w:r>
      <w:r>
        <w:rPr>
          <w:rFonts w:hint="default" w:ascii="Times New Roman" w:hAnsi="Times New Roman" w:eastAsia="仿宋_GB2312" w:cs="Times New Roman"/>
          <w:color w:val="auto"/>
          <w:sz w:val="32"/>
          <w:szCs w:val="32"/>
          <w:highlight w:val="none"/>
          <w:lang w:eastAsia="zh-CN"/>
        </w:rPr>
        <w:t>。本办法施行后，终止执行《广西壮族自治区本级技术研究与开发经费管理办法》（桂财教〔2007〕38号）和《关于调整自治区本级财政科研项目经费管理办法的若干规定》（桂政办发〔2015〕33号）。</w:t>
      </w:r>
    </w:p>
    <w:sectPr>
      <w:footerReference r:id="rId4" w:type="first"/>
      <w:footerReference r:id="rId3" w:type="default"/>
      <w:pgSz w:w="11906" w:h="16838"/>
      <w:pgMar w:top="2098" w:right="1531" w:bottom="1417" w:left="1531" w:header="851" w:footer="1417" w:gutter="0"/>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F409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7E9EFF">
                          <w:pPr>
                            <w:pStyle w:val="7"/>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iZIt4BAAC+AwAADgAAAGRycy9lMm9Eb2MueG1srVNLjhMxEN0jcQfL&#10;e+KeSIO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KJki3gEAAL4DAAAOAAAAAAAA&#10;AAEAIAAAAB4BAABkcnMvZTJvRG9jLnhtbFBLBQYAAAAABgAGAFkBAABuBQAAAAA=&#10;">
              <v:fill on="f" focussize="0,0"/>
              <v:stroke on="f"/>
              <v:imagedata o:title=""/>
              <o:lock v:ext="edit" aspectratio="f"/>
              <v:textbox inset="0mm,0mm,0mm,0mm" style="mso-fit-shape-to-text:t;">
                <w:txbxContent>
                  <w:p w14:paraId="4F7E9EFF">
                    <w:pPr>
                      <w:pStyle w:val="7"/>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77863">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679B272">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DdTCC5wEAAMgD&#10;AAAOAAAAAAAAAAEAIAAAAB4BAABkcnMvZTJvRG9jLnhtbFBLBQYAAAAABgAGAFkBAAB3BQAAAAA=&#10;">
              <v:fill on="f" focussize="0,0"/>
              <v:stroke on="f"/>
              <v:imagedata o:title=""/>
              <o:lock v:ext="edit" aspectratio="f"/>
              <v:textbox inset="0mm,0mm,0mm,0mm" style="mso-fit-shape-to-text:t;">
                <w:txbxContent>
                  <w:p w14:paraId="5679B272">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F9A4D"/>
    <w:rsid w:val="027DFA5E"/>
    <w:rsid w:val="093D5D47"/>
    <w:rsid w:val="14EFD3AF"/>
    <w:rsid w:val="1FFF2DD0"/>
    <w:rsid w:val="1FFFB1EB"/>
    <w:rsid w:val="27F7159A"/>
    <w:rsid w:val="29FB3353"/>
    <w:rsid w:val="2BB41306"/>
    <w:rsid w:val="2EFDD818"/>
    <w:rsid w:val="2FEFF508"/>
    <w:rsid w:val="34F998EC"/>
    <w:rsid w:val="3627A3C3"/>
    <w:rsid w:val="39FDF16E"/>
    <w:rsid w:val="3DF4FF63"/>
    <w:rsid w:val="3DFFE2F5"/>
    <w:rsid w:val="3EBD0DD3"/>
    <w:rsid w:val="3F3AFD76"/>
    <w:rsid w:val="3FB8EE5A"/>
    <w:rsid w:val="3FF3D98A"/>
    <w:rsid w:val="4CE32A72"/>
    <w:rsid w:val="4FF93873"/>
    <w:rsid w:val="57FD62DF"/>
    <w:rsid w:val="5DB7C277"/>
    <w:rsid w:val="5DF69B7D"/>
    <w:rsid w:val="5F8503F3"/>
    <w:rsid w:val="5FA4750B"/>
    <w:rsid w:val="5FCA50F5"/>
    <w:rsid w:val="5FFF9A4D"/>
    <w:rsid w:val="5FFFDEBC"/>
    <w:rsid w:val="619A3A34"/>
    <w:rsid w:val="64FF88E6"/>
    <w:rsid w:val="66BFB74B"/>
    <w:rsid w:val="67EF3FFD"/>
    <w:rsid w:val="6BCFB86B"/>
    <w:rsid w:val="6BDF1E02"/>
    <w:rsid w:val="6BE5A345"/>
    <w:rsid w:val="6BFFCF33"/>
    <w:rsid w:val="6FEE680C"/>
    <w:rsid w:val="6FFB1A4F"/>
    <w:rsid w:val="6FFE6882"/>
    <w:rsid w:val="72FD3EAF"/>
    <w:rsid w:val="74BF5CF3"/>
    <w:rsid w:val="753B3426"/>
    <w:rsid w:val="757FD7F3"/>
    <w:rsid w:val="763F16AA"/>
    <w:rsid w:val="76CF94E0"/>
    <w:rsid w:val="76EF3F33"/>
    <w:rsid w:val="772F2B76"/>
    <w:rsid w:val="77FF581A"/>
    <w:rsid w:val="79FE3117"/>
    <w:rsid w:val="7ADA1144"/>
    <w:rsid w:val="7BBB7050"/>
    <w:rsid w:val="7BF034EF"/>
    <w:rsid w:val="7D1F9967"/>
    <w:rsid w:val="7D5F8E3D"/>
    <w:rsid w:val="7DF71711"/>
    <w:rsid w:val="7DFCA1C1"/>
    <w:rsid w:val="7E7A50F1"/>
    <w:rsid w:val="7EECE7DB"/>
    <w:rsid w:val="7F6B1681"/>
    <w:rsid w:val="7F6F187C"/>
    <w:rsid w:val="7F82F228"/>
    <w:rsid w:val="7FB3811A"/>
    <w:rsid w:val="7FBEE075"/>
    <w:rsid w:val="7FBFBADE"/>
    <w:rsid w:val="7FF3E4C0"/>
    <w:rsid w:val="7FFF0138"/>
    <w:rsid w:val="7FFF0588"/>
    <w:rsid w:val="7FFFD88D"/>
    <w:rsid w:val="8F7BADDB"/>
    <w:rsid w:val="ADFD7B93"/>
    <w:rsid w:val="AEEF8772"/>
    <w:rsid w:val="B3E42949"/>
    <w:rsid w:val="B77D244F"/>
    <w:rsid w:val="BBC7464C"/>
    <w:rsid w:val="BBFE903F"/>
    <w:rsid w:val="BBFFD3B9"/>
    <w:rsid w:val="BF7C768A"/>
    <w:rsid w:val="BFCA16A2"/>
    <w:rsid w:val="BFDF0894"/>
    <w:rsid w:val="BFF3A2FA"/>
    <w:rsid w:val="BFFA6B66"/>
    <w:rsid w:val="BFFEF994"/>
    <w:rsid w:val="BFFF2705"/>
    <w:rsid w:val="CBB50333"/>
    <w:rsid w:val="CFB6234A"/>
    <w:rsid w:val="DBAF59B9"/>
    <w:rsid w:val="DD368C04"/>
    <w:rsid w:val="DEEF7C49"/>
    <w:rsid w:val="DF3DAB2D"/>
    <w:rsid w:val="DFFF41EC"/>
    <w:rsid w:val="E7ED44D2"/>
    <w:rsid w:val="E7F74C72"/>
    <w:rsid w:val="E7FEB9F4"/>
    <w:rsid w:val="EA16E965"/>
    <w:rsid w:val="EBBF735E"/>
    <w:rsid w:val="EBE7E2C0"/>
    <w:rsid w:val="EE3EC0BC"/>
    <w:rsid w:val="EE7A76F3"/>
    <w:rsid w:val="EF3EC6A1"/>
    <w:rsid w:val="EFBE2797"/>
    <w:rsid w:val="EFBE66AF"/>
    <w:rsid w:val="EFD50241"/>
    <w:rsid w:val="EFE4E3C6"/>
    <w:rsid w:val="EFFF445F"/>
    <w:rsid w:val="F2C7BC4A"/>
    <w:rsid w:val="F3F7A108"/>
    <w:rsid w:val="F5BD216F"/>
    <w:rsid w:val="F6D620A1"/>
    <w:rsid w:val="F6DDA630"/>
    <w:rsid w:val="F7AF1B79"/>
    <w:rsid w:val="F7BD68A1"/>
    <w:rsid w:val="F9CF5B49"/>
    <w:rsid w:val="F9FF1AB6"/>
    <w:rsid w:val="FB431606"/>
    <w:rsid w:val="FBFF3908"/>
    <w:rsid w:val="FCBBBDCD"/>
    <w:rsid w:val="FDFDD8B2"/>
    <w:rsid w:val="FDFF6C41"/>
    <w:rsid w:val="FE7E0BB9"/>
    <w:rsid w:val="FEEE6CA8"/>
    <w:rsid w:val="FF3FAA30"/>
    <w:rsid w:val="FF9BF6A0"/>
    <w:rsid w:val="FFAF7BA2"/>
    <w:rsid w:val="FFBBC26B"/>
    <w:rsid w:val="FFEFBF52"/>
    <w:rsid w:val="FFF73B7E"/>
    <w:rsid w:val="FFF7BDFB"/>
    <w:rsid w:val="FFFF4FE3"/>
    <w:rsid w:val="FFFFAA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4">
    <w:name w:val="Body Text"/>
    <w:basedOn w:val="1"/>
    <w:next w:val="1"/>
    <w:unhideWhenUsed/>
    <w:qFormat/>
    <w:uiPriority w:val="99"/>
    <w:pPr>
      <w:spacing w:after="120" w:afterLines="0" w:afterAutospacing="0"/>
    </w:pPr>
  </w:style>
  <w:style w:type="paragraph" w:styleId="5">
    <w:name w:val="Body Text Indent"/>
    <w:basedOn w:val="1"/>
    <w:next w:val="6"/>
    <w:qFormat/>
    <w:uiPriority w:val="0"/>
    <w:pPr>
      <w:widowControl w:val="0"/>
      <w:spacing w:after="120" w:line="240" w:lineRule="atLeast"/>
      <w:ind w:left="420" w:leftChars="200"/>
      <w:jc w:val="both"/>
    </w:pPr>
    <w:rPr>
      <w:rFonts w:ascii="Calibri" w:hAnsi="Calibri" w:eastAsia="仿宋_GB2312" w:cs="Times New Roman"/>
      <w:spacing w:val="-6"/>
      <w:kern w:val="2"/>
      <w:sz w:val="32"/>
      <w:szCs w:val="24"/>
      <w:lang w:val="en-US" w:eastAsia="zh-CN" w:bidi="ar-SA"/>
    </w:rPr>
  </w:style>
  <w:style w:type="paragraph" w:styleId="6">
    <w:name w:val="Body Text First Indent 2"/>
    <w:basedOn w:val="5"/>
    <w:next w:val="1"/>
    <w:qFormat/>
    <w:uiPriority w:val="0"/>
    <w:pPr>
      <w:widowControl w:val="0"/>
      <w:spacing w:after="120" w:line="240" w:lineRule="atLeast"/>
      <w:ind w:left="420" w:leftChars="200" w:firstLine="420" w:firstLineChars="200"/>
      <w:jc w:val="both"/>
    </w:pPr>
    <w:rPr>
      <w:rFonts w:ascii="Calibri" w:hAnsi="Calibri" w:eastAsia="仿宋_GB2312" w:cs="Times New Roman"/>
      <w:spacing w:val="-6"/>
      <w:kern w:val="2"/>
      <w:sz w:val="30"/>
      <w:szCs w:val="22"/>
      <w:lang w:val="en-US" w:eastAsia="zh-CN" w:bidi="ar-SA"/>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next w:val="4"/>
    <w:qFormat/>
    <w:uiPriority w:val="0"/>
    <w:pPr>
      <w:widowControl w:val="0"/>
      <w:snapToGrid w:val="0"/>
      <w:spacing w:line="240" w:lineRule="atLeast"/>
      <w:jc w:val="left"/>
    </w:pPr>
    <w:rPr>
      <w:rFonts w:ascii="Calibri" w:hAnsi="Calibri" w:eastAsia="仿宋_GB2312" w:cs="Times New Roman"/>
      <w:spacing w:val="-6"/>
      <w:kern w:val="2"/>
      <w:sz w:val="18"/>
      <w:szCs w:val="18"/>
      <w:lang w:val="en-US" w:eastAsia="zh-CN" w:bidi="ar-SA"/>
    </w:rPr>
  </w:style>
  <w:style w:type="paragraph" w:styleId="10">
    <w:name w:val="Normal (Web)"/>
    <w:basedOn w:val="1"/>
    <w:unhideWhenUsed/>
    <w:qFormat/>
    <w:uiPriority w:val="99"/>
    <w:pPr>
      <w:spacing w:before="100" w:beforeAutospacing="1" w:after="100" w:afterAutospacing="1"/>
    </w:pPr>
    <w:rPr>
      <w:rFonts w:ascii="宋体" w:hAnsi="宋体" w:eastAsia="宋体" w:cs="宋体"/>
      <w:sz w:val="24"/>
      <w:szCs w:val="24"/>
      <w:lang w:val="en-US" w:eastAsia="zh-CN" w:bidi="ar-SA"/>
    </w:rPr>
  </w:style>
  <w:style w:type="paragraph" w:styleId="11">
    <w:name w:val="Title"/>
    <w:basedOn w:val="1"/>
    <w:next w:val="1"/>
    <w:qFormat/>
    <w:uiPriority w:val="0"/>
    <w:pPr>
      <w:ind w:firstLine="0" w:firstLineChars="0"/>
      <w:jc w:val="center"/>
    </w:pPr>
    <w:rPr>
      <w:rFonts w:hAnsi="方正黑体_GBK" w:cs="方正黑体_GBK"/>
      <w:bCs/>
      <w:sz w:val="44"/>
    </w:rPr>
  </w:style>
  <w:style w:type="paragraph" w:styleId="14">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5">
    <w:name w:val="样式1"/>
    <w:qFormat/>
    <w:uiPriority w:val="0"/>
    <w:pPr>
      <w:widowControl w:val="0"/>
      <w:spacing w:line="540" w:lineRule="exact"/>
      <w:jc w:val="both"/>
    </w:pPr>
    <w:rPr>
      <w:rFonts w:ascii="Calibri" w:hAnsi="Calibri" w:eastAsia="仿宋_GB2312" w:cs="Times New Roman"/>
      <w:kern w:val="2"/>
      <w:sz w:val="32"/>
      <w:szCs w:val="24"/>
      <w:lang w:val="en-US" w:eastAsia="zh-CN" w:bidi="ar-SA"/>
    </w:rPr>
  </w:style>
  <w:style w:type="paragraph" w:customStyle="1" w:styleId="16">
    <w:name w:val="正文文本缩进 21"/>
    <w:basedOn w:val="1"/>
    <w:qFormat/>
    <w:uiPriority w:val="0"/>
    <w:pPr>
      <w:spacing w:line="480" w:lineRule="auto"/>
      <w:ind w:left="420" w:leftChars="200"/>
    </w:pPr>
    <w:rPr>
      <w:rFonts w:ascii="Times New Roman" w:hAnsi="Times New Roman" w:eastAsia="宋体" w:cs="Times New Roman"/>
      <w:color w:val="000000"/>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2000</Words>
  <Characters>2018</Characters>
  <Lines>0</Lines>
  <Paragraphs>0</Paragraphs>
  <TotalTime>10</TotalTime>
  <ScaleCrop>false</ScaleCrop>
  <LinksUpToDate>false</LinksUpToDate>
  <CharactersWithSpaces>2050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2024-02-20T08:45:00Z</dcterms:created>
  <dc:creator>gxxc</dc:creator>
  <cp:lastModifiedBy>墨迹夏子</cp:lastModifiedBy>
  <cp:lastPrinted>2025-05-12T18:30:00Z</cp:lastPrinted>
  <dcterms:modified xsi:type="dcterms:W3CDTF">2025-05-12T04:08:42Z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E0080BBA356E4ACCAA73563648A16E4E_13</vt:lpwstr>
  </property>
</Properties>
</file>