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5199C6">
      <w:pPr>
        <w:keepNext w:val="0"/>
        <w:keepLines w:val="0"/>
        <w:pageBreakBefore w:val="0"/>
        <w:widowControl w:val="0"/>
        <w:kinsoku/>
        <w:wordWrap/>
        <w:overflowPunct/>
        <w:topLinePunct w:val="0"/>
        <w:bidi w:val="0"/>
        <w:snapToGrid/>
        <w:spacing w:line="560" w:lineRule="exact"/>
        <w:jc w:val="left"/>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eastAsia="zh-CN"/>
        </w:rPr>
        <w:t>附件</w:t>
      </w:r>
      <w:r>
        <w:rPr>
          <w:rFonts w:hint="eastAsia" w:ascii="黑体" w:hAnsi="黑体" w:eastAsia="黑体" w:cs="黑体"/>
          <w:color w:val="auto"/>
          <w:sz w:val="32"/>
          <w:szCs w:val="32"/>
          <w:lang w:val="en-US" w:eastAsia="zh-CN"/>
        </w:rPr>
        <w:t>4</w:t>
      </w:r>
    </w:p>
    <w:p w14:paraId="16F02064">
      <w:pPr>
        <w:pStyle w:val="2"/>
        <w:keepNext w:val="0"/>
        <w:keepLines w:val="0"/>
        <w:pageBreakBefore w:val="0"/>
        <w:widowControl w:val="0"/>
        <w:kinsoku/>
        <w:wordWrap/>
        <w:overflowPunct/>
        <w:topLinePunct w:val="0"/>
        <w:bidi w:val="0"/>
        <w:snapToGrid/>
        <w:spacing w:line="560" w:lineRule="exact"/>
        <w:textAlignment w:val="auto"/>
        <w:rPr>
          <w:rFonts w:hint="eastAsia"/>
          <w:color w:val="auto"/>
          <w:lang w:val="en-US" w:eastAsia="zh-CN"/>
        </w:rPr>
      </w:pPr>
    </w:p>
    <w:p w14:paraId="271E2A9A">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color w:val="auto"/>
          <w:sz w:val="44"/>
          <w:szCs w:val="44"/>
        </w:rPr>
      </w:pPr>
      <w:r>
        <w:rPr>
          <w:rFonts w:hint="eastAsia" w:ascii="Times New Roman" w:hAnsi="Times New Roman" w:eastAsia="方正小标宋简体" w:cs="Times New Roman"/>
          <w:color w:val="auto"/>
          <w:sz w:val="44"/>
          <w:szCs w:val="44"/>
          <w:lang w:eastAsia="zh-CN"/>
        </w:rPr>
        <w:t>《</w:t>
      </w:r>
      <w:r>
        <w:rPr>
          <w:rFonts w:hint="default" w:ascii="Times New Roman" w:hAnsi="Times New Roman" w:eastAsia="方正小标宋简体" w:cs="Times New Roman"/>
          <w:color w:val="auto"/>
          <w:sz w:val="44"/>
          <w:szCs w:val="44"/>
        </w:rPr>
        <w:t>广西科技计划项目经费管理办法</w:t>
      </w:r>
      <w:r>
        <w:rPr>
          <w:rFonts w:hint="eastAsia" w:ascii="Times New Roman" w:hAnsi="Times New Roman" w:eastAsia="方正小标宋简体" w:cs="Times New Roman"/>
          <w:color w:val="auto"/>
          <w:sz w:val="44"/>
          <w:szCs w:val="44"/>
          <w:lang w:eastAsia="zh-CN"/>
        </w:rPr>
        <w:t>》</w:t>
      </w:r>
      <w:r>
        <w:rPr>
          <w:rFonts w:hint="default" w:ascii="Times New Roman" w:hAnsi="Times New Roman" w:eastAsia="方正小标宋简体" w:cs="Times New Roman"/>
          <w:color w:val="auto"/>
          <w:sz w:val="44"/>
          <w:szCs w:val="44"/>
        </w:rPr>
        <w:t>起草说明</w:t>
      </w:r>
    </w:p>
    <w:p w14:paraId="1FF8E86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p>
    <w:p w14:paraId="1DD6006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rPr>
        <w:t>为进一步规范自治区科技计划项目经费</w:t>
      </w:r>
      <w:r>
        <w:rPr>
          <w:rFonts w:hint="default" w:ascii="Times New Roman" w:hAnsi="Times New Roman" w:eastAsia="仿宋_GB2312" w:cs="Times New Roman"/>
          <w:color w:val="auto"/>
          <w:sz w:val="32"/>
          <w:szCs w:val="32"/>
          <w:lang w:eastAsia="zh-CN"/>
        </w:rPr>
        <w:t>的</w:t>
      </w:r>
      <w:r>
        <w:rPr>
          <w:rFonts w:hint="default" w:ascii="Times New Roman" w:hAnsi="Times New Roman" w:eastAsia="仿宋_GB2312" w:cs="Times New Roman"/>
          <w:color w:val="auto"/>
          <w:sz w:val="32"/>
          <w:szCs w:val="32"/>
        </w:rPr>
        <w:t>管理</w:t>
      </w:r>
      <w:r>
        <w:rPr>
          <w:rFonts w:hint="default" w:ascii="Times New Roman" w:hAnsi="Times New Roman" w:eastAsia="仿宋_GB2312" w:cs="Times New Roman"/>
          <w:color w:val="auto"/>
          <w:sz w:val="32"/>
          <w:szCs w:val="32"/>
          <w:lang w:val="en-US" w:eastAsia="zh-CN"/>
        </w:rPr>
        <w:t>和使用</w:t>
      </w:r>
      <w:r>
        <w:rPr>
          <w:rFonts w:hint="default" w:ascii="Times New Roman" w:hAnsi="Times New Roman" w:eastAsia="仿宋_GB2312" w:cs="Times New Roman"/>
          <w:color w:val="auto"/>
          <w:sz w:val="32"/>
          <w:szCs w:val="32"/>
        </w:rPr>
        <w:t>，提高财政资金使用效益，</w:t>
      </w:r>
      <w:r>
        <w:rPr>
          <w:rFonts w:hint="default" w:ascii="Times New Roman" w:hAnsi="Times New Roman" w:eastAsia="仿宋_GB2312" w:cs="Times New Roman"/>
          <w:color w:val="auto"/>
          <w:sz w:val="32"/>
          <w:szCs w:val="32"/>
          <w:lang w:val="en-US" w:eastAsia="zh-CN"/>
        </w:rPr>
        <w:t>有效</w:t>
      </w:r>
      <w:r>
        <w:rPr>
          <w:rFonts w:hint="default" w:ascii="Times New Roman" w:hAnsi="Times New Roman" w:eastAsia="仿宋_GB2312" w:cs="Times New Roman"/>
          <w:color w:val="auto"/>
          <w:sz w:val="32"/>
          <w:szCs w:val="32"/>
        </w:rPr>
        <w:t>激发</w:t>
      </w:r>
      <w:r>
        <w:rPr>
          <w:rFonts w:hint="default" w:ascii="Times New Roman" w:hAnsi="Times New Roman" w:eastAsia="仿宋_GB2312" w:cs="Times New Roman"/>
          <w:color w:val="auto"/>
          <w:sz w:val="32"/>
          <w:szCs w:val="32"/>
          <w:lang w:val="en-US" w:eastAsia="zh-CN"/>
        </w:rPr>
        <w:t>科研人员科技</w:t>
      </w:r>
      <w:r>
        <w:rPr>
          <w:rFonts w:hint="default" w:ascii="Times New Roman" w:hAnsi="Times New Roman" w:eastAsia="仿宋_GB2312" w:cs="Times New Roman"/>
          <w:color w:val="auto"/>
          <w:sz w:val="32"/>
          <w:szCs w:val="32"/>
        </w:rPr>
        <w:t>创新活力，</w:t>
      </w:r>
      <w:r>
        <w:rPr>
          <w:rFonts w:hint="default" w:ascii="Times New Roman" w:hAnsi="Times New Roman" w:eastAsia="仿宋_GB2312" w:cs="Times New Roman"/>
          <w:color w:val="auto"/>
          <w:sz w:val="32"/>
          <w:szCs w:val="32"/>
          <w:lang w:val="en-US" w:eastAsia="zh-CN"/>
        </w:rPr>
        <w:t>根据国家、自治区有关</w:t>
      </w:r>
      <w:r>
        <w:rPr>
          <w:rFonts w:hint="default" w:ascii="Times New Roman" w:hAnsi="Times New Roman" w:eastAsia="仿宋_GB2312" w:cs="Times New Roman"/>
          <w:color w:val="auto"/>
          <w:sz w:val="32"/>
          <w:szCs w:val="32"/>
        </w:rPr>
        <w:t>文件精神，结合</w:t>
      </w:r>
      <w:r>
        <w:rPr>
          <w:rFonts w:hint="default" w:ascii="Times New Roman" w:hAnsi="Times New Roman" w:eastAsia="仿宋_GB2312" w:cs="Times New Roman"/>
          <w:color w:val="auto"/>
          <w:sz w:val="32"/>
          <w:szCs w:val="32"/>
          <w:lang w:val="en-US" w:eastAsia="zh-CN"/>
        </w:rPr>
        <w:t>广西</w:t>
      </w:r>
      <w:r>
        <w:rPr>
          <w:rFonts w:hint="default" w:ascii="Times New Roman" w:hAnsi="Times New Roman" w:eastAsia="仿宋_GB2312" w:cs="Times New Roman"/>
          <w:color w:val="auto"/>
          <w:sz w:val="32"/>
          <w:szCs w:val="32"/>
        </w:rPr>
        <w:t>实际，</w:t>
      </w:r>
      <w:r>
        <w:rPr>
          <w:rFonts w:hint="default" w:ascii="Times New Roman" w:hAnsi="Times New Roman" w:eastAsia="仿宋_GB2312" w:cs="Times New Roman"/>
          <w:color w:val="auto"/>
          <w:sz w:val="32"/>
          <w:szCs w:val="32"/>
          <w:lang w:val="en-US" w:eastAsia="zh-CN"/>
        </w:rPr>
        <w:t>自治区财政厅、自治区科技厅研究起草了</w:t>
      </w:r>
      <w:r>
        <w:rPr>
          <w:rFonts w:hint="default" w:ascii="Times New Roman" w:hAnsi="Times New Roman" w:eastAsia="仿宋_GB2312" w:cs="Times New Roman"/>
          <w:color w:val="auto"/>
          <w:sz w:val="32"/>
          <w:szCs w:val="32"/>
        </w:rPr>
        <w:t>《广西科技计划项目经费管理办法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征求意见稿</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》（以下简称《办法》）。现就《办法》起草情况说明如下</w:t>
      </w:r>
      <w:r>
        <w:rPr>
          <w:rFonts w:hint="default" w:ascii="Times New Roman" w:hAnsi="Times New Roman" w:eastAsia="仿宋_GB2312" w:cs="Times New Roman"/>
          <w:color w:val="auto"/>
          <w:sz w:val="32"/>
          <w:szCs w:val="32"/>
          <w:lang w:eastAsia="zh-CN"/>
        </w:rPr>
        <w:t>。</w:t>
      </w:r>
    </w:p>
    <w:p w14:paraId="4610B33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color w:val="auto"/>
          <w:sz w:val="32"/>
          <w:szCs w:val="32"/>
        </w:rPr>
      </w:pPr>
      <w:r>
        <w:rPr>
          <w:rFonts w:hint="default" w:ascii="Times New Roman" w:hAnsi="Times New Roman" w:eastAsia="黑体" w:cs="Times New Roman"/>
          <w:color w:val="auto"/>
          <w:sz w:val="32"/>
          <w:szCs w:val="32"/>
        </w:rPr>
        <w:t>一、</w:t>
      </w:r>
      <w:r>
        <w:rPr>
          <w:rFonts w:hint="default" w:ascii="Times New Roman" w:hAnsi="Times New Roman" w:eastAsia="黑体" w:cs="Times New Roman"/>
          <w:color w:val="auto"/>
          <w:sz w:val="32"/>
          <w:szCs w:val="32"/>
          <w:lang w:val="en-US" w:eastAsia="zh-CN"/>
        </w:rPr>
        <w:t>起草</w:t>
      </w:r>
      <w:r>
        <w:rPr>
          <w:rFonts w:hint="default" w:ascii="Times New Roman" w:hAnsi="Times New Roman" w:eastAsia="黑体" w:cs="Times New Roman"/>
          <w:color w:val="auto"/>
          <w:sz w:val="32"/>
          <w:szCs w:val="32"/>
        </w:rPr>
        <w:t>背景</w:t>
      </w:r>
    </w:p>
    <w:p w14:paraId="654F5D0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近年来，国家持续推进科技</w:t>
      </w:r>
      <w:r>
        <w:rPr>
          <w:rFonts w:hint="eastAsia" w:ascii="仿宋_GB2312" w:hAnsi="仿宋_GB2312" w:eastAsia="仿宋_GB2312" w:cs="仿宋_GB2312"/>
          <w:color w:val="auto"/>
          <w:sz w:val="32"/>
          <w:szCs w:val="32"/>
        </w:rPr>
        <w:t>领域“放管服”改革，</w:t>
      </w:r>
      <w:r>
        <w:rPr>
          <w:rFonts w:hint="default" w:ascii="Times New Roman" w:hAnsi="Times New Roman" w:eastAsia="仿宋_GB2312" w:cs="Times New Roman"/>
          <w:color w:val="auto"/>
          <w:sz w:val="32"/>
          <w:szCs w:val="32"/>
        </w:rPr>
        <w:t>要求赋予科研单位和科研人员更大经费自主权。</w:t>
      </w:r>
      <w:r>
        <w:rPr>
          <w:rFonts w:hint="default" w:ascii="Times New Roman" w:hAnsi="Times New Roman" w:eastAsia="仿宋_GB2312" w:cs="Times New Roman"/>
          <w:color w:val="auto"/>
          <w:sz w:val="32"/>
          <w:szCs w:val="32"/>
          <w:lang w:val="en-US" w:eastAsia="zh-CN"/>
        </w:rPr>
        <w:t>2021年，国务院办公厅印发《关于改革完善中央财政科研经费管理的若干意见》（国办发〔2021〕32号），提出要扩大科研经费管理自主权、完善科研项目经费拨付机制、加大科研人员激励力度、减轻科研人员事务性负担、创新财政科研经费投入与支持方式、改进科研绩效管理和监督检查等，</w:t>
      </w:r>
      <w:r>
        <w:rPr>
          <w:rFonts w:hint="default" w:ascii="Times New Roman" w:hAnsi="Times New Roman" w:eastAsia="仿宋_GB2312" w:cs="Times New Roman"/>
          <w:color w:val="auto"/>
          <w:sz w:val="32"/>
          <w:szCs w:val="32"/>
        </w:rPr>
        <w:t>广西紧跟国家部署，</w:t>
      </w:r>
      <w:r>
        <w:rPr>
          <w:rFonts w:hint="default" w:ascii="Times New Roman" w:hAnsi="Times New Roman" w:eastAsia="仿宋_GB2312" w:cs="Times New Roman"/>
          <w:color w:val="auto"/>
          <w:sz w:val="32"/>
          <w:szCs w:val="32"/>
          <w:lang w:val="en-US" w:eastAsia="zh-CN"/>
        </w:rPr>
        <w:t>先后</w:t>
      </w:r>
      <w:r>
        <w:rPr>
          <w:rFonts w:hint="default" w:ascii="Times New Roman" w:hAnsi="Times New Roman" w:eastAsia="仿宋_GB2312" w:cs="Times New Roman"/>
          <w:color w:val="auto"/>
          <w:sz w:val="32"/>
          <w:szCs w:val="32"/>
        </w:rPr>
        <w:t>出台《关于改革完善广西壮族自治区本级财政科研经费管理的实施意见》</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广西科技计划管理改革优化实施方案</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等</w:t>
      </w:r>
      <w:r>
        <w:rPr>
          <w:rFonts w:hint="default" w:ascii="Times New Roman" w:hAnsi="Times New Roman" w:eastAsia="仿宋_GB2312" w:cs="Times New Roman"/>
          <w:color w:val="auto"/>
          <w:sz w:val="32"/>
          <w:szCs w:val="32"/>
        </w:rPr>
        <w:t>，明确提出优化经费管理机制、强化绩效导向等任务。</w:t>
      </w:r>
      <w:r>
        <w:rPr>
          <w:rFonts w:hint="default" w:ascii="Times New Roman" w:hAnsi="Times New Roman" w:eastAsia="仿宋_GB2312" w:cs="Times New Roman"/>
          <w:color w:val="auto"/>
          <w:sz w:val="32"/>
          <w:szCs w:val="32"/>
          <w:lang w:val="en-US" w:eastAsia="zh-CN"/>
        </w:rPr>
        <w:t>广西</w:t>
      </w:r>
      <w:r>
        <w:rPr>
          <w:rFonts w:hint="default" w:ascii="Times New Roman" w:hAnsi="Times New Roman" w:eastAsia="仿宋_GB2312" w:cs="Times New Roman"/>
          <w:color w:val="auto"/>
          <w:sz w:val="32"/>
          <w:szCs w:val="32"/>
        </w:rPr>
        <w:t>现行</w:t>
      </w:r>
      <w:r>
        <w:rPr>
          <w:rFonts w:hint="default" w:ascii="Times New Roman" w:hAnsi="Times New Roman" w:eastAsia="仿宋_GB2312" w:cs="Times New Roman"/>
          <w:color w:val="auto"/>
          <w:sz w:val="32"/>
          <w:szCs w:val="32"/>
          <w:lang w:val="en-US" w:eastAsia="zh-CN"/>
        </w:rPr>
        <w:t>科技计划项目</w:t>
      </w:r>
      <w:r>
        <w:rPr>
          <w:rFonts w:hint="default" w:ascii="Times New Roman" w:hAnsi="Times New Roman" w:eastAsia="仿宋_GB2312" w:cs="Times New Roman"/>
          <w:color w:val="auto"/>
          <w:sz w:val="32"/>
          <w:szCs w:val="32"/>
        </w:rPr>
        <w:t>经费管理制度存在</w:t>
      </w:r>
      <w:r>
        <w:rPr>
          <w:rFonts w:hint="default" w:ascii="Times New Roman" w:hAnsi="Times New Roman" w:eastAsia="仿宋_GB2312" w:cs="Times New Roman"/>
          <w:color w:val="auto"/>
          <w:sz w:val="32"/>
          <w:szCs w:val="32"/>
          <w:lang w:val="en-US" w:eastAsia="zh-CN"/>
        </w:rPr>
        <w:t>预算管理</w:t>
      </w:r>
      <w:r>
        <w:rPr>
          <w:rFonts w:hint="default" w:ascii="Times New Roman" w:hAnsi="Times New Roman" w:eastAsia="仿宋_GB2312" w:cs="Times New Roman"/>
          <w:color w:val="auto"/>
          <w:sz w:val="32"/>
          <w:szCs w:val="32"/>
        </w:rPr>
        <w:t>僵化、间接费用比例偏低、结余资金处置不灵活</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监督机制不健全</w:t>
      </w:r>
      <w:r>
        <w:rPr>
          <w:rFonts w:hint="default" w:ascii="Times New Roman" w:hAnsi="Times New Roman" w:eastAsia="仿宋_GB2312" w:cs="Times New Roman"/>
          <w:color w:val="auto"/>
          <w:sz w:val="32"/>
          <w:szCs w:val="32"/>
        </w:rPr>
        <w:t>等问题，亟需通</w:t>
      </w:r>
      <w:r>
        <w:rPr>
          <w:rFonts w:hint="eastAsia" w:ascii="仿宋_GB2312" w:hAnsi="仿宋_GB2312" w:eastAsia="仿宋_GB2312" w:cs="仿宋_GB2312"/>
          <w:color w:val="auto"/>
          <w:sz w:val="32"/>
          <w:szCs w:val="32"/>
        </w:rPr>
        <w:t>过制度创新破解科研人员“重立项轻执行”“重经费申请轻成果产出”等痛点。《办法》旨在</w:t>
      </w:r>
      <w:r>
        <w:rPr>
          <w:rFonts w:hint="default" w:ascii="Times New Roman" w:hAnsi="Times New Roman" w:eastAsia="仿宋_GB2312" w:cs="Times New Roman"/>
          <w:color w:val="auto"/>
          <w:sz w:val="32"/>
          <w:szCs w:val="32"/>
        </w:rPr>
        <w:t>细化落实相关改革要求，构建</w:t>
      </w:r>
      <w:r>
        <w:rPr>
          <w:rFonts w:hint="eastAsia" w:ascii="Times New Roman" w:hAnsi="Times New Roman" w:eastAsia="仿宋_GB2312" w:cs="Times New Roman"/>
          <w:color w:val="auto"/>
          <w:sz w:val="32"/>
          <w:szCs w:val="32"/>
          <w:lang w:val="en-US" w:eastAsia="zh-CN"/>
        </w:rPr>
        <w:t>符合广西实际的</w:t>
      </w:r>
      <w:r>
        <w:rPr>
          <w:rFonts w:hint="default" w:ascii="Times New Roman" w:hAnsi="Times New Roman" w:eastAsia="仿宋_GB2312" w:cs="Times New Roman"/>
          <w:color w:val="auto"/>
          <w:sz w:val="32"/>
          <w:szCs w:val="32"/>
        </w:rPr>
        <w:t>科学规范的</w:t>
      </w:r>
      <w:r>
        <w:rPr>
          <w:rFonts w:hint="default" w:ascii="Times New Roman" w:hAnsi="Times New Roman" w:eastAsia="仿宋_GB2312" w:cs="Times New Roman"/>
          <w:color w:val="auto"/>
          <w:sz w:val="32"/>
          <w:szCs w:val="32"/>
          <w:lang w:val="en-US" w:eastAsia="zh-CN"/>
        </w:rPr>
        <w:t>项目</w:t>
      </w:r>
      <w:r>
        <w:rPr>
          <w:rFonts w:hint="default" w:ascii="Times New Roman" w:hAnsi="Times New Roman" w:eastAsia="仿宋_GB2312" w:cs="Times New Roman"/>
          <w:color w:val="auto"/>
          <w:sz w:val="32"/>
          <w:szCs w:val="32"/>
        </w:rPr>
        <w:t>经费管理体系。</w:t>
      </w:r>
    </w:p>
    <w:p w14:paraId="68C2C19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color w:val="auto"/>
          <w:sz w:val="32"/>
          <w:szCs w:val="32"/>
          <w:lang w:eastAsia="zh-CN"/>
        </w:rPr>
      </w:pPr>
      <w:r>
        <w:rPr>
          <w:rFonts w:hint="default" w:ascii="Times New Roman" w:hAnsi="Times New Roman" w:eastAsia="黑体" w:cs="Times New Roman"/>
          <w:color w:val="auto"/>
          <w:sz w:val="32"/>
          <w:szCs w:val="32"/>
          <w:lang w:val="en-US" w:eastAsia="zh-CN"/>
        </w:rPr>
        <w:t>二</w:t>
      </w:r>
      <w:r>
        <w:rPr>
          <w:rFonts w:hint="default" w:ascii="Times New Roman" w:hAnsi="Times New Roman" w:eastAsia="黑体" w:cs="Times New Roman"/>
          <w:color w:val="auto"/>
          <w:sz w:val="32"/>
          <w:szCs w:val="32"/>
        </w:rPr>
        <w:t>、</w:t>
      </w:r>
      <w:r>
        <w:rPr>
          <w:rFonts w:hint="default" w:ascii="Times New Roman" w:hAnsi="Times New Roman" w:eastAsia="黑体" w:cs="Times New Roman"/>
          <w:color w:val="auto"/>
          <w:sz w:val="32"/>
          <w:szCs w:val="32"/>
          <w:lang w:val="en-US" w:eastAsia="zh-CN"/>
        </w:rPr>
        <w:t>起草依据和主要参考</w:t>
      </w:r>
    </w:p>
    <w:p w14:paraId="00FC07F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1.</w:t>
      </w:r>
      <w:r>
        <w:rPr>
          <w:rFonts w:hint="default" w:ascii="Times New Roman" w:hAnsi="Times New Roman" w:eastAsia="仿宋_GB2312" w:cs="Times New Roman"/>
          <w:color w:val="auto"/>
          <w:sz w:val="32"/>
          <w:szCs w:val="32"/>
        </w:rPr>
        <w:t>广西壮族自治区人民政府关于印发《广西科技计划管理改革优化实施方案的通知</w:t>
      </w:r>
      <w:bookmarkStart w:id="0" w:name="_GoBack"/>
      <w:bookmarkEnd w:id="0"/>
      <w:r>
        <w:rPr>
          <w:rFonts w:hint="default" w:ascii="Times New Roman" w:hAnsi="Times New Roman" w:eastAsia="仿宋_GB2312" w:cs="Times New Roman"/>
          <w:color w:val="auto"/>
          <w:sz w:val="32"/>
          <w:szCs w:val="32"/>
        </w:rPr>
        <w:t>》（桂政发〔2024〕35号）</w:t>
      </w:r>
      <w:r>
        <w:rPr>
          <w:rFonts w:hint="default" w:ascii="Times New Roman" w:hAnsi="Times New Roman" w:eastAsia="仿宋_GB2312" w:cs="Times New Roman"/>
          <w:color w:val="auto"/>
          <w:sz w:val="32"/>
          <w:szCs w:val="32"/>
          <w:lang w:eastAsia="zh-CN"/>
        </w:rPr>
        <w:t>；</w:t>
      </w:r>
    </w:p>
    <w:p w14:paraId="02271C8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2.</w:t>
      </w:r>
      <w:r>
        <w:rPr>
          <w:rFonts w:hint="default" w:ascii="Times New Roman" w:hAnsi="Times New Roman" w:eastAsia="仿宋_GB2312" w:cs="Times New Roman"/>
          <w:color w:val="auto"/>
          <w:sz w:val="32"/>
          <w:szCs w:val="32"/>
        </w:rPr>
        <w:t>广西壮族自治区财政厅 广西壮族自治区科学技术厅印发《关于改革完善广西壮族自治区本级财政科研经费管理的实施意见的通知》（桂财教〔2021〕170号）</w:t>
      </w:r>
      <w:r>
        <w:rPr>
          <w:rFonts w:hint="default" w:ascii="Times New Roman" w:hAnsi="Times New Roman" w:eastAsia="仿宋_GB2312" w:cs="Times New Roman"/>
          <w:color w:val="auto"/>
          <w:sz w:val="32"/>
          <w:szCs w:val="32"/>
          <w:lang w:eastAsia="zh-CN"/>
        </w:rPr>
        <w:t>；</w:t>
      </w:r>
    </w:p>
    <w:p w14:paraId="2303858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3.江苏省财政厅 江苏省科学技术厅关于印发《江苏省科技计划专项资金管理办法》的通知（苏财规〔2023〕1号）；</w:t>
      </w:r>
    </w:p>
    <w:p w14:paraId="568CCB7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4.浙江省财政厅 浙江省科学技术厅关于印发浙江省科技发展专项资金管理办法的通知（浙财科教〔2023〕1号）</w:t>
      </w:r>
    </w:p>
    <w:p w14:paraId="0EDD1A3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5.天津市财政局天津市科学技术局关于印发天津市科技计划项目经费管理办法的通知（津财教〔2022〕57号）；</w:t>
      </w:r>
    </w:p>
    <w:p w14:paraId="22779C3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6.关于印发《辽宁省科技专项资金管理办法》的通知（辽财教规〔2024</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val="en-US" w:eastAsia="zh-CN"/>
        </w:rPr>
        <w:t>11号）；</w:t>
      </w:r>
    </w:p>
    <w:p w14:paraId="56DDF7A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7.福建省科学技术厅 福建省财政厅关于印发《福建省级科技计划项目经费管理办法》的通知。</w:t>
      </w:r>
    </w:p>
    <w:p w14:paraId="1A40BF87">
      <w:pPr>
        <w:keepNext w:val="0"/>
        <w:keepLines w:val="0"/>
        <w:pageBreakBefore w:val="0"/>
        <w:widowControl w:val="0"/>
        <w:tabs>
          <w:tab w:val="left" w:pos="6136"/>
        </w:tabs>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color w:val="auto"/>
          <w:sz w:val="32"/>
          <w:szCs w:val="32"/>
          <w:lang w:eastAsia="zh-CN"/>
        </w:rPr>
      </w:pPr>
      <w:r>
        <w:rPr>
          <w:rFonts w:hint="default" w:ascii="Times New Roman" w:hAnsi="Times New Roman" w:eastAsia="黑体" w:cs="Times New Roman"/>
          <w:color w:val="auto"/>
          <w:sz w:val="32"/>
          <w:szCs w:val="32"/>
          <w:lang w:val="en-US" w:eastAsia="zh-CN"/>
        </w:rPr>
        <w:t>三</w:t>
      </w:r>
      <w:r>
        <w:rPr>
          <w:rFonts w:hint="default" w:ascii="Times New Roman" w:hAnsi="Times New Roman" w:eastAsia="黑体" w:cs="Times New Roman"/>
          <w:color w:val="auto"/>
          <w:sz w:val="32"/>
          <w:szCs w:val="32"/>
        </w:rPr>
        <w:t>、主要内容与创新亮点</w:t>
      </w:r>
      <w:r>
        <w:rPr>
          <w:rFonts w:hint="default" w:ascii="Times New Roman" w:hAnsi="Times New Roman" w:eastAsia="黑体" w:cs="Times New Roman"/>
          <w:color w:val="auto"/>
          <w:sz w:val="32"/>
          <w:szCs w:val="32"/>
          <w:lang w:eastAsia="zh-CN"/>
        </w:rPr>
        <w:tab/>
      </w:r>
    </w:p>
    <w:p w14:paraId="72AAD1E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《办法》共七章三十七条，</w:t>
      </w:r>
      <w:r>
        <w:rPr>
          <w:rFonts w:hint="default" w:ascii="Times New Roman" w:hAnsi="Times New Roman" w:eastAsia="仿宋_GB2312" w:cs="Times New Roman"/>
          <w:color w:val="auto"/>
          <w:sz w:val="32"/>
          <w:szCs w:val="32"/>
          <w:lang w:val="en-US" w:eastAsia="zh-CN"/>
        </w:rPr>
        <w:t>主要</w:t>
      </w:r>
      <w:r>
        <w:rPr>
          <w:rFonts w:hint="default" w:ascii="Times New Roman" w:hAnsi="Times New Roman" w:eastAsia="仿宋_GB2312" w:cs="Times New Roman"/>
          <w:color w:val="auto"/>
          <w:sz w:val="32"/>
          <w:szCs w:val="32"/>
        </w:rPr>
        <w:t>内容</w:t>
      </w:r>
      <w:r>
        <w:rPr>
          <w:rFonts w:hint="default" w:ascii="Times New Roman" w:hAnsi="Times New Roman" w:eastAsia="仿宋_GB2312" w:cs="Times New Roman"/>
          <w:color w:val="auto"/>
          <w:sz w:val="32"/>
          <w:szCs w:val="32"/>
          <w:lang w:val="en-US" w:eastAsia="zh-CN"/>
        </w:rPr>
        <w:t>和亮点</w:t>
      </w:r>
      <w:r>
        <w:rPr>
          <w:rFonts w:hint="default" w:ascii="Times New Roman" w:hAnsi="Times New Roman" w:eastAsia="仿宋_GB2312" w:cs="Times New Roman"/>
          <w:color w:val="auto"/>
          <w:sz w:val="32"/>
          <w:szCs w:val="32"/>
        </w:rPr>
        <w:t>如下：</w:t>
      </w:r>
    </w:p>
    <w:p w14:paraId="28099E6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（一）明确职责分工，压实主体责任</w:t>
      </w:r>
    </w:p>
    <w:p w14:paraId="3FC9E9E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建立</w:t>
      </w:r>
      <w:r>
        <w:rPr>
          <w:rFonts w:hint="default" w:ascii="Times New Roman" w:hAnsi="Times New Roman" w:eastAsia="仿宋_GB2312" w:cs="Times New Roman"/>
          <w:color w:val="auto"/>
          <w:sz w:val="32"/>
          <w:szCs w:val="32"/>
        </w:rPr>
        <w:t>部门协同机制</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明晰各部门和机构的职责与分工</w:t>
      </w:r>
      <w:r>
        <w:rPr>
          <w:rFonts w:hint="default" w:ascii="Times New Roman" w:hAnsi="Times New Roman" w:eastAsia="仿宋_GB2312" w:cs="Times New Roman"/>
          <w:color w:val="auto"/>
          <w:sz w:val="32"/>
          <w:szCs w:val="32"/>
        </w:rPr>
        <w:t>，形成</w:t>
      </w:r>
      <w:r>
        <w:rPr>
          <w:rFonts w:hint="eastAsia" w:ascii="仿宋_GB2312" w:hAnsi="仿宋_GB2312" w:eastAsia="仿宋_GB2312" w:cs="仿宋_GB2312"/>
          <w:color w:val="auto"/>
          <w:sz w:val="32"/>
          <w:szCs w:val="32"/>
        </w:rPr>
        <w:t>“财政</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科技</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管理机构</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项目单位”</w:t>
      </w:r>
      <w:r>
        <w:rPr>
          <w:rFonts w:hint="eastAsia" w:ascii="仿宋_GB2312" w:hAnsi="仿宋_GB2312" w:eastAsia="仿宋_GB2312" w:cs="仿宋_GB2312"/>
          <w:color w:val="auto"/>
          <w:sz w:val="32"/>
          <w:szCs w:val="32"/>
          <w:lang w:val="en-US" w:eastAsia="zh-CN"/>
        </w:rPr>
        <w:t>多</w:t>
      </w:r>
      <w:r>
        <w:rPr>
          <w:rFonts w:hint="eastAsia" w:ascii="仿宋_GB2312" w:hAnsi="仿宋_GB2312" w:eastAsia="仿宋_GB2312" w:cs="仿宋_GB2312"/>
          <w:color w:val="auto"/>
          <w:sz w:val="32"/>
          <w:szCs w:val="32"/>
        </w:rPr>
        <w:t>级联动</w:t>
      </w:r>
      <w:r>
        <w:rPr>
          <w:rFonts w:hint="default" w:ascii="Times New Roman" w:hAnsi="Times New Roman" w:eastAsia="仿宋_GB2312" w:cs="Times New Roman"/>
          <w:color w:val="auto"/>
          <w:sz w:val="32"/>
          <w:szCs w:val="32"/>
        </w:rPr>
        <w:t>管理架构。</w:t>
      </w:r>
    </w:p>
    <w:p w14:paraId="16CB468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（二）优化</w:t>
      </w:r>
      <w:r>
        <w:rPr>
          <w:rFonts w:hint="eastAsia" w:ascii="楷体_GB2312" w:hAnsi="楷体_GB2312" w:eastAsia="楷体_GB2312" w:cs="楷体_GB2312"/>
          <w:color w:val="auto"/>
          <w:sz w:val="32"/>
          <w:szCs w:val="32"/>
          <w:lang w:val="en-US" w:eastAsia="zh-CN"/>
        </w:rPr>
        <w:t>开支范围和预算管理</w:t>
      </w:r>
      <w:r>
        <w:rPr>
          <w:rFonts w:hint="eastAsia" w:ascii="楷体_GB2312" w:hAnsi="楷体_GB2312" w:eastAsia="楷体_GB2312" w:cs="楷体_GB2312"/>
          <w:color w:val="auto"/>
          <w:sz w:val="32"/>
          <w:szCs w:val="32"/>
        </w:rPr>
        <w:t>，扩大自主权</w:t>
      </w:r>
    </w:p>
    <w:p w14:paraId="789B4B4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聚焦新的科技计划体系，</w:t>
      </w:r>
      <w:r>
        <w:rPr>
          <w:rFonts w:hint="default" w:ascii="Times New Roman" w:hAnsi="Times New Roman" w:eastAsia="仿宋_GB2312" w:cs="Times New Roman"/>
          <w:color w:val="auto"/>
          <w:sz w:val="32"/>
          <w:szCs w:val="32"/>
        </w:rPr>
        <w:t>经费优先</w:t>
      </w:r>
      <w:r>
        <w:rPr>
          <w:rFonts w:hint="eastAsia" w:ascii="仿宋_GB2312" w:hAnsi="仿宋_GB2312" w:eastAsia="仿宋_GB2312" w:cs="仿宋_GB2312"/>
          <w:color w:val="auto"/>
          <w:sz w:val="32"/>
          <w:szCs w:val="32"/>
        </w:rPr>
        <w:t>支持“夯基”“尖锋”“智果”</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垒台</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协同</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赋能</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等</w:t>
      </w:r>
      <w:r>
        <w:rPr>
          <w:rFonts w:hint="eastAsia" w:ascii="仿宋_GB2312" w:hAnsi="仿宋_GB2312" w:eastAsia="仿宋_GB2312" w:cs="仿宋_GB2312"/>
          <w:color w:val="auto"/>
          <w:sz w:val="32"/>
          <w:szCs w:val="32"/>
          <w:lang w:val="en-US" w:eastAsia="zh-CN"/>
        </w:rPr>
        <w:t>六</w:t>
      </w:r>
      <w:r>
        <w:rPr>
          <w:rFonts w:hint="eastAsia" w:ascii="仿宋_GB2312" w:hAnsi="仿宋_GB2312" w:eastAsia="仿宋_GB2312" w:cs="仿宋_GB2312"/>
          <w:color w:val="auto"/>
          <w:sz w:val="32"/>
          <w:szCs w:val="32"/>
        </w:rPr>
        <w:t>大行动计划。</w:t>
      </w:r>
      <w:r>
        <w:rPr>
          <w:rFonts w:hint="eastAsia" w:ascii="仿宋_GB2312" w:hAnsi="仿宋_GB2312" w:eastAsia="仿宋_GB2312" w:cs="仿宋_GB2312"/>
          <w:color w:val="auto"/>
          <w:sz w:val="32"/>
          <w:szCs w:val="32"/>
          <w:lang w:val="en-US" w:eastAsia="zh-CN"/>
        </w:rPr>
        <w:t>明确经费</w:t>
      </w:r>
      <w:r>
        <w:rPr>
          <w:rFonts w:hint="default" w:ascii="Times New Roman" w:hAnsi="Times New Roman" w:eastAsia="仿宋_GB2312" w:cs="Times New Roman"/>
          <w:color w:val="auto"/>
          <w:sz w:val="32"/>
          <w:szCs w:val="32"/>
          <w:lang w:val="en-US" w:eastAsia="zh-CN"/>
        </w:rPr>
        <w:t>支持范围和开支范围，</w:t>
      </w:r>
      <w:r>
        <w:rPr>
          <w:rFonts w:hint="default" w:ascii="Times New Roman" w:hAnsi="Times New Roman" w:eastAsia="仿宋_GB2312" w:cs="Times New Roman"/>
          <w:color w:val="auto"/>
          <w:sz w:val="32"/>
          <w:szCs w:val="32"/>
        </w:rPr>
        <w:t>简化预算编制流程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提高间接费用比例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优化预算评审，完善经费拨付机制</w:t>
      </w:r>
      <w:r>
        <w:rPr>
          <w:rFonts w:hint="default" w:ascii="Times New Roman" w:hAnsi="Times New Roman" w:eastAsia="仿宋_GB2312" w:cs="Times New Roman"/>
          <w:color w:val="auto"/>
          <w:sz w:val="32"/>
          <w:szCs w:val="32"/>
        </w:rPr>
        <w:t>。</w:t>
      </w:r>
    </w:p>
    <w:p w14:paraId="56EE63C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（三）强化全过程监管，防范风险</w:t>
      </w:r>
    </w:p>
    <w:p w14:paraId="43CBB67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强化过程管理，建立负面清单。采用</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里程碑</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管理机制</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根据实际需要</w:t>
      </w:r>
      <w:r>
        <w:rPr>
          <w:rFonts w:hint="eastAsia" w:ascii="仿宋_GB2312" w:hAnsi="仿宋_GB2312" w:eastAsia="仿宋_GB2312" w:cs="仿宋_GB2312"/>
          <w:color w:val="auto"/>
          <w:sz w:val="32"/>
          <w:szCs w:val="32"/>
        </w:rPr>
        <w:t>实行“中期评估+节点拨款”，</w:t>
      </w:r>
      <w:r>
        <w:rPr>
          <w:rFonts w:hint="eastAsia" w:ascii="仿宋_GB2312" w:hAnsi="仿宋_GB2312" w:eastAsia="仿宋_GB2312" w:cs="仿宋_GB2312"/>
          <w:color w:val="auto"/>
          <w:sz w:val="32"/>
          <w:szCs w:val="32"/>
          <w:lang w:val="en-US" w:eastAsia="zh-CN"/>
        </w:rPr>
        <w:t>引导经</w:t>
      </w:r>
      <w:r>
        <w:rPr>
          <w:rFonts w:hint="default" w:ascii="Times New Roman" w:hAnsi="Times New Roman" w:eastAsia="仿宋_GB2312" w:cs="Times New Roman"/>
          <w:color w:val="auto"/>
          <w:sz w:val="32"/>
          <w:szCs w:val="32"/>
          <w:lang w:val="en-US" w:eastAsia="zh-CN"/>
        </w:rPr>
        <w:t>费规范合理安全使用</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val="en-US" w:eastAsia="zh-CN"/>
        </w:rPr>
        <w:t>根据不同情况</w:t>
      </w:r>
      <w:r>
        <w:rPr>
          <w:rFonts w:hint="default" w:ascii="Times New Roman" w:hAnsi="Times New Roman" w:eastAsia="仿宋_GB2312" w:cs="Times New Roman"/>
          <w:color w:val="auto"/>
          <w:sz w:val="32"/>
          <w:szCs w:val="32"/>
        </w:rPr>
        <w:t>灵活处置结余资金。</w:t>
      </w:r>
    </w:p>
    <w:p w14:paraId="0DB27E7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rPr>
        <w:t>（四）</w:t>
      </w:r>
      <w:r>
        <w:rPr>
          <w:rFonts w:hint="eastAsia" w:ascii="楷体_GB2312" w:hAnsi="楷体_GB2312" w:eastAsia="楷体_GB2312" w:cs="楷体_GB2312"/>
          <w:color w:val="auto"/>
          <w:sz w:val="32"/>
          <w:szCs w:val="32"/>
          <w:lang w:val="en-US" w:eastAsia="zh-CN"/>
        </w:rPr>
        <w:t>加强监督管理，落实信用管理要求</w:t>
      </w:r>
    </w:p>
    <w:p w14:paraId="0F782B3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实行</w:t>
      </w:r>
      <w:r>
        <w:rPr>
          <w:rFonts w:hint="default" w:ascii="Times New Roman" w:hAnsi="Times New Roman" w:eastAsia="仿宋_GB2312" w:cs="Times New Roman"/>
          <w:color w:val="auto"/>
          <w:sz w:val="32"/>
          <w:szCs w:val="32"/>
        </w:rPr>
        <w:t>信用管理联动</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建立违规行为信用记录，与项目申报、经费分配等挂钩，形成“一处失信、处处受限”的约束机制。</w:t>
      </w:r>
    </w:p>
    <w:p w14:paraId="665E497E">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auto"/>
          <w:sz w:val="32"/>
          <w:szCs w:val="32"/>
        </w:rPr>
      </w:pPr>
    </w:p>
    <w:sectPr>
      <w:footerReference r:id="rId3" w:type="default"/>
      <w:pgSz w:w="11906" w:h="16838"/>
      <w:pgMar w:top="2098" w:right="1531" w:bottom="1440" w:left="1531" w:header="851" w:footer="1417"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41938">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20187D">
                          <w:pPr>
                            <w:pStyle w:val="5"/>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default" w:ascii="Times New Roman" w:hAnsi="Times New Roman" w:cs="Times New Roman" w:eastAsiaTheme="minorEastAsia"/>
                              <w:sz w:val="28"/>
                              <w:szCs w:val="28"/>
                              <w:lang w:eastAsia="zh-CN"/>
                            </w:rPr>
                            <w:fldChar w:fldCharType="begin"/>
                          </w:r>
                          <w:r>
                            <w:rPr>
                              <w:rFonts w:hint="default" w:ascii="Times New Roman" w:hAnsi="Times New Roman" w:cs="Times New Roman" w:eastAsiaTheme="minorEastAsia"/>
                              <w:sz w:val="28"/>
                              <w:szCs w:val="28"/>
                              <w:lang w:eastAsia="zh-CN"/>
                            </w:rPr>
                            <w:instrText xml:space="preserve"> PAGE  \* MERGEFORMAT </w:instrText>
                          </w:r>
                          <w:r>
                            <w:rPr>
                              <w:rFonts w:hint="default" w:ascii="Times New Roman" w:hAnsi="Times New Roman" w:cs="Times New Roman" w:eastAsiaTheme="minorEastAsia"/>
                              <w:sz w:val="28"/>
                              <w:szCs w:val="28"/>
                              <w:lang w:eastAsia="zh-CN"/>
                            </w:rPr>
                            <w:fldChar w:fldCharType="separate"/>
                          </w:r>
                          <w:r>
                            <w:rPr>
                              <w:rFonts w:hint="default" w:ascii="Times New Roman" w:hAnsi="Times New Roman" w:cs="Times New Roman" w:eastAsiaTheme="minorEastAsia"/>
                              <w:sz w:val="28"/>
                              <w:szCs w:val="28"/>
                              <w:lang w:eastAsia="zh-CN"/>
                            </w:rPr>
                            <w:t>1</w:t>
                          </w:r>
                          <w:r>
                            <w:rPr>
                              <w:rFonts w:hint="default" w:ascii="Times New Roman" w:hAnsi="Times New Roman" w:cs="Times New Roman" w:eastAsia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D20187D">
                    <w:pPr>
                      <w:pStyle w:val="5"/>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default" w:ascii="Times New Roman" w:hAnsi="Times New Roman" w:cs="Times New Roman" w:eastAsiaTheme="minorEastAsia"/>
                        <w:sz w:val="28"/>
                        <w:szCs w:val="28"/>
                        <w:lang w:eastAsia="zh-CN"/>
                      </w:rPr>
                      <w:fldChar w:fldCharType="begin"/>
                    </w:r>
                    <w:r>
                      <w:rPr>
                        <w:rFonts w:hint="default" w:ascii="Times New Roman" w:hAnsi="Times New Roman" w:cs="Times New Roman" w:eastAsiaTheme="minorEastAsia"/>
                        <w:sz w:val="28"/>
                        <w:szCs w:val="28"/>
                        <w:lang w:eastAsia="zh-CN"/>
                      </w:rPr>
                      <w:instrText xml:space="preserve"> PAGE  \* MERGEFORMAT </w:instrText>
                    </w:r>
                    <w:r>
                      <w:rPr>
                        <w:rFonts w:hint="default" w:ascii="Times New Roman" w:hAnsi="Times New Roman" w:cs="Times New Roman" w:eastAsiaTheme="minorEastAsia"/>
                        <w:sz w:val="28"/>
                        <w:szCs w:val="28"/>
                        <w:lang w:eastAsia="zh-CN"/>
                      </w:rPr>
                      <w:fldChar w:fldCharType="separate"/>
                    </w:r>
                    <w:r>
                      <w:rPr>
                        <w:rFonts w:hint="default" w:ascii="Times New Roman" w:hAnsi="Times New Roman" w:cs="Times New Roman" w:eastAsiaTheme="minorEastAsia"/>
                        <w:sz w:val="28"/>
                        <w:szCs w:val="28"/>
                        <w:lang w:eastAsia="zh-CN"/>
                      </w:rPr>
                      <w:t>1</w:t>
                    </w:r>
                    <w:r>
                      <w:rPr>
                        <w:rFonts w:hint="default" w:ascii="Times New Roman" w:hAnsi="Times New Roman" w:cs="Times New Roman" w:eastAsia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801541F"/>
    <w:rsid w:val="08FC4216"/>
    <w:rsid w:val="0D9442E4"/>
    <w:rsid w:val="0DB74B48"/>
    <w:rsid w:val="10935409"/>
    <w:rsid w:val="120963A4"/>
    <w:rsid w:val="23FE15EC"/>
    <w:rsid w:val="2FF3586F"/>
    <w:rsid w:val="32AB109C"/>
    <w:rsid w:val="4801541F"/>
    <w:rsid w:val="53AD0EA5"/>
    <w:rsid w:val="569222D6"/>
    <w:rsid w:val="59247B33"/>
    <w:rsid w:val="5BCD28AA"/>
    <w:rsid w:val="5F042E9E"/>
    <w:rsid w:val="68FFCF8F"/>
    <w:rsid w:val="6AF36585"/>
    <w:rsid w:val="6D4C0B71"/>
    <w:rsid w:val="71C0615A"/>
    <w:rsid w:val="76EC602F"/>
    <w:rsid w:val="7B0377A0"/>
    <w:rsid w:val="7E502345"/>
    <w:rsid w:val="7F4F4D6C"/>
    <w:rsid w:val="7F9E036E"/>
    <w:rsid w:val="BDEB26DC"/>
    <w:rsid w:val="FDFF73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4">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黑体" w:hAnsi="Times New Roman" w:eastAsia="黑体" w:cs="Times New Roman"/>
      <w:color w:val="000000"/>
      <w:sz w:val="24"/>
      <w:szCs w:val="24"/>
      <w:lang w:val="en-US" w:eastAsia="zh-CN" w:bidi="ar-SA"/>
    </w:rPr>
  </w:style>
  <w:style w:type="paragraph" w:styleId="5">
    <w:name w:val="footer"/>
    <w:basedOn w:val="1"/>
    <w:uiPriority w:val="0"/>
    <w:pPr>
      <w:tabs>
        <w:tab w:val="center" w:pos="4153"/>
        <w:tab w:val="right" w:pos="8306"/>
      </w:tabs>
      <w:snapToGrid w:val="0"/>
      <w:jc w:val="left"/>
    </w:pPr>
    <w:rPr>
      <w:sz w:val="18"/>
    </w:rPr>
  </w:style>
  <w:style w:type="paragraph" w:styleId="6">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rPr>
      <w:sz w:val="24"/>
    </w:rPr>
  </w:style>
  <w:style w:type="character" w:styleId="10">
    <w:name w:val="Strong"/>
    <w:basedOn w:val="9"/>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1285</Words>
  <Characters>1322</Characters>
  <Lines>0</Lines>
  <Paragraphs>0</Paragraphs>
  <TotalTime>4</TotalTime>
  <ScaleCrop>false</ScaleCrop>
  <LinksUpToDate>false</LinksUpToDate>
  <CharactersWithSpaces>1327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2025-05-08T09:22:00Z</dcterms:created>
  <dc:creator>潘莉莉</dc:creator>
  <cp:lastModifiedBy>墨迹夏子</cp:lastModifiedBy>
  <dcterms:modified xsi:type="dcterms:W3CDTF">2025-05-12T04:07:20Z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4ED8C64EE02E4C44A5C7653E33336ABB</vt:lpwstr>
  </property>
  <property fmtid="{D5CDD505-2E9C-101B-9397-08002B2CF9AE}" pid="4" name="KSOTemplateDocerSaveRecord">
    <vt:lpwstr>eyJoZGlkIjoiYzY5ZDFkYjAwZjNhYTM1NDBlZTczZjFiNGMyNzYxN2IiLCJ1c2VySWQiOiIzNjAwMjk3NDgifQ==</vt:lpwstr>
  </property>
</Properties>
</file>