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D0EB4">
      <w:pPr>
        <w:spacing w:line="440" w:lineRule="exact"/>
        <w:jc w:val="right"/>
        <w:rPr>
          <w:rFonts w:ascii="仿宋_GB2312" w:hAnsi="Times New Roman" w:eastAsia="仿宋_GB2312"/>
          <w:sz w:val="32"/>
          <w:szCs w:val="32"/>
        </w:rPr>
      </w:pPr>
    </w:p>
    <w:p w14:paraId="7218BD94">
      <w:pPr>
        <w:spacing w:line="440" w:lineRule="exact"/>
        <w:jc w:val="right"/>
        <w:rPr>
          <w:rFonts w:ascii="仿宋_GB2312" w:hAnsi="Times New Roman" w:eastAsia="仿宋_GB2312"/>
          <w:sz w:val="32"/>
          <w:szCs w:val="32"/>
        </w:rPr>
      </w:pPr>
    </w:p>
    <w:p w14:paraId="48BB37EF">
      <w:pPr>
        <w:spacing w:line="440" w:lineRule="exact"/>
        <w:jc w:val="right"/>
        <w:rPr>
          <w:rFonts w:ascii="Times New Roman" w:hAnsi="Times New Roman" w:eastAsia="仿宋_GB2312"/>
          <w:sz w:val="28"/>
          <w:szCs w:val="28"/>
        </w:rPr>
      </w:pPr>
    </w:p>
    <w:p w14:paraId="00C7CEBB">
      <w:pPr>
        <w:spacing w:line="440" w:lineRule="exact"/>
        <w:jc w:val="right"/>
        <w:rPr>
          <w:rFonts w:ascii="仿宋_GB2312" w:hAnsi="Times New Roman" w:eastAsia="仿宋_GB2312"/>
          <w:sz w:val="32"/>
          <w:szCs w:val="32"/>
        </w:rPr>
      </w:pPr>
    </w:p>
    <w:p w14:paraId="03E76433">
      <w:pPr>
        <w:spacing w:line="440" w:lineRule="exact"/>
        <w:jc w:val="right"/>
        <w:rPr>
          <w:rFonts w:ascii="仿宋_GB2312" w:hAnsi="Times New Roman" w:eastAsia="仿宋_GB2312"/>
          <w:sz w:val="32"/>
          <w:szCs w:val="32"/>
        </w:rPr>
      </w:pPr>
    </w:p>
    <w:p w14:paraId="0E0FB900">
      <w:pPr>
        <w:spacing w:line="900" w:lineRule="exact"/>
        <w:jc w:val="center"/>
        <w:rPr>
          <w:rFonts w:ascii="方正小标宋简体" w:hAnsi="Times New Roman" w:eastAsia="方正小标宋简体"/>
          <w:color w:val="FF0000"/>
          <w:spacing w:val="0"/>
          <w:sz w:val="52"/>
          <w:szCs w:val="52"/>
        </w:rPr>
      </w:pPr>
      <w:r>
        <w:rPr>
          <w:rFonts w:hint="eastAsia" w:ascii="方正小标宋简体" w:hAnsi="Times New Roman" w:eastAsia="方正小标宋简体"/>
          <w:color w:val="FF0000"/>
          <w:spacing w:val="120"/>
          <w:sz w:val="52"/>
          <w:szCs w:val="52"/>
        </w:rPr>
        <w:t>广西壮族自治</w:t>
      </w:r>
      <w:r>
        <w:rPr>
          <w:rFonts w:hint="eastAsia" w:ascii="方正小标宋简体" w:hAnsi="Times New Roman" w:eastAsia="方正小标宋简体"/>
          <w:color w:val="FF0000"/>
          <w:spacing w:val="0"/>
          <w:sz w:val="52"/>
          <w:szCs w:val="52"/>
        </w:rPr>
        <w:t>区</w:t>
      </w:r>
    </w:p>
    <w:p w14:paraId="42A18840">
      <w:pPr>
        <w:spacing w:line="1200" w:lineRule="exact"/>
        <w:jc w:val="center"/>
        <w:rPr>
          <w:rFonts w:ascii="方正小标宋简体" w:hAnsi="Times New Roman" w:eastAsia="方正小标宋简体"/>
          <w:color w:val="FF0000"/>
          <w:spacing w:val="20"/>
          <w:sz w:val="96"/>
          <w:szCs w:val="96"/>
        </w:rPr>
      </w:pPr>
      <w:r>
        <w:rPr>
          <w:rFonts w:hint="eastAsia" w:ascii="方正小标宋简体" w:hAnsi="Times New Roman" w:eastAsia="方正小标宋简体"/>
          <w:color w:val="FF0000"/>
          <w:spacing w:val="20"/>
          <w:sz w:val="96"/>
          <w:szCs w:val="96"/>
        </w:rPr>
        <w:t>科学技术厅文件</w:t>
      </w:r>
    </w:p>
    <w:p w14:paraId="1F30708C">
      <w:pPr>
        <w:spacing w:line="260" w:lineRule="exact"/>
        <w:jc w:val="center"/>
        <w:rPr>
          <w:rFonts w:ascii="仿宋_GB2312" w:hAnsi="Times New Roman" w:eastAsia="仿宋_GB2312"/>
          <w:sz w:val="32"/>
          <w:szCs w:val="32"/>
        </w:rPr>
      </w:pPr>
    </w:p>
    <w:p w14:paraId="19904068">
      <w:pPr>
        <w:spacing w:line="260" w:lineRule="exact"/>
        <w:jc w:val="center"/>
        <w:rPr>
          <w:rFonts w:ascii="仿宋_GB2312" w:hAnsi="Times New Roman" w:eastAsia="仿宋_GB2312"/>
          <w:sz w:val="32"/>
          <w:szCs w:val="32"/>
        </w:rPr>
      </w:pPr>
    </w:p>
    <w:p w14:paraId="0111F4A5">
      <w:pPr>
        <w:spacing w:line="560" w:lineRule="exact"/>
        <w:ind w:firstLine="163" w:firstLineChars="50"/>
        <w:jc w:val="center"/>
        <w:rPr>
          <w:rFonts w:ascii="Times New Roman" w:hAnsi="Times New Roman" w:eastAsia="仿宋_GB2312"/>
          <w:color w:val="000000"/>
          <w:sz w:val="32"/>
          <w:szCs w:val="32"/>
        </w:rPr>
      </w:pPr>
      <w:r>
        <w:rPr>
          <w:rFonts w:hint="eastAsia" w:ascii="仿宋_GB2312" w:hAnsi="Times New Roman" w:eastAsia="仿宋_GB2312"/>
          <w:sz w:val="32"/>
          <w:szCs w:val="32"/>
        </w:rPr>
        <w:t>桂</w:t>
      </w:r>
      <w:r>
        <w:rPr>
          <w:rFonts w:hint="eastAsia" w:ascii="Times New Roman" w:hAnsi="Times New Roman" w:eastAsia="仿宋_GB2312"/>
          <w:color w:val="000000"/>
          <w:sz w:val="32"/>
          <w:szCs w:val="32"/>
        </w:rPr>
        <w:t>科</w:t>
      </w:r>
      <w:r>
        <w:rPr>
          <w:rFonts w:hint="eastAsia" w:ascii="Times New Roman" w:hAnsi="Times New Roman" w:eastAsia="仿宋_GB2312"/>
          <w:color w:val="000000"/>
          <w:sz w:val="32"/>
          <w:szCs w:val="32"/>
          <w:lang w:eastAsia="zh-CN"/>
        </w:rPr>
        <w:t>规字</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 w:eastAsia="zh-CN"/>
        </w:rPr>
        <w:t>2025</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9</w:t>
      </w:r>
      <w:r>
        <w:rPr>
          <w:rFonts w:hint="eastAsia" w:ascii="Times New Roman" w:hAnsi="Times New Roman" w:eastAsia="仿宋_GB2312"/>
          <w:color w:val="000000"/>
          <w:sz w:val="32"/>
          <w:szCs w:val="32"/>
        </w:rPr>
        <w:t>号</w:t>
      </w:r>
    </w:p>
    <w:p w14:paraId="76E75FC1">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仿宋_GB2312" w:hAnsi="Times New Roman" w:eastAsia="仿宋_GB2312"/>
          <w:sz w:val="32"/>
        </w:rPr>
      </w:pPr>
      <w:r>
        <w:rPr>
          <w:rFonts w:ascii="仿宋_GB2312"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104140</wp:posOffset>
                </wp:positionV>
                <wp:extent cx="5678805" cy="0"/>
                <wp:effectExtent l="0" t="13970" r="5715" b="165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7880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15pt;margin-top:8.2pt;height:0pt;width:447.15pt;z-index:251659264;mso-width-relative:page;mso-height-relative:page;" filled="f" stroked="t" coordsize="21600,21600" o:gfxdata="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jc&#10;jdUAAAAHAQAADwAAAAAAAAABACAAAAAiAAAAZHJzL2Rvd25yZXYueG1sUEsBAhQAFAAAAAgAh07i&#10;QJczHEPsAQAAuQMAAA4AAAAAAAAAAQAgAAAAJAEAAGRycy9lMm9Eb2MueG1sUEsFBgAAAAAGAAYA&#10;WQEAAIIFAAAAAA==&#10;">
                <v:fill on="f" focussize="0,0"/>
                <v:stroke weight="2.25pt" color="#FF0000" joinstyle="round"/>
                <v:imagedata o:title=""/>
                <o:lock v:ext="edit" aspectratio="f"/>
              </v:line>
            </w:pict>
          </mc:Fallback>
        </mc:AlternateContent>
      </w:r>
    </w:p>
    <w:p w14:paraId="1F59C052">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C0C0C"/>
          <w:sz w:val="44"/>
          <w:szCs w:val="44"/>
        </w:rPr>
      </w:pPr>
      <w:r>
        <w:rPr>
          <w:rFonts w:hint="eastAsia" w:ascii="方正小标宋_GBK" w:hAnsi="方正小标宋_GBK" w:eastAsia="方正小标宋_GBK" w:cs="方正小标宋_GBK"/>
          <w:color w:val="0C0C0C"/>
          <w:sz w:val="44"/>
          <w:szCs w:val="44"/>
        </w:rPr>
        <w:t>自治区科技厅关于印发《广西壮族自治区</w:t>
      </w:r>
      <w:bookmarkStart w:id="11" w:name="_GoBack"/>
    </w:p>
    <w:bookmarkEnd w:id="11"/>
    <w:p w14:paraId="4C4FC500">
      <w:pPr>
        <w:pStyle w:val="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C0C0C"/>
          <w:sz w:val="44"/>
          <w:szCs w:val="44"/>
        </w:rPr>
      </w:pPr>
      <w:r>
        <w:rPr>
          <w:rFonts w:hint="eastAsia" w:ascii="方正小标宋_GBK" w:hAnsi="方正小标宋_GBK" w:eastAsia="方正小标宋_GBK" w:cs="方正小标宋_GBK"/>
          <w:color w:val="0C0C0C"/>
          <w:sz w:val="44"/>
          <w:szCs w:val="44"/>
        </w:rPr>
        <w:t>瞪羚企业认定管理办法》的通知</w:t>
      </w:r>
    </w:p>
    <w:p w14:paraId="3D03A34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0C0C0C"/>
          <w:sz w:val="32"/>
          <w:szCs w:val="32"/>
        </w:rPr>
      </w:pPr>
    </w:p>
    <w:p w14:paraId="24F40CF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各设区市科技局，各高新区管委会，各有关单位：</w:t>
      </w:r>
    </w:p>
    <w:p w14:paraId="6122763E">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0" w:firstLineChars="200"/>
        <w:jc w:val="both"/>
        <w:textAlignment w:val="auto"/>
        <w:rPr>
          <w:rFonts w:hint="eastAsia" w:ascii="Times New Roman" w:hAnsi="Times New Roman"/>
          <w:color w:val="0C0C0C"/>
        </w:rPr>
      </w:pPr>
      <w:r>
        <w:rPr>
          <w:rFonts w:hint="eastAsia" w:ascii="Times New Roman" w:hAnsi="Times New Roman"/>
          <w:color w:val="0C0C0C"/>
        </w:rPr>
        <w:t>现将《广西壮族自治区瞪羚企业认定管理办法》印发给你们，请认真贯彻执行。</w:t>
      </w:r>
    </w:p>
    <w:p w14:paraId="27A1FE94">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0" w:firstLineChars="200"/>
        <w:jc w:val="both"/>
        <w:textAlignment w:val="auto"/>
        <w:rPr>
          <w:rFonts w:hint="eastAsia" w:ascii="Times New Roman" w:hAnsi="Times New Roman"/>
          <w:color w:val="0C0C0C"/>
        </w:rPr>
      </w:pPr>
    </w:p>
    <w:p w14:paraId="3EFAEF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C0C0C"/>
          <w:sz w:val="32"/>
          <w:szCs w:val="32"/>
        </w:rPr>
      </w:pPr>
    </w:p>
    <w:p w14:paraId="1608D94B">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rPr>
        <w:t>广西壮族自治区科学技术厅</w:t>
      </w:r>
      <w:r>
        <w:rPr>
          <w:rFonts w:hint="eastAsia" w:ascii="仿宋_GB2312" w:hAnsi="仿宋_GB2312" w:eastAsia="仿宋_GB2312" w:cs="仿宋_GB2312"/>
          <w:color w:val="0C0C0C"/>
          <w:sz w:val="32"/>
          <w:szCs w:val="32"/>
          <w:lang w:val="en-US" w:eastAsia="zh-CN"/>
        </w:rPr>
        <w:t xml:space="preserve">  </w:t>
      </w:r>
    </w:p>
    <w:p w14:paraId="5E2C7A4A">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color w:val="0C0C0C"/>
          <w:sz w:val="32"/>
          <w:szCs w:val="32"/>
          <w:lang w:val="en-US" w:eastAsia="zh-CN"/>
        </w:rPr>
      </w:pPr>
      <w:r>
        <w:rPr>
          <w:rFonts w:hint="default" w:ascii="Times New Roman" w:hAnsi="Times New Roman" w:eastAsia="仿宋_GB2312" w:cs="Times New Roman"/>
          <w:color w:val="0C0C0C"/>
          <w:sz w:val="32"/>
          <w:szCs w:val="32"/>
        </w:rPr>
        <w:t>2025年</w:t>
      </w:r>
      <w:r>
        <w:rPr>
          <w:rFonts w:hint="default" w:ascii="Times New Roman" w:hAnsi="Times New Roman" w:eastAsia="仿宋_GB2312" w:cs="Times New Roman"/>
          <w:color w:val="0C0C0C"/>
          <w:sz w:val="32"/>
          <w:szCs w:val="32"/>
          <w:lang w:val="en-US" w:eastAsia="zh-CN"/>
        </w:rPr>
        <w:t>7</w:t>
      </w:r>
      <w:r>
        <w:rPr>
          <w:rFonts w:hint="default" w:ascii="Times New Roman" w:hAnsi="Times New Roman" w:eastAsia="仿宋_GB2312" w:cs="Times New Roman"/>
          <w:color w:val="0C0C0C"/>
          <w:sz w:val="32"/>
          <w:szCs w:val="32"/>
        </w:rPr>
        <w:t>月</w:t>
      </w:r>
      <w:r>
        <w:rPr>
          <w:rFonts w:hint="eastAsia" w:ascii="Times New Roman" w:hAnsi="Times New Roman" w:eastAsia="仿宋_GB2312" w:cs="Times New Roman"/>
          <w:color w:val="0C0C0C"/>
          <w:sz w:val="32"/>
          <w:szCs w:val="32"/>
          <w:lang w:val="en-US" w:eastAsia="zh-CN"/>
        </w:rPr>
        <w:t>31</w:t>
      </w:r>
      <w:r>
        <w:rPr>
          <w:rFonts w:hint="default" w:ascii="Times New Roman" w:hAnsi="Times New Roman" w:eastAsia="仿宋_GB2312" w:cs="Times New Roman"/>
          <w:color w:val="0C0C0C"/>
          <w:sz w:val="32"/>
          <w:szCs w:val="32"/>
        </w:rPr>
        <w:t>日</w:t>
      </w:r>
      <w:r>
        <w:rPr>
          <w:rFonts w:hint="eastAsia" w:ascii="Times New Roman" w:hAnsi="Times New Roman" w:eastAsia="仿宋_GB2312" w:cs="Times New Roman"/>
          <w:color w:val="0C0C0C"/>
          <w:sz w:val="32"/>
          <w:szCs w:val="32"/>
          <w:lang w:val="en-US" w:eastAsia="zh-CN"/>
        </w:rPr>
        <w:t xml:space="preserve">      </w:t>
      </w:r>
    </w:p>
    <w:p w14:paraId="51D7CA7D">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0" w:firstLineChars="200"/>
        <w:jc w:val="both"/>
        <w:textAlignment w:val="auto"/>
        <w:rPr>
          <w:rFonts w:hint="eastAsia" w:ascii="黑体" w:hAnsi="黑体" w:eastAsia="黑体"/>
          <w:color w:val="0C0C0C"/>
          <w:sz w:val="32"/>
          <w:szCs w:val="32"/>
        </w:rPr>
      </w:pPr>
      <w:r>
        <w:rPr>
          <w:rFonts w:hint="eastAsia" w:ascii="Times New Roman" w:hAnsi="Times New Roman"/>
          <w:color w:val="0C0C0C"/>
        </w:rPr>
        <w:t>（此件公开发布）</w:t>
      </w:r>
    </w:p>
    <w:p w14:paraId="1A652306">
      <w:pPr>
        <w:pStyle w:val="7"/>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olor w:val="0C0C0C"/>
          <w:sz w:val="32"/>
          <w:szCs w:val="32"/>
        </w:rPr>
        <w:sectPr>
          <w:footerReference r:id="rId3" w:type="default"/>
          <w:footerReference r:id="rId4" w:type="even"/>
          <w:pgSz w:w="11906" w:h="16838"/>
          <w:pgMar w:top="2098" w:right="1531" w:bottom="1701" w:left="1531" w:header="851" w:footer="1417" w:gutter="0"/>
          <w:paperSrc/>
          <w:pgNumType w:fmt="decimal"/>
          <w:cols w:space="720" w:num="1"/>
          <w:rtlGutter w:val="0"/>
          <w:docGrid w:type="linesAndChars" w:linePitch="592" w:charSpace="1616"/>
        </w:sectPr>
      </w:pPr>
    </w:p>
    <w:p w14:paraId="67286BA3">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0C0C0C"/>
        </w:rPr>
      </w:pPr>
      <w:r>
        <w:rPr>
          <w:rFonts w:ascii="Times New Roman" w:hAnsi="Times New Roman"/>
          <w:color w:val="0C0C0C"/>
        </w:rPr>
        <w:t>广西壮族自治区瞪羚企业</w:t>
      </w:r>
      <w:r>
        <w:rPr>
          <w:rFonts w:hint="eastAsia" w:ascii="Times New Roman" w:hAnsi="Times New Roman"/>
          <w:color w:val="0C0C0C"/>
        </w:rPr>
        <w:t>认定</w:t>
      </w:r>
      <w:r>
        <w:rPr>
          <w:rFonts w:ascii="Times New Roman" w:hAnsi="Times New Roman"/>
          <w:color w:val="0C0C0C"/>
        </w:rPr>
        <w:t>管理</w:t>
      </w:r>
      <w:r>
        <w:rPr>
          <w:rFonts w:hint="eastAsia" w:ascii="Times New Roman" w:hAnsi="Times New Roman"/>
          <w:color w:val="0C0C0C"/>
        </w:rPr>
        <w:t>办法</w:t>
      </w:r>
    </w:p>
    <w:p w14:paraId="090D19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0C0C0C"/>
          <w:spacing w:val="-6"/>
          <w:sz w:val="32"/>
          <w:szCs w:val="32"/>
        </w:rPr>
      </w:pPr>
    </w:p>
    <w:p w14:paraId="28A89B8A">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34" w:leftChars="200"/>
        <w:textAlignment w:val="auto"/>
        <w:rPr>
          <w:rFonts w:ascii="Times New Roman" w:hAnsi="Times New Roman"/>
          <w:color w:val="0C0C0C"/>
        </w:rPr>
      </w:pPr>
      <w:r>
        <w:rPr>
          <w:rFonts w:ascii="Times New Roman" w:hAnsi="Times New Roman"/>
          <w:color w:val="0C0C0C"/>
        </w:rPr>
        <w:t xml:space="preserve">第一章 </w:t>
      </w:r>
      <w:r>
        <w:rPr>
          <w:rFonts w:hint="eastAsia" w:ascii="Times New Roman" w:hAnsi="Times New Roman"/>
          <w:color w:val="0C0C0C"/>
          <w:lang w:val="en-US" w:eastAsia="zh-CN"/>
        </w:rPr>
        <w:t xml:space="preserve"> </w:t>
      </w:r>
      <w:r>
        <w:rPr>
          <w:rFonts w:ascii="Times New Roman" w:hAnsi="Times New Roman"/>
          <w:color w:val="0C0C0C"/>
        </w:rPr>
        <w:t xml:space="preserve">总 </w:t>
      </w:r>
      <w:r>
        <w:rPr>
          <w:rFonts w:hint="eastAsia" w:ascii="Times New Roman" w:hAnsi="Times New Roman"/>
          <w:color w:val="0C0C0C"/>
          <w:lang w:val="en-US" w:eastAsia="zh-CN"/>
        </w:rPr>
        <w:t xml:space="preserve"> </w:t>
      </w:r>
      <w:r>
        <w:rPr>
          <w:rFonts w:ascii="Times New Roman" w:hAnsi="Times New Roman"/>
          <w:color w:val="0C0C0C"/>
        </w:rPr>
        <w:t>则</w:t>
      </w:r>
    </w:p>
    <w:p w14:paraId="696FA911">
      <w:pPr>
        <w:keepNext w:val="0"/>
        <w:keepLines w:val="0"/>
        <w:pageBreakBefore w:val="0"/>
        <w:widowControl w:val="0"/>
        <w:kinsoku/>
        <w:wordWrap/>
        <w:overflowPunct/>
        <w:topLinePunct w:val="0"/>
        <w:autoSpaceDE/>
        <w:autoSpaceDN/>
        <w:bidi w:val="0"/>
        <w:adjustRightInd/>
        <w:snapToGrid/>
        <w:spacing w:line="560" w:lineRule="exact"/>
        <w:textAlignment w:val="auto"/>
      </w:pPr>
    </w:p>
    <w:p w14:paraId="21D0A6F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第一条</w:t>
      </w:r>
      <w:r>
        <w:rPr>
          <w:rFonts w:ascii="Times New Roman" w:hAnsi="Times New Roman"/>
          <w:color w:val="0C0C0C"/>
        </w:rPr>
        <w:t xml:space="preserve">  为贯彻落实《广西壮族自治区科技创新条例》精神，进一步规范瞪羚企业</w:t>
      </w:r>
      <w:r>
        <w:rPr>
          <w:rFonts w:hint="eastAsia" w:ascii="Times New Roman" w:hAnsi="Times New Roman"/>
          <w:color w:val="0C0C0C"/>
        </w:rPr>
        <w:t>认定</w:t>
      </w:r>
      <w:r>
        <w:rPr>
          <w:rFonts w:ascii="Times New Roman" w:hAnsi="Times New Roman"/>
          <w:color w:val="0C0C0C"/>
        </w:rPr>
        <w:t>管理工作，提升瞪羚企业培育效能，壮大我区瞪羚企业群体，持续塑造发展新动能新优势，助力高水平创新型广西建设，制定本</w:t>
      </w:r>
      <w:r>
        <w:rPr>
          <w:rFonts w:hint="eastAsia" w:ascii="Times New Roman" w:hAnsi="Times New Roman"/>
          <w:color w:val="0C0C0C"/>
        </w:rPr>
        <w:t>办法</w:t>
      </w:r>
      <w:r>
        <w:rPr>
          <w:rFonts w:ascii="Times New Roman" w:hAnsi="Times New Roman"/>
          <w:color w:val="0C0C0C"/>
        </w:rPr>
        <w:t>。</w:t>
      </w:r>
    </w:p>
    <w:p w14:paraId="032486A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 xml:space="preserve">第二条 </w:t>
      </w:r>
      <w:r>
        <w:rPr>
          <w:rFonts w:ascii="Times New Roman" w:hAnsi="Times New Roman"/>
          <w:color w:val="0C0C0C"/>
        </w:rPr>
        <w:t xml:space="preserve"> 本</w:t>
      </w:r>
      <w:r>
        <w:rPr>
          <w:rFonts w:hint="eastAsia" w:ascii="Times New Roman" w:hAnsi="Times New Roman"/>
          <w:color w:val="0C0C0C"/>
        </w:rPr>
        <w:t>办法</w:t>
      </w:r>
      <w:r>
        <w:rPr>
          <w:rFonts w:ascii="Times New Roman" w:hAnsi="Times New Roman"/>
          <w:color w:val="0C0C0C"/>
        </w:rPr>
        <w:t>所称瞪羚企业是指持续进行</w:t>
      </w:r>
      <w:r>
        <w:rPr>
          <w:rFonts w:hint="eastAsia" w:ascii="Times New Roman" w:hAnsi="Times New Roman"/>
          <w:color w:val="0C0C0C"/>
        </w:rPr>
        <w:t>技术</w:t>
      </w:r>
      <w:r>
        <w:rPr>
          <w:rFonts w:ascii="Times New Roman" w:hAnsi="Times New Roman"/>
          <w:color w:val="0C0C0C"/>
        </w:rPr>
        <w:t>研究开发和科技成果转化</w:t>
      </w:r>
      <w:r>
        <w:rPr>
          <w:rFonts w:hint="eastAsia" w:ascii="Times New Roman" w:hAnsi="Times New Roman"/>
          <w:color w:val="0C0C0C"/>
        </w:rPr>
        <w:t>活动</w:t>
      </w:r>
      <w:r>
        <w:rPr>
          <w:rFonts w:ascii="Times New Roman" w:hAnsi="Times New Roman"/>
          <w:color w:val="0C0C0C"/>
        </w:rPr>
        <w:t>，</w:t>
      </w:r>
      <w:r>
        <w:rPr>
          <w:rFonts w:hint="eastAsia" w:ascii="Times New Roman" w:hAnsi="Times New Roman"/>
          <w:color w:val="0C0C0C"/>
        </w:rPr>
        <w:t>形成</w:t>
      </w:r>
      <w:r>
        <w:rPr>
          <w:rFonts w:ascii="Times New Roman" w:hAnsi="Times New Roman"/>
          <w:color w:val="0C0C0C"/>
        </w:rPr>
        <w:t>以科技创新或商业模式创新为支撑，具备成长速度快、创新能力强、专业领域新、发展潜力大等特征，</w:t>
      </w:r>
      <w:r>
        <w:rPr>
          <w:rFonts w:hint="eastAsia" w:ascii="Times New Roman" w:hAnsi="Times New Roman"/>
          <w:color w:val="0C0C0C"/>
        </w:rPr>
        <w:t>且</w:t>
      </w:r>
      <w:r>
        <w:rPr>
          <w:rFonts w:ascii="Times New Roman" w:hAnsi="Times New Roman"/>
          <w:color w:val="0C0C0C"/>
        </w:rPr>
        <w:t>进入高成长期的</w:t>
      </w:r>
      <w:r>
        <w:rPr>
          <w:rFonts w:hint="eastAsia" w:ascii="Times New Roman" w:hAnsi="Times New Roman"/>
          <w:color w:val="0C0C0C"/>
        </w:rPr>
        <w:t>高新技术</w:t>
      </w:r>
      <w:r>
        <w:rPr>
          <w:rFonts w:ascii="Times New Roman" w:hAnsi="Times New Roman"/>
          <w:color w:val="0C0C0C"/>
        </w:rPr>
        <w:t>企业。</w:t>
      </w:r>
    </w:p>
    <w:p w14:paraId="01D2CBE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 xml:space="preserve">第三条 </w:t>
      </w:r>
      <w:r>
        <w:rPr>
          <w:rFonts w:ascii="Times New Roman" w:hAnsi="Times New Roman"/>
          <w:color w:val="0C0C0C"/>
        </w:rPr>
        <w:t xml:space="preserve"> 自治区科技厅按照公平公正公开原则，</w:t>
      </w:r>
      <w:r>
        <w:rPr>
          <w:rFonts w:hint="eastAsia" w:ascii="Times New Roman" w:hAnsi="Times New Roman"/>
          <w:color w:val="0C0C0C"/>
        </w:rPr>
        <w:t>组织开展</w:t>
      </w:r>
      <w:r>
        <w:rPr>
          <w:rFonts w:ascii="Times New Roman" w:hAnsi="Times New Roman"/>
          <w:color w:val="0C0C0C"/>
        </w:rPr>
        <w:t>全区瞪羚企业的培育、</w:t>
      </w:r>
      <w:r>
        <w:rPr>
          <w:rFonts w:hint="eastAsia" w:ascii="Times New Roman" w:hAnsi="Times New Roman"/>
          <w:color w:val="0C0C0C"/>
        </w:rPr>
        <w:t>认定</w:t>
      </w:r>
      <w:r>
        <w:rPr>
          <w:rFonts w:ascii="Times New Roman" w:hAnsi="Times New Roman"/>
          <w:color w:val="0C0C0C"/>
        </w:rPr>
        <w:t>、管理等工作。</w:t>
      </w:r>
    </w:p>
    <w:p w14:paraId="74AA61B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textAlignment w:val="auto"/>
        <w:rPr>
          <w:rFonts w:ascii="Times New Roman" w:hAnsi="Times New Roman"/>
          <w:color w:val="0C0C0C"/>
        </w:rPr>
      </w:pPr>
    </w:p>
    <w:p w14:paraId="29690063">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rPr>
          <w:rFonts w:ascii="Times New Roman" w:hAnsi="Times New Roman"/>
          <w:color w:val="0C0C0C"/>
        </w:rPr>
      </w:pPr>
      <w:bookmarkStart w:id="0" w:name="_Toc18185"/>
      <w:bookmarkStart w:id="1" w:name="_Toc26464"/>
      <w:bookmarkStart w:id="2" w:name="_Toc1443"/>
      <w:r>
        <w:rPr>
          <w:rFonts w:ascii="Times New Roman" w:hAnsi="Times New Roman"/>
          <w:color w:val="0C0C0C"/>
        </w:rPr>
        <w:t>第二章</w:t>
      </w:r>
      <w:r>
        <w:rPr>
          <w:rFonts w:hint="eastAsia" w:ascii="Times New Roman" w:hAnsi="Times New Roman"/>
          <w:color w:val="0C0C0C"/>
          <w:lang w:val="en-US" w:eastAsia="zh-CN"/>
        </w:rPr>
        <w:t xml:space="preserve"> </w:t>
      </w:r>
      <w:r>
        <w:rPr>
          <w:rFonts w:ascii="Times New Roman" w:hAnsi="Times New Roman"/>
          <w:color w:val="0C0C0C"/>
        </w:rPr>
        <w:t xml:space="preserve"> </w:t>
      </w:r>
      <w:r>
        <w:rPr>
          <w:rFonts w:hint="eastAsia" w:ascii="Times New Roman" w:hAnsi="Times New Roman"/>
          <w:color w:val="0C0C0C"/>
        </w:rPr>
        <w:t>认定</w:t>
      </w:r>
      <w:r>
        <w:rPr>
          <w:rFonts w:ascii="Times New Roman" w:hAnsi="Times New Roman"/>
          <w:color w:val="0C0C0C"/>
        </w:rPr>
        <w:t>条件</w:t>
      </w:r>
      <w:bookmarkEnd w:id="0"/>
      <w:bookmarkEnd w:id="1"/>
      <w:bookmarkEnd w:id="2"/>
    </w:p>
    <w:p w14:paraId="7567956F">
      <w:pPr>
        <w:keepNext w:val="0"/>
        <w:keepLines w:val="0"/>
        <w:pageBreakBefore w:val="0"/>
        <w:widowControl w:val="0"/>
        <w:kinsoku/>
        <w:wordWrap/>
        <w:overflowPunct/>
        <w:topLinePunct w:val="0"/>
        <w:autoSpaceDE/>
        <w:autoSpaceDN/>
        <w:bidi w:val="0"/>
        <w:adjustRightInd/>
        <w:snapToGrid/>
        <w:spacing w:line="560" w:lineRule="exact"/>
        <w:textAlignment w:val="auto"/>
      </w:pPr>
    </w:p>
    <w:p w14:paraId="0A4F771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bookmarkStart w:id="3" w:name="_Toc8436"/>
      <w:bookmarkStart w:id="4" w:name="_Toc25471"/>
      <w:bookmarkStart w:id="5" w:name="_Toc1226"/>
      <w:r>
        <w:rPr>
          <w:rFonts w:ascii="Times New Roman" w:hAnsi="Times New Roman" w:eastAsia="黑体"/>
          <w:color w:val="0C0C0C"/>
        </w:rPr>
        <w:t>第四条</w:t>
      </w:r>
      <w:r>
        <w:rPr>
          <w:rFonts w:ascii="Times New Roman" w:hAnsi="Times New Roman"/>
          <w:color w:val="0C0C0C"/>
        </w:rPr>
        <w:t xml:space="preserve">  申报瞪羚企业应满足以下</w:t>
      </w:r>
      <w:bookmarkEnd w:id="3"/>
      <w:bookmarkEnd w:id="4"/>
      <w:bookmarkEnd w:id="5"/>
      <w:r>
        <w:rPr>
          <w:rFonts w:ascii="Times New Roman" w:hAnsi="Times New Roman"/>
          <w:color w:val="0C0C0C"/>
        </w:rPr>
        <w:t>条件：</w:t>
      </w:r>
    </w:p>
    <w:p w14:paraId="3EAB904F">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（一）注册满3年，</w:t>
      </w:r>
      <w:r>
        <w:rPr>
          <w:rFonts w:hint="eastAsia" w:ascii="Times New Roman" w:hAnsi="Times New Roman"/>
          <w:color w:val="0C0C0C"/>
          <w:lang w:val="en-US" w:eastAsia="zh-CN"/>
        </w:rPr>
        <w:t>已建立健全</w:t>
      </w:r>
      <w:r>
        <w:rPr>
          <w:rFonts w:ascii="Times New Roman" w:hAnsi="Times New Roman"/>
          <w:color w:val="0C0C0C"/>
        </w:rPr>
        <w:t>财务制度</w:t>
      </w:r>
      <w:r>
        <w:rPr>
          <w:rFonts w:hint="eastAsia" w:ascii="Times New Roman" w:hAnsi="Times New Roman"/>
          <w:color w:val="0C0C0C"/>
          <w:lang w:eastAsia="zh-CN"/>
        </w:rPr>
        <w:t>，</w:t>
      </w:r>
      <w:r>
        <w:rPr>
          <w:rFonts w:hint="eastAsia" w:ascii="Times New Roman" w:hAnsi="Times New Roman"/>
          <w:color w:val="0C0C0C"/>
          <w:lang w:val="en-US" w:eastAsia="zh-CN"/>
        </w:rPr>
        <w:t>并</w:t>
      </w:r>
      <w:r>
        <w:rPr>
          <w:rFonts w:ascii="Times New Roman" w:hAnsi="Times New Roman"/>
          <w:color w:val="0C0C0C"/>
        </w:rPr>
        <w:t>实行独立核算的有效高新技术企业。</w:t>
      </w:r>
    </w:p>
    <w:p w14:paraId="4EA0F29B">
      <w:pPr>
        <w:pStyle w:val="4"/>
        <w:keepNext w:val="0"/>
        <w:keepLines w:val="0"/>
        <w:pageBreakBefore w:val="0"/>
        <w:widowControl w:val="0"/>
        <w:tabs>
          <w:tab w:val="left" w:pos="5103"/>
        </w:tabs>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（二）产业领域符合国家</w:t>
      </w:r>
      <w:r>
        <w:rPr>
          <w:rFonts w:hint="eastAsia" w:ascii="Times New Roman" w:hAnsi="Times New Roman"/>
          <w:color w:val="0C0C0C"/>
          <w:lang w:eastAsia="zh-CN"/>
        </w:rPr>
        <w:t>和</w:t>
      </w:r>
      <w:r>
        <w:rPr>
          <w:rFonts w:ascii="Times New Roman" w:hAnsi="Times New Roman"/>
          <w:color w:val="0C0C0C"/>
        </w:rPr>
        <w:t>广西战略发展方向，企业主营业务（产品）属于国家重点支持的高新技术领域、战略性新兴产业领域或未来产业领域发展方向。</w:t>
      </w:r>
    </w:p>
    <w:p w14:paraId="3567EFC5">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（三）企业具备良好的生产经营和信用状况，近三年内未发生重大安全、重大质量事故、严重失信行为</w:t>
      </w:r>
      <w:r>
        <w:rPr>
          <w:rFonts w:hint="eastAsia" w:ascii="Times New Roman" w:hAnsi="Times New Roman"/>
          <w:color w:val="0C0C0C"/>
        </w:rPr>
        <w:t>等</w:t>
      </w:r>
      <w:r>
        <w:rPr>
          <w:rFonts w:ascii="Times New Roman" w:hAnsi="Times New Roman"/>
          <w:color w:val="0C0C0C"/>
        </w:rPr>
        <w:t>。</w:t>
      </w:r>
    </w:p>
    <w:p w14:paraId="16AFA6C6">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bookmarkStart w:id="6" w:name="_Toc30613"/>
      <w:bookmarkStart w:id="7" w:name="_Toc4247"/>
      <w:bookmarkStart w:id="8" w:name="_Toc7942"/>
      <w:r>
        <w:rPr>
          <w:rFonts w:ascii="Times New Roman" w:hAnsi="Times New Roman"/>
          <w:color w:val="0C0C0C"/>
        </w:rPr>
        <w:t>（四）企业经营规模和效益满足以下条件之一</w:t>
      </w:r>
      <w:bookmarkEnd w:id="6"/>
      <w:bookmarkEnd w:id="7"/>
      <w:bookmarkEnd w:id="8"/>
      <w:r>
        <w:rPr>
          <w:rFonts w:ascii="Times New Roman" w:hAnsi="Times New Roman"/>
          <w:color w:val="0C0C0C"/>
        </w:rPr>
        <w:t>：</w:t>
      </w:r>
    </w:p>
    <w:p w14:paraId="0F6A6D7A">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1.</w:t>
      </w:r>
      <w:r>
        <w:rPr>
          <w:rFonts w:hint="eastAsia" w:ascii="Times New Roman" w:hAnsi="Times New Roman"/>
          <w:color w:val="0C0C0C"/>
          <w:lang w:val="en-US" w:eastAsia="zh-CN"/>
        </w:rPr>
        <w:t xml:space="preserve"> </w:t>
      </w:r>
      <w:r>
        <w:rPr>
          <w:rFonts w:ascii="Times New Roman" w:hAnsi="Times New Roman"/>
          <w:color w:val="0C0C0C"/>
        </w:rPr>
        <w:t>上年度销售收入在500万元</w:t>
      </w:r>
      <w:r>
        <w:rPr>
          <w:rFonts w:hint="eastAsia" w:ascii="Times New Roman" w:hAnsi="Times New Roman"/>
          <w:color w:val="0C0C0C"/>
          <w:lang w:eastAsia="zh-CN"/>
        </w:rPr>
        <w:t>—</w:t>
      </w:r>
      <w:r>
        <w:rPr>
          <w:rFonts w:ascii="Times New Roman" w:hAnsi="Times New Roman"/>
          <w:color w:val="0C0C0C"/>
        </w:rPr>
        <w:t>2000万元</w:t>
      </w:r>
      <w:r>
        <w:rPr>
          <w:rFonts w:hint="eastAsia" w:ascii="Times New Roman" w:hAnsi="Times New Roman"/>
          <w:color w:val="0C0C0C"/>
        </w:rPr>
        <w:t>（不含）</w:t>
      </w:r>
      <w:r>
        <w:rPr>
          <w:rFonts w:ascii="Times New Roman" w:hAnsi="Times New Roman"/>
          <w:color w:val="0C0C0C"/>
        </w:rPr>
        <w:t>的企业，近三年销售收入年均增长率</w:t>
      </w:r>
      <w:bookmarkStart w:id="9" w:name="OLE_LINK1"/>
      <w:r>
        <w:rPr>
          <w:rFonts w:ascii="Times New Roman" w:hAnsi="Times New Roman"/>
          <w:color w:val="0C0C0C"/>
        </w:rPr>
        <w:t>不低于</w:t>
      </w:r>
      <w:bookmarkEnd w:id="9"/>
      <w:r>
        <w:rPr>
          <w:rFonts w:ascii="Times New Roman" w:hAnsi="Times New Roman"/>
          <w:color w:val="0C0C0C"/>
        </w:rPr>
        <w:t>25%。</w:t>
      </w:r>
    </w:p>
    <w:p w14:paraId="4F90C95D">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2.</w:t>
      </w:r>
      <w:r>
        <w:rPr>
          <w:rFonts w:hint="eastAsia" w:ascii="Times New Roman" w:hAnsi="Times New Roman"/>
          <w:color w:val="0C0C0C"/>
          <w:lang w:val="en-US" w:eastAsia="zh-CN"/>
        </w:rPr>
        <w:t xml:space="preserve"> </w:t>
      </w:r>
      <w:r>
        <w:rPr>
          <w:rFonts w:ascii="Times New Roman" w:hAnsi="Times New Roman"/>
          <w:color w:val="0C0C0C"/>
        </w:rPr>
        <w:t>上年度销售收入在2000万元</w:t>
      </w:r>
      <w:r>
        <w:rPr>
          <w:rFonts w:hint="eastAsia" w:ascii="Times New Roman" w:hAnsi="Times New Roman"/>
          <w:color w:val="0C0C0C"/>
          <w:lang w:eastAsia="zh-CN"/>
        </w:rPr>
        <w:t>—</w:t>
      </w:r>
      <w:r>
        <w:rPr>
          <w:rFonts w:ascii="Times New Roman" w:hAnsi="Times New Roman"/>
          <w:color w:val="0C0C0C"/>
        </w:rPr>
        <w:t>1亿元</w:t>
      </w:r>
      <w:r>
        <w:rPr>
          <w:rFonts w:hint="eastAsia" w:ascii="Times New Roman" w:hAnsi="Times New Roman"/>
          <w:color w:val="0C0C0C"/>
        </w:rPr>
        <w:t>（不含）</w:t>
      </w:r>
      <w:r>
        <w:rPr>
          <w:rFonts w:ascii="Times New Roman" w:hAnsi="Times New Roman"/>
          <w:color w:val="0C0C0C"/>
        </w:rPr>
        <w:t>的企业，近三年销售收入年均增长率不低于20%。</w:t>
      </w:r>
    </w:p>
    <w:p w14:paraId="4D66242E">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3.</w:t>
      </w:r>
      <w:r>
        <w:rPr>
          <w:rFonts w:hint="eastAsia" w:ascii="Times New Roman" w:hAnsi="Times New Roman"/>
          <w:color w:val="0C0C0C"/>
          <w:lang w:val="en-US" w:eastAsia="zh-CN"/>
        </w:rPr>
        <w:t xml:space="preserve"> </w:t>
      </w:r>
      <w:r>
        <w:rPr>
          <w:rFonts w:ascii="Times New Roman" w:hAnsi="Times New Roman"/>
          <w:color w:val="0C0C0C"/>
        </w:rPr>
        <w:t>上年度销售收入在1亿元</w:t>
      </w:r>
      <w:r>
        <w:rPr>
          <w:rFonts w:hint="eastAsia" w:ascii="Times New Roman" w:hAnsi="Times New Roman"/>
          <w:color w:val="0C0C0C"/>
          <w:lang w:eastAsia="zh-CN"/>
        </w:rPr>
        <w:t>—</w:t>
      </w:r>
      <w:r>
        <w:rPr>
          <w:rFonts w:hint="eastAsia" w:ascii="Times New Roman" w:hAnsi="Times New Roman"/>
          <w:color w:val="0C0C0C"/>
        </w:rPr>
        <w:t>10亿元（不含）</w:t>
      </w:r>
      <w:r>
        <w:rPr>
          <w:rFonts w:ascii="Times New Roman" w:hAnsi="Times New Roman"/>
          <w:color w:val="0C0C0C"/>
        </w:rPr>
        <w:t>的企业，近三年销售收入年均增长率不低于15%。</w:t>
      </w:r>
    </w:p>
    <w:p w14:paraId="594288D0">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hint="eastAsia" w:ascii="Times New Roman" w:hAnsi="Times New Roman"/>
          <w:color w:val="0C0C0C"/>
        </w:rPr>
        <w:t>4.</w:t>
      </w:r>
      <w:r>
        <w:rPr>
          <w:rFonts w:hint="eastAsia" w:ascii="Times New Roman" w:hAnsi="Times New Roman"/>
          <w:color w:val="0C0C0C"/>
          <w:lang w:val="en-US" w:eastAsia="zh-CN"/>
        </w:rPr>
        <w:t xml:space="preserve"> </w:t>
      </w:r>
      <w:r>
        <w:rPr>
          <w:rFonts w:ascii="Times New Roman" w:hAnsi="Times New Roman"/>
          <w:color w:val="0C0C0C"/>
        </w:rPr>
        <w:t>上年度销售收入在</w:t>
      </w:r>
      <w:r>
        <w:rPr>
          <w:rFonts w:hint="eastAsia" w:ascii="Times New Roman" w:hAnsi="Times New Roman"/>
          <w:color w:val="0C0C0C"/>
        </w:rPr>
        <w:t>10亿元</w:t>
      </w:r>
      <w:r>
        <w:rPr>
          <w:rFonts w:ascii="Times New Roman" w:hAnsi="Times New Roman"/>
          <w:color w:val="0C0C0C"/>
        </w:rPr>
        <w:t>以上的企业，近三年销售收入年均增长率不低于1</w:t>
      </w:r>
      <w:r>
        <w:rPr>
          <w:rFonts w:hint="eastAsia" w:ascii="Times New Roman" w:hAnsi="Times New Roman"/>
          <w:color w:val="0C0C0C"/>
        </w:rPr>
        <w:t>0</w:t>
      </w:r>
      <w:r>
        <w:rPr>
          <w:rFonts w:ascii="Times New Roman" w:hAnsi="Times New Roman"/>
          <w:color w:val="0C0C0C"/>
        </w:rPr>
        <w:t>%。</w:t>
      </w:r>
    </w:p>
    <w:p w14:paraId="64E7E469">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（五）创新能力指标：</w:t>
      </w:r>
    </w:p>
    <w:p w14:paraId="3BF7CE17">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1.</w:t>
      </w:r>
      <w:r>
        <w:rPr>
          <w:rFonts w:hint="eastAsia" w:ascii="Times New Roman" w:hAnsi="Times New Roman"/>
          <w:color w:val="0C0C0C"/>
          <w:lang w:val="en-US" w:eastAsia="zh-CN"/>
        </w:rPr>
        <w:t xml:space="preserve"> </w:t>
      </w:r>
      <w:r>
        <w:rPr>
          <w:rFonts w:ascii="Times New Roman" w:hAnsi="Times New Roman"/>
          <w:color w:val="0C0C0C"/>
        </w:rPr>
        <w:t>持续创新能力较强，上年度销售收入在1亿元（含）以上的企业，近三个会计年度平均研发经费投入强度不低于3%；销售收入在1亿元以下的企业，近三个会计年度平均研发经费投入强度不低于5%。</w:t>
      </w:r>
    </w:p>
    <w:p w14:paraId="7CD6D070">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2.</w:t>
      </w:r>
      <w:r>
        <w:rPr>
          <w:rFonts w:hint="eastAsia" w:ascii="Times New Roman" w:hAnsi="Times New Roman"/>
          <w:color w:val="0C0C0C"/>
          <w:lang w:val="en-US" w:eastAsia="zh-CN"/>
        </w:rPr>
        <w:t xml:space="preserve"> </w:t>
      </w:r>
      <w:r>
        <w:rPr>
          <w:rFonts w:ascii="Times New Roman" w:hAnsi="Times New Roman"/>
          <w:color w:val="0C0C0C"/>
        </w:rPr>
        <w:t>企业通过自主研发、受让、受赠、并购等方式，获得对其主要产品（服务）在技术上发挥核心支持作用的知识产权的所有权。拥有Ⅰ类有效知识产权1项（含）以上，包括发明专利（含国防专利）、植物新品种、国家级农作物品种、国家新药、国家一级中药保护品种、集成电路布图设计专有权等；或近3年获得的Ⅱ类有效知识产权6项（含）以上，包括实用新型专利、软件著作权。</w:t>
      </w:r>
    </w:p>
    <w:p w14:paraId="3BBE5F0D">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eastAsia="黑体"/>
          <w:color w:val="0C0C0C"/>
          <w:kern w:val="44"/>
          <w:szCs w:val="32"/>
        </w:rPr>
      </w:pPr>
      <w:r>
        <w:rPr>
          <w:rFonts w:ascii="Times New Roman" w:hAnsi="Times New Roman"/>
          <w:color w:val="0C0C0C"/>
        </w:rPr>
        <w:t>3.</w:t>
      </w:r>
      <w:r>
        <w:rPr>
          <w:rFonts w:hint="eastAsia" w:ascii="Times New Roman" w:hAnsi="Times New Roman"/>
          <w:color w:val="0C0C0C"/>
          <w:lang w:val="en-US" w:eastAsia="zh-CN"/>
        </w:rPr>
        <w:t xml:space="preserve"> </w:t>
      </w:r>
      <w:r>
        <w:rPr>
          <w:rFonts w:ascii="Times New Roman" w:hAnsi="Times New Roman"/>
          <w:color w:val="0C0C0C"/>
        </w:rPr>
        <w:t>企业自主建设</w:t>
      </w:r>
      <w:r>
        <w:rPr>
          <w:rFonts w:hint="eastAsia" w:ascii="Times New Roman" w:hAnsi="Times New Roman"/>
          <w:color w:val="0C0C0C"/>
          <w:lang w:val="en-US" w:eastAsia="zh-CN"/>
        </w:rPr>
        <w:t>且已</w:t>
      </w:r>
      <w:r>
        <w:rPr>
          <w:rFonts w:hint="eastAsia" w:ascii="仿宋_GB2312" w:hAnsi="仿宋_GB2312" w:eastAsia="仿宋_GB2312" w:cs="仿宋_GB2312"/>
          <w:sz w:val="32"/>
          <w:szCs w:val="32"/>
          <w:lang w:val="en-US" w:eastAsia="zh-CN"/>
        </w:rPr>
        <w:t>被认定为</w:t>
      </w:r>
      <w:r>
        <w:rPr>
          <w:rFonts w:ascii="Times New Roman" w:hAnsi="Times New Roman"/>
          <w:color w:val="0C0C0C"/>
        </w:rPr>
        <w:t>市级（含）以上</w:t>
      </w:r>
      <w:r>
        <w:rPr>
          <w:rFonts w:hint="eastAsia" w:ascii="Times New Roman" w:hAnsi="Times New Roman"/>
          <w:color w:val="0C0C0C"/>
          <w:lang w:val="en-US" w:eastAsia="zh-CN"/>
        </w:rPr>
        <w:t>的</w:t>
      </w:r>
      <w:r>
        <w:rPr>
          <w:rFonts w:ascii="Times New Roman" w:hAnsi="Times New Roman"/>
          <w:color w:val="0C0C0C"/>
        </w:rPr>
        <w:t>技术创新中心、新型研发机构、重点实验室、企业技术中心等</w:t>
      </w:r>
      <w:r>
        <w:rPr>
          <w:rFonts w:hint="eastAsia" w:ascii="Times New Roman" w:hAnsi="Times New Roman"/>
          <w:color w:val="0C0C0C"/>
          <w:lang w:val="en-US" w:eastAsia="zh-CN"/>
        </w:rPr>
        <w:t>其中一类</w:t>
      </w:r>
      <w:r>
        <w:rPr>
          <w:rFonts w:ascii="Times New Roman" w:hAnsi="Times New Roman"/>
          <w:color w:val="0C0C0C"/>
        </w:rPr>
        <w:t>科技创新平台。</w:t>
      </w:r>
    </w:p>
    <w:p w14:paraId="4EC8256A">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color w:val="0C0C0C"/>
        </w:rPr>
        <w:t>4.</w:t>
      </w:r>
      <w:r>
        <w:rPr>
          <w:rFonts w:hint="eastAsia" w:ascii="Times New Roman" w:hAnsi="Times New Roman"/>
          <w:color w:val="0C0C0C"/>
          <w:lang w:val="en-US" w:eastAsia="zh-CN"/>
        </w:rPr>
        <w:t xml:space="preserve"> </w:t>
      </w:r>
      <w:r>
        <w:rPr>
          <w:rFonts w:ascii="Times New Roman" w:hAnsi="Times New Roman"/>
          <w:color w:val="0C0C0C"/>
        </w:rPr>
        <w:t>企业近3年主导或参与编制国家标准、行业标准、检测方法、技术规范等（非必要条件）。</w:t>
      </w:r>
    </w:p>
    <w:p w14:paraId="7CC5D7D5">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eastAsia="黑体"/>
          <w:color w:val="0C0C0C"/>
          <w:kern w:val="44"/>
          <w:szCs w:val="32"/>
        </w:rPr>
      </w:pPr>
    </w:p>
    <w:p w14:paraId="06CCDC2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Times New Roman" w:hAnsi="Times New Roman" w:eastAsia="黑体"/>
          <w:color w:val="0C0C0C"/>
          <w:spacing w:val="0"/>
          <w:kern w:val="44"/>
          <w:szCs w:val="32"/>
        </w:rPr>
      </w:pPr>
      <w:r>
        <w:rPr>
          <w:rFonts w:ascii="Times New Roman" w:hAnsi="Times New Roman" w:eastAsia="黑体"/>
          <w:color w:val="0C0C0C"/>
          <w:spacing w:val="0"/>
          <w:kern w:val="44"/>
          <w:szCs w:val="32"/>
        </w:rPr>
        <w:t xml:space="preserve">第三章 </w:t>
      </w:r>
      <w:r>
        <w:rPr>
          <w:rFonts w:hint="eastAsia" w:ascii="Times New Roman" w:hAnsi="Times New Roman" w:eastAsia="黑体"/>
          <w:color w:val="0C0C0C"/>
          <w:spacing w:val="0"/>
          <w:kern w:val="44"/>
          <w:szCs w:val="32"/>
          <w:lang w:val="en-US" w:eastAsia="zh-CN"/>
        </w:rPr>
        <w:t xml:space="preserve"> </w:t>
      </w:r>
      <w:r>
        <w:rPr>
          <w:rFonts w:hint="eastAsia" w:ascii="Times New Roman" w:hAnsi="Times New Roman" w:eastAsia="黑体"/>
          <w:color w:val="0C0C0C"/>
          <w:spacing w:val="0"/>
          <w:kern w:val="44"/>
          <w:szCs w:val="32"/>
        </w:rPr>
        <w:t>认定</w:t>
      </w:r>
      <w:r>
        <w:rPr>
          <w:rFonts w:ascii="Times New Roman" w:hAnsi="Times New Roman" w:eastAsia="黑体"/>
          <w:color w:val="0C0C0C"/>
          <w:spacing w:val="0"/>
          <w:kern w:val="44"/>
          <w:szCs w:val="32"/>
        </w:rPr>
        <w:t>程序</w:t>
      </w:r>
    </w:p>
    <w:p w14:paraId="74125B2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Times New Roman" w:hAnsi="Times New Roman" w:eastAsia="黑体"/>
          <w:color w:val="0C0C0C"/>
          <w:spacing w:val="0"/>
          <w:kern w:val="44"/>
          <w:szCs w:val="32"/>
        </w:rPr>
      </w:pPr>
    </w:p>
    <w:p w14:paraId="2B2AE64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bookmarkStart w:id="10" w:name="_Toc10918"/>
      <w:r>
        <w:rPr>
          <w:rFonts w:ascii="Times New Roman" w:hAnsi="Times New Roman" w:eastAsia="黑体"/>
          <w:color w:val="0C0C0C"/>
        </w:rPr>
        <w:t>第五条</w:t>
      </w:r>
      <w:r>
        <w:rPr>
          <w:rFonts w:ascii="Times New Roman" w:hAnsi="Times New Roman"/>
          <w:color w:val="0C0C0C"/>
        </w:rPr>
        <w:t xml:space="preserve">  自治区科技厅</w:t>
      </w:r>
      <w:r>
        <w:rPr>
          <w:rFonts w:hint="eastAsia" w:ascii="Times New Roman" w:hAnsi="Times New Roman"/>
          <w:color w:val="0C0C0C"/>
        </w:rPr>
        <w:t>按年度</w:t>
      </w:r>
      <w:r>
        <w:rPr>
          <w:rFonts w:ascii="Times New Roman" w:hAnsi="Times New Roman"/>
          <w:color w:val="0C0C0C"/>
        </w:rPr>
        <w:t>组织瞪羚企业</w:t>
      </w:r>
      <w:r>
        <w:rPr>
          <w:rFonts w:hint="eastAsia" w:ascii="Times New Roman" w:hAnsi="Times New Roman"/>
          <w:color w:val="0C0C0C"/>
        </w:rPr>
        <w:t>认定</w:t>
      </w:r>
      <w:r>
        <w:rPr>
          <w:rFonts w:ascii="Times New Roman" w:hAnsi="Times New Roman"/>
          <w:color w:val="0C0C0C"/>
        </w:rPr>
        <w:t>申报工作。企业可对照本</w:t>
      </w:r>
      <w:r>
        <w:rPr>
          <w:rFonts w:hint="eastAsia" w:ascii="Times New Roman" w:hAnsi="Times New Roman"/>
          <w:color w:val="0C0C0C"/>
        </w:rPr>
        <w:t>办法</w:t>
      </w:r>
      <w:r>
        <w:rPr>
          <w:rFonts w:ascii="Times New Roman" w:hAnsi="Times New Roman"/>
          <w:color w:val="0C0C0C"/>
        </w:rPr>
        <w:t>申报</w:t>
      </w:r>
      <w:r>
        <w:rPr>
          <w:rFonts w:hint="eastAsia" w:ascii="Times New Roman" w:hAnsi="Times New Roman"/>
          <w:color w:val="0C0C0C"/>
        </w:rPr>
        <w:t>条件</w:t>
      </w:r>
      <w:r>
        <w:rPr>
          <w:rFonts w:ascii="Times New Roman" w:hAnsi="Times New Roman"/>
          <w:color w:val="0C0C0C"/>
        </w:rPr>
        <w:t>自主评价是否符合瞪羚企业</w:t>
      </w:r>
      <w:r>
        <w:rPr>
          <w:rFonts w:hint="eastAsia" w:ascii="Times New Roman" w:hAnsi="Times New Roman"/>
          <w:color w:val="0C0C0C"/>
        </w:rPr>
        <w:t>认定要求</w:t>
      </w:r>
      <w:r>
        <w:rPr>
          <w:rFonts w:ascii="Times New Roman" w:hAnsi="Times New Roman"/>
          <w:color w:val="0C0C0C"/>
        </w:rPr>
        <w:t>，向所在设区市科技行政管理部门提交申请书和附件材料。各设区市科技行政管理部门负责辖区内瞪羚企业的培育、初审和推荐工作。</w:t>
      </w:r>
    </w:p>
    <w:bookmarkEnd w:id="10"/>
    <w:p w14:paraId="4F5F8329">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eastAsia="黑体"/>
          <w:color w:val="0C0C0C"/>
        </w:rPr>
        <w:t>第</w:t>
      </w:r>
      <w:r>
        <w:rPr>
          <w:rFonts w:hint="eastAsia" w:ascii="Times New Roman" w:hAnsi="Times New Roman" w:eastAsia="黑体"/>
          <w:color w:val="0C0C0C"/>
        </w:rPr>
        <w:t>六</w:t>
      </w:r>
      <w:r>
        <w:rPr>
          <w:rFonts w:ascii="Times New Roman" w:hAnsi="Times New Roman" w:eastAsia="黑体"/>
          <w:color w:val="0C0C0C"/>
        </w:rPr>
        <w:t>条</w:t>
      </w:r>
      <w:r>
        <w:rPr>
          <w:rFonts w:ascii="Times New Roman" w:hAnsi="Times New Roman"/>
          <w:color w:val="0C0C0C"/>
        </w:rPr>
        <w:t xml:space="preserve">  自治区科技厅组织形式审查和专家评审，根据评审情况，</w:t>
      </w:r>
      <w:r>
        <w:rPr>
          <w:rFonts w:hint="eastAsia" w:ascii="Times New Roman" w:hAnsi="Times New Roman"/>
          <w:color w:val="0C0C0C"/>
        </w:rPr>
        <w:t>遴选</w:t>
      </w:r>
      <w:r>
        <w:rPr>
          <w:rFonts w:ascii="Times New Roman" w:hAnsi="Times New Roman"/>
          <w:color w:val="0C0C0C"/>
        </w:rPr>
        <w:t>形成本年度拟</w:t>
      </w:r>
      <w:r>
        <w:rPr>
          <w:rFonts w:hint="eastAsia" w:ascii="Times New Roman" w:hAnsi="Times New Roman"/>
          <w:color w:val="0C0C0C"/>
        </w:rPr>
        <w:t>认定</w:t>
      </w:r>
      <w:r>
        <w:rPr>
          <w:rFonts w:ascii="Times New Roman" w:hAnsi="Times New Roman"/>
          <w:color w:val="0C0C0C"/>
        </w:rPr>
        <w:t>瞪羚企业名单，</w:t>
      </w:r>
      <w:r>
        <w:rPr>
          <w:rFonts w:hint="eastAsia" w:ascii="Times New Roman" w:hAnsi="Times New Roman"/>
          <w:color w:val="0C0C0C"/>
        </w:rPr>
        <w:t>并</w:t>
      </w:r>
      <w:r>
        <w:rPr>
          <w:rFonts w:ascii="Times New Roman" w:hAnsi="Times New Roman"/>
          <w:color w:val="0C0C0C"/>
        </w:rPr>
        <w:t>向社会进行</w:t>
      </w:r>
      <w:r>
        <w:rPr>
          <w:rFonts w:hint="eastAsia" w:ascii="Times New Roman" w:hAnsi="Times New Roman"/>
          <w:color w:val="0C0C0C"/>
        </w:rPr>
        <w:t>为期5个工作日的公示，</w:t>
      </w:r>
      <w:r>
        <w:rPr>
          <w:rFonts w:ascii="Times New Roman" w:hAnsi="Times New Roman"/>
          <w:color w:val="0C0C0C"/>
        </w:rPr>
        <w:t>对公示无异议的企业，自治区科技厅</w:t>
      </w:r>
      <w:r>
        <w:rPr>
          <w:rFonts w:hint="eastAsia" w:ascii="Times New Roman" w:hAnsi="Times New Roman"/>
          <w:color w:val="0C0C0C"/>
        </w:rPr>
        <w:t>发布认定</w:t>
      </w:r>
      <w:r>
        <w:rPr>
          <w:rFonts w:ascii="Times New Roman" w:hAnsi="Times New Roman"/>
          <w:color w:val="0C0C0C"/>
        </w:rPr>
        <w:t>公告。</w:t>
      </w:r>
    </w:p>
    <w:p w14:paraId="71F076D7">
      <w:pPr>
        <w:pStyle w:val="4"/>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ascii="Times New Roman" w:hAnsi="Times New Roman"/>
          <w:color w:val="0C0C0C"/>
        </w:rPr>
      </w:pPr>
      <w:r>
        <w:rPr>
          <w:rFonts w:ascii="Times New Roman" w:hAnsi="Times New Roman" w:eastAsia="黑体"/>
          <w:color w:val="0C0C0C"/>
        </w:rPr>
        <w:t>第</w:t>
      </w:r>
      <w:r>
        <w:rPr>
          <w:rFonts w:hint="eastAsia" w:ascii="Times New Roman" w:hAnsi="Times New Roman" w:eastAsia="黑体"/>
          <w:color w:val="0C0C0C"/>
        </w:rPr>
        <w:t>七</w:t>
      </w:r>
      <w:r>
        <w:rPr>
          <w:rFonts w:ascii="Times New Roman" w:hAnsi="Times New Roman" w:eastAsia="黑体"/>
          <w:color w:val="0C0C0C"/>
        </w:rPr>
        <w:t>条</w:t>
      </w:r>
      <w:r>
        <w:rPr>
          <w:rFonts w:ascii="Times New Roman" w:hAnsi="Times New Roman"/>
          <w:color w:val="0C0C0C"/>
        </w:rPr>
        <w:t xml:space="preserve">  企业对</w:t>
      </w:r>
      <w:r>
        <w:rPr>
          <w:rFonts w:hint="eastAsia" w:ascii="Times New Roman" w:hAnsi="Times New Roman"/>
          <w:color w:val="0C0C0C"/>
        </w:rPr>
        <w:t>提交的</w:t>
      </w:r>
      <w:r>
        <w:rPr>
          <w:rFonts w:ascii="Times New Roman" w:hAnsi="Times New Roman"/>
          <w:color w:val="0C0C0C"/>
        </w:rPr>
        <w:t>瞪羚企业</w:t>
      </w:r>
      <w:r>
        <w:rPr>
          <w:rFonts w:hint="eastAsia" w:ascii="Times New Roman" w:hAnsi="Times New Roman"/>
          <w:color w:val="0C0C0C"/>
        </w:rPr>
        <w:t>认定</w:t>
      </w:r>
      <w:r>
        <w:rPr>
          <w:rFonts w:ascii="Times New Roman" w:hAnsi="Times New Roman"/>
          <w:color w:val="0C0C0C"/>
        </w:rPr>
        <w:t>申报材料的真实性、合法性和有效性负责，</w:t>
      </w:r>
      <w:r>
        <w:rPr>
          <w:rFonts w:hint="eastAsia" w:ascii="Times New Roman" w:hAnsi="Times New Roman"/>
          <w:color w:val="0C0C0C"/>
        </w:rPr>
        <w:t>对在申报过程中存在违规失信行为的，依规予以处理。</w:t>
      </w:r>
    </w:p>
    <w:p w14:paraId="52C0C659">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olor w:val="0C0C0C"/>
        </w:rPr>
      </w:pPr>
    </w:p>
    <w:p w14:paraId="6A64E1BE">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olor w:val="0C0C0C"/>
          <w:spacing w:val="0"/>
          <w:kern w:val="44"/>
          <w:szCs w:val="32"/>
        </w:rPr>
      </w:pPr>
      <w:r>
        <w:rPr>
          <w:rFonts w:ascii="Times New Roman" w:hAnsi="Times New Roman" w:eastAsia="黑体"/>
          <w:color w:val="0C0C0C"/>
          <w:spacing w:val="0"/>
          <w:kern w:val="44"/>
          <w:szCs w:val="32"/>
        </w:rPr>
        <w:t>第四章</w:t>
      </w:r>
      <w:r>
        <w:rPr>
          <w:rFonts w:hint="eastAsia" w:ascii="Times New Roman" w:hAnsi="Times New Roman" w:eastAsia="黑体"/>
          <w:color w:val="0C0C0C"/>
          <w:spacing w:val="0"/>
          <w:kern w:val="44"/>
          <w:szCs w:val="32"/>
          <w:lang w:val="en-US" w:eastAsia="zh-CN"/>
        </w:rPr>
        <w:t xml:space="preserve"> </w:t>
      </w:r>
      <w:r>
        <w:rPr>
          <w:rFonts w:ascii="Times New Roman" w:hAnsi="Times New Roman" w:eastAsia="黑体"/>
          <w:color w:val="0C0C0C"/>
          <w:spacing w:val="0"/>
          <w:kern w:val="44"/>
          <w:szCs w:val="32"/>
        </w:rPr>
        <w:t xml:space="preserve"> </w:t>
      </w:r>
      <w:r>
        <w:rPr>
          <w:rFonts w:hint="eastAsia" w:ascii="Times New Roman" w:hAnsi="Times New Roman" w:eastAsia="黑体"/>
          <w:color w:val="0C0C0C"/>
          <w:spacing w:val="0"/>
          <w:kern w:val="44"/>
          <w:szCs w:val="32"/>
        </w:rPr>
        <w:t>认定</w:t>
      </w:r>
      <w:r>
        <w:rPr>
          <w:rFonts w:ascii="Times New Roman" w:hAnsi="Times New Roman" w:eastAsia="黑体"/>
          <w:color w:val="0C0C0C"/>
          <w:spacing w:val="0"/>
          <w:kern w:val="44"/>
          <w:szCs w:val="32"/>
        </w:rPr>
        <w:t>管理</w:t>
      </w:r>
    </w:p>
    <w:p w14:paraId="61C56DDA">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olor w:val="0C0C0C"/>
          <w:spacing w:val="0"/>
          <w:kern w:val="44"/>
          <w:szCs w:val="32"/>
        </w:rPr>
      </w:pPr>
    </w:p>
    <w:p w14:paraId="53FC549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第</w:t>
      </w:r>
      <w:r>
        <w:rPr>
          <w:rFonts w:hint="eastAsia" w:ascii="Times New Roman" w:hAnsi="Times New Roman" w:eastAsia="黑体"/>
          <w:color w:val="0C0C0C"/>
        </w:rPr>
        <w:t>八</w:t>
      </w:r>
      <w:r>
        <w:rPr>
          <w:rFonts w:ascii="Times New Roman" w:hAnsi="Times New Roman" w:eastAsia="黑体"/>
          <w:color w:val="0C0C0C"/>
        </w:rPr>
        <w:t>条</w:t>
      </w:r>
      <w:r>
        <w:rPr>
          <w:rFonts w:ascii="Times New Roman" w:hAnsi="Times New Roman"/>
          <w:color w:val="0C0C0C"/>
        </w:rPr>
        <w:t xml:space="preserve">  </w:t>
      </w:r>
      <w:r>
        <w:rPr>
          <w:rFonts w:hint="eastAsia" w:ascii="Times New Roman" w:hAnsi="Times New Roman"/>
          <w:color w:val="0C0C0C"/>
        </w:rPr>
        <w:t>自治区科技厅</w:t>
      </w:r>
      <w:r>
        <w:rPr>
          <w:rFonts w:ascii="Times New Roman" w:hAnsi="Times New Roman"/>
          <w:color w:val="0C0C0C"/>
        </w:rPr>
        <w:t>对瞪羚企业实行动态管理，</w:t>
      </w:r>
      <w:r>
        <w:rPr>
          <w:rFonts w:hint="eastAsia" w:ascii="Times New Roman" w:hAnsi="Times New Roman"/>
          <w:color w:val="0C0C0C"/>
        </w:rPr>
        <w:t>自认定年度起，瞪羚企业有效期3年。每3年开展一次复审，经复审后仍符合认定条件</w:t>
      </w:r>
      <w:r>
        <w:rPr>
          <w:rFonts w:ascii="Times New Roman" w:hAnsi="Times New Roman"/>
          <w:color w:val="0C0C0C"/>
        </w:rPr>
        <w:t>的</w:t>
      </w:r>
      <w:r>
        <w:rPr>
          <w:rFonts w:hint="eastAsia" w:ascii="Times New Roman" w:hAnsi="Times New Roman"/>
          <w:color w:val="0C0C0C"/>
        </w:rPr>
        <w:t>，继续</w:t>
      </w:r>
      <w:r>
        <w:rPr>
          <w:rFonts w:ascii="Times New Roman" w:hAnsi="Times New Roman"/>
          <w:color w:val="0C0C0C"/>
        </w:rPr>
        <w:t>保留</w:t>
      </w:r>
      <w:r>
        <w:rPr>
          <w:rFonts w:hint="eastAsia" w:ascii="Times New Roman" w:hAnsi="Times New Roman"/>
          <w:color w:val="0C0C0C"/>
        </w:rPr>
        <w:t>瞪羚企业</w:t>
      </w:r>
      <w:r>
        <w:rPr>
          <w:rFonts w:ascii="Times New Roman" w:hAnsi="Times New Roman"/>
          <w:color w:val="0C0C0C"/>
        </w:rPr>
        <w:t>资格。</w:t>
      </w:r>
    </w:p>
    <w:p w14:paraId="615D721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第</w:t>
      </w:r>
      <w:r>
        <w:rPr>
          <w:rFonts w:hint="eastAsia" w:ascii="Times New Roman" w:hAnsi="Times New Roman" w:eastAsia="黑体"/>
          <w:color w:val="0C0C0C"/>
        </w:rPr>
        <w:t>九</w:t>
      </w:r>
      <w:r>
        <w:rPr>
          <w:rFonts w:ascii="Times New Roman" w:hAnsi="Times New Roman" w:eastAsia="黑体"/>
          <w:color w:val="0C0C0C"/>
        </w:rPr>
        <w:t>条</w:t>
      </w:r>
      <w:r>
        <w:rPr>
          <w:rFonts w:ascii="Times New Roman" w:hAnsi="Times New Roman"/>
          <w:color w:val="0C0C0C"/>
        </w:rPr>
        <w:t xml:space="preserve">  获得</w:t>
      </w:r>
      <w:r>
        <w:rPr>
          <w:rFonts w:hint="eastAsia" w:ascii="Times New Roman" w:hAnsi="Times New Roman"/>
          <w:color w:val="0C0C0C"/>
        </w:rPr>
        <w:t>认定</w:t>
      </w:r>
      <w:r>
        <w:rPr>
          <w:rFonts w:ascii="Times New Roman" w:hAnsi="Times New Roman"/>
          <w:color w:val="0C0C0C"/>
        </w:rPr>
        <w:t>的瞪羚企业应于每年12月15日前向自治区科技厅提交年度企业发展情况报告。</w:t>
      </w:r>
    </w:p>
    <w:p w14:paraId="28A7196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第十条</w:t>
      </w:r>
      <w:r>
        <w:rPr>
          <w:rFonts w:ascii="Times New Roman" w:hAnsi="Times New Roman"/>
          <w:color w:val="0C0C0C"/>
        </w:rPr>
        <w:t xml:space="preserve">  有效期内瞪羚企业如发生更名、重组、搬迁等重大调整，应在更名或变化调整后</w:t>
      </w:r>
      <w:r>
        <w:rPr>
          <w:rFonts w:hint="eastAsia" w:ascii="Times New Roman" w:hAnsi="Times New Roman"/>
          <w:color w:val="0C0C0C"/>
        </w:rPr>
        <w:t>3</w:t>
      </w:r>
      <w:r>
        <w:rPr>
          <w:rFonts w:ascii="Times New Roman" w:hAnsi="Times New Roman"/>
          <w:color w:val="0C0C0C"/>
        </w:rPr>
        <w:t>个月内向自治区科技厅报告，经审核后仍符合</w:t>
      </w:r>
      <w:r>
        <w:rPr>
          <w:rFonts w:hint="eastAsia" w:ascii="Times New Roman" w:hAnsi="Times New Roman"/>
          <w:color w:val="0C0C0C"/>
        </w:rPr>
        <w:t>认定</w:t>
      </w:r>
      <w:r>
        <w:rPr>
          <w:rFonts w:ascii="Times New Roman" w:hAnsi="Times New Roman"/>
          <w:color w:val="0C0C0C"/>
        </w:rPr>
        <w:t>条件的，继续保留</w:t>
      </w:r>
      <w:r>
        <w:rPr>
          <w:rFonts w:hint="eastAsia" w:ascii="Times New Roman" w:hAnsi="Times New Roman"/>
          <w:color w:val="0C0C0C"/>
        </w:rPr>
        <w:t>瞪羚企业</w:t>
      </w:r>
      <w:r>
        <w:rPr>
          <w:rFonts w:ascii="Times New Roman" w:hAnsi="Times New Roman"/>
          <w:color w:val="0C0C0C"/>
        </w:rPr>
        <w:t>资格。</w:t>
      </w:r>
    </w:p>
    <w:p w14:paraId="4310AFF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第十</w:t>
      </w:r>
      <w:r>
        <w:rPr>
          <w:rFonts w:hint="eastAsia" w:ascii="Times New Roman" w:hAnsi="Times New Roman" w:eastAsia="黑体"/>
          <w:color w:val="0C0C0C"/>
        </w:rPr>
        <w:t>一</w:t>
      </w:r>
      <w:r>
        <w:rPr>
          <w:rFonts w:ascii="Times New Roman" w:hAnsi="Times New Roman" w:eastAsia="黑体"/>
          <w:color w:val="0C0C0C"/>
        </w:rPr>
        <w:t>条</w:t>
      </w:r>
      <w:r>
        <w:rPr>
          <w:rFonts w:ascii="Times New Roman" w:hAnsi="Times New Roman"/>
          <w:color w:val="0C0C0C"/>
        </w:rPr>
        <w:t xml:space="preserve">  已</w:t>
      </w:r>
      <w:r>
        <w:rPr>
          <w:rFonts w:hint="eastAsia" w:ascii="Times New Roman" w:hAnsi="Times New Roman"/>
          <w:color w:val="0C0C0C"/>
        </w:rPr>
        <w:t>认定</w:t>
      </w:r>
      <w:r>
        <w:rPr>
          <w:rFonts w:ascii="Times New Roman" w:hAnsi="Times New Roman"/>
          <w:color w:val="0C0C0C"/>
        </w:rPr>
        <w:t>的瞪羚企业有下列行为之一的，取消</w:t>
      </w:r>
      <w:r>
        <w:rPr>
          <w:rFonts w:hint="eastAsia" w:ascii="Times New Roman" w:hAnsi="Times New Roman"/>
          <w:color w:val="0C0C0C"/>
        </w:rPr>
        <w:t>瞪羚企业</w:t>
      </w:r>
      <w:r>
        <w:rPr>
          <w:rFonts w:ascii="Times New Roman" w:hAnsi="Times New Roman"/>
          <w:color w:val="0C0C0C"/>
        </w:rPr>
        <w:t>资格：</w:t>
      </w:r>
    </w:p>
    <w:p w14:paraId="1DCA5B0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color w:val="0C0C0C"/>
        </w:rPr>
        <w:t>（一）高新技术企业资格到期后超过2年未重新通过高新技术企业备案的或被有关部门提请复核且被取消高新技术企业资格的；</w:t>
      </w:r>
    </w:p>
    <w:p w14:paraId="41BCBB5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color w:val="0C0C0C"/>
        </w:rPr>
        <w:t>（二）发生重大安全、重大质量事故、严重失信行为</w:t>
      </w:r>
      <w:r>
        <w:rPr>
          <w:rFonts w:hint="eastAsia" w:ascii="Times New Roman" w:hAnsi="Times New Roman"/>
          <w:color w:val="0C0C0C"/>
        </w:rPr>
        <w:t>等</w:t>
      </w:r>
      <w:r>
        <w:rPr>
          <w:rFonts w:ascii="Times New Roman" w:hAnsi="Times New Roman"/>
          <w:color w:val="0C0C0C"/>
        </w:rPr>
        <w:t>的；</w:t>
      </w:r>
    </w:p>
    <w:p w14:paraId="1B9FBD9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color w:val="0C0C0C"/>
        </w:rPr>
        <w:t>（三）</w:t>
      </w:r>
      <w:r>
        <w:rPr>
          <w:rFonts w:hint="eastAsia" w:ascii="Times New Roman" w:hAnsi="Times New Roman"/>
          <w:color w:val="0C0C0C"/>
          <w:lang w:val="en-US" w:eastAsia="zh-CN"/>
        </w:rPr>
        <w:t>经</w:t>
      </w:r>
      <w:r>
        <w:rPr>
          <w:rFonts w:hint="eastAsia" w:ascii="Times New Roman" w:hAnsi="Times New Roman"/>
          <w:color w:val="0C0C0C"/>
        </w:rPr>
        <w:t>复审未</w:t>
      </w:r>
      <w:r>
        <w:rPr>
          <w:rFonts w:hint="eastAsia" w:ascii="Times New Roman" w:hAnsi="Times New Roman"/>
          <w:color w:val="0C0C0C"/>
          <w:lang w:val="en-US" w:eastAsia="zh-CN"/>
        </w:rPr>
        <w:t>满足本办法</w:t>
      </w:r>
      <w:r>
        <w:rPr>
          <w:rFonts w:hint="eastAsia" w:ascii="Times New Roman" w:hAnsi="Times New Roman"/>
          <w:color w:val="0C0C0C"/>
        </w:rPr>
        <w:t>认定条件，</w:t>
      </w:r>
      <w:r>
        <w:rPr>
          <w:rFonts w:ascii="Times New Roman" w:hAnsi="Times New Roman"/>
          <w:color w:val="0C0C0C"/>
        </w:rPr>
        <w:t>或不按要求参与</w:t>
      </w:r>
      <w:r>
        <w:rPr>
          <w:rFonts w:hint="eastAsia" w:ascii="Times New Roman" w:hAnsi="Times New Roman"/>
          <w:color w:val="0C0C0C"/>
        </w:rPr>
        <w:t>复审</w:t>
      </w:r>
      <w:r>
        <w:rPr>
          <w:rFonts w:ascii="Times New Roman" w:hAnsi="Times New Roman"/>
          <w:color w:val="0C0C0C"/>
        </w:rPr>
        <w:t>的；</w:t>
      </w:r>
    </w:p>
    <w:p w14:paraId="00DBE4D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color w:val="0C0C0C"/>
        </w:rPr>
        <w:t>（四）发生重大调整未按期报告或调整后经审核不符合</w:t>
      </w:r>
      <w:r>
        <w:rPr>
          <w:rFonts w:hint="eastAsia" w:ascii="Times New Roman" w:hAnsi="Times New Roman"/>
          <w:color w:val="0C0C0C"/>
        </w:rPr>
        <w:t>认定</w:t>
      </w:r>
      <w:r>
        <w:rPr>
          <w:rFonts w:ascii="Times New Roman" w:hAnsi="Times New Roman"/>
          <w:color w:val="0C0C0C"/>
        </w:rPr>
        <w:t>条件的，或连续两年未报送年度企业发展情况报告</w:t>
      </w:r>
      <w:r>
        <w:rPr>
          <w:rFonts w:hint="eastAsia" w:ascii="Times New Roman" w:hAnsi="Times New Roman"/>
          <w:color w:val="0C0C0C"/>
        </w:rPr>
        <w:t>的</w:t>
      </w:r>
      <w:r>
        <w:rPr>
          <w:rFonts w:ascii="Times New Roman" w:hAnsi="Times New Roman"/>
          <w:color w:val="0C0C0C"/>
        </w:rPr>
        <w:t>。</w:t>
      </w:r>
    </w:p>
    <w:p w14:paraId="0964645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p>
    <w:p w14:paraId="625FF2D7">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rPr>
          <w:rFonts w:ascii="Times New Roman" w:hAnsi="Times New Roman"/>
          <w:color w:val="0C0C0C"/>
        </w:rPr>
      </w:pPr>
      <w:r>
        <w:rPr>
          <w:rFonts w:ascii="Times New Roman" w:hAnsi="Times New Roman"/>
          <w:color w:val="0C0C0C"/>
        </w:rPr>
        <w:t xml:space="preserve">第五章 </w:t>
      </w:r>
      <w:r>
        <w:rPr>
          <w:rFonts w:hint="eastAsia" w:ascii="Times New Roman" w:hAnsi="Times New Roman"/>
          <w:color w:val="0C0C0C"/>
          <w:lang w:val="en-US" w:eastAsia="zh-CN"/>
        </w:rPr>
        <w:t xml:space="preserve"> </w:t>
      </w:r>
      <w:r>
        <w:rPr>
          <w:rFonts w:ascii="Times New Roman" w:hAnsi="Times New Roman"/>
          <w:color w:val="0C0C0C"/>
        </w:rPr>
        <w:t>培育发展</w:t>
      </w:r>
    </w:p>
    <w:p w14:paraId="55A6F33A">
      <w:pPr>
        <w:keepNext w:val="0"/>
        <w:keepLines w:val="0"/>
        <w:pageBreakBefore w:val="0"/>
        <w:widowControl w:val="0"/>
        <w:kinsoku/>
        <w:wordWrap/>
        <w:overflowPunct/>
        <w:topLinePunct w:val="0"/>
        <w:autoSpaceDE/>
        <w:autoSpaceDN/>
        <w:bidi w:val="0"/>
        <w:adjustRightInd/>
        <w:snapToGrid/>
        <w:spacing w:line="560" w:lineRule="exact"/>
        <w:textAlignment w:val="auto"/>
      </w:pPr>
    </w:p>
    <w:p w14:paraId="3C636BD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第十</w:t>
      </w:r>
      <w:r>
        <w:rPr>
          <w:rFonts w:hint="eastAsia" w:ascii="Times New Roman" w:hAnsi="Times New Roman" w:eastAsia="黑体"/>
          <w:color w:val="0C0C0C"/>
        </w:rPr>
        <w:t>二</w:t>
      </w:r>
      <w:r>
        <w:rPr>
          <w:rFonts w:ascii="Times New Roman" w:hAnsi="Times New Roman" w:eastAsia="黑体"/>
          <w:color w:val="0C0C0C"/>
        </w:rPr>
        <w:t>条</w:t>
      </w:r>
      <w:r>
        <w:rPr>
          <w:rFonts w:ascii="Times New Roman" w:hAnsi="Times New Roman"/>
          <w:color w:val="0C0C0C"/>
        </w:rPr>
        <w:t xml:space="preserve">  自治区科技厅</w:t>
      </w:r>
      <w:r>
        <w:rPr>
          <w:rFonts w:hint="eastAsia" w:ascii="Times New Roman" w:hAnsi="Times New Roman"/>
          <w:color w:val="0C0C0C"/>
          <w:lang w:eastAsia="zh-CN"/>
        </w:rPr>
        <w:t>支持瞪羚</w:t>
      </w:r>
      <w:r>
        <w:rPr>
          <w:rFonts w:hint="eastAsia" w:ascii="Times New Roman" w:hAnsi="Times New Roman"/>
          <w:color w:val="0C0C0C"/>
        </w:rPr>
        <w:t>企业参与科技计划项目征集与凝练，</w:t>
      </w:r>
      <w:r>
        <w:rPr>
          <w:rFonts w:hint="eastAsia" w:ascii="Times New Roman" w:hAnsi="Times New Roman"/>
          <w:color w:val="0C0C0C"/>
          <w:lang w:eastAsia="zh-CN"/>
        </w:rPr>
        <w:t>将</w:t>
      </w:r>
      <w:r>
        <w:rPr>
          <w:rFonts w:hint="eastAsia" w:ascii="Times New Roman" w:hAnsi="Times New Roman"/>
          <w:color w:val="0C0C0C"/>
        </w:rPr>
        <w:t>瞪羚企业等科技型企业重大技术需求纳入</w:t>
      </w:r>
      <w:r>
        <w:rPr>
          <w:rFonts w:hint="eastAsia" w:ascii="Times New Roman" w:hAnsi="Times New Roman"/>
          <w:color w:val="0C0C0C"/>
          <w:lang w:eastAsia="zh-CN"/>
        </w:rPr>
        <w:t>广西</w:t>
      </w:r>
      <w:r>
        <w:rPr>
          <w:rFonts w:hint="eastAsia" w:ascii="Times New Roman" w:hAnsi="Times New Roman"/>
          <w:color w:val="0C0C0C"/>
        </w:rPr>
        <w:t>科技</w:t>
      </w:r>
      <w:r>
        <w:rPr>
          <w:rFonts w:hint="eastAsia" w:ascii="Times New Roman" w:hAnsi="Times New Roman"/>
          <w:color w:val="0C0C0C"/>
          <w:lang w:eastAsia="zh-CN"/>
        </w:rPr>
        <w:t>计划</w:t>
      </w:r>
      <w:r>
        <w:rPr>
          <w:rFonts w:hint="eastAsia" w:ascii="Times New Roman" w:hAnsi="Times New Roman"/>
          <w:color w:val="0C0C0C"/>
        </w:rPr>
        <w:t>。</w:t>
      </w:r>
      <w:r>
        <w:rPr>
          <w:rFonts w:ascii="Times New Roman" w:hAnsi="Times New Roman"/>
          <w:szCs w:val="32"/>
        </w:rPr>
        <w:t>支持高新技术企业、瞪羚企业、科技领军企业</w:t>
      </w:r>
      <w:r>
        <w:rPr>
          <w:rFonts w:hint="eastAsia" w:ascii="Times New Roman" w:hAnsi="Times New Roman"/>
          <w:szCs w:val="32"/>
          <w:lang w:val="en-US" w:eastAsia="zh-CN"/>
        </w:rPr>
        <w:t>等科技型企业</w:t>
      </w:r>
      <w:r>
        <w:rPr>
          <w:rFonts w:ascii="Times New Roman" w:hAnsi="Times New Roman"/>
          <w:szCs w:val="32"/>
        </w:rPr>
        <w:t>开展技术研发和科技成果转化</w:t>
      </w:r>
      <w:r>
        <w:rPr>
          <w:rFonts w:hint="eastAsia" w:ascii="Times New Roman" w:hAnsi="Times New Roman"/>
          <w:szCs w:val="32"/>
        </w:rPr>
        <w:t>。</w:t>
      </w:r>
      <w:r>
        <w:rPr>
          <w:rFonts w:hint="eastAsia" w:ascii="Times New Roman" w:hAnsi="Times New Roman"/>
          <w:color w:val="0C0C0C"/>
        </w:rPr>
        <w:t>鼓励瞪羚企业</w:t>
      </w:r>
      <w:r>
        <w:rPr>
          <w:rFonts w:hint="eastAsia" w:ascii="Times New Roman" w:hAnsi="Times New Roman"/>
          <w:color w:val="0C0C0C"/>
          <w:lang w:val="en-US" w:eastAsia="zh-CN"/>
        </w:rPr>
        <w:t>依法</w:t>
      </w:r>
      <w:r>
        <w:rPr>
          <w:rFonts w:hint="eastAsia" w:ascii="Times New Roman" w:hAnsi="Times New Roman"/>
          <w:color w:val="0C0C0C"/>
        </w:rPr>
        <w:t>开展</w:t>
      </w:r>
      <w:r>
        <w:rPr>
          <w:rFonts w:ascii="Times New Roman" w:hAnsi="Times New Roman"/>
          <w:color w:val="0C0C0C"/>
        </w:rPr>
        <w:t>科技项目</w:t>
      </w:r>
      <w:r>
        <w:rPr>
          <w:rFonts w:hint="eastAsia" w:ascii="Times New Roman" w:hAnsi="Times New Roman"/>
          <w:color w:val="0C0C0C"/>
        </w:rPr>
        <w:t>申报</w:t>
      </w:r>
      <w:r>
        <w:rPr>
          <w:rFonts w:ascii="Times New Roman" w:hAnsi="Times New Roman"/>
          <w:color w:val="0C0C0C"/>
        </w:rPr>
        <w:t>、创新平台建设、高层次人才引进等，加速提升</w:t>
      </w:r>
      <w:r>
        <w:rPr>
          <w:rFonts w:hint="eastAsia" w:ascii="Times New Roman" w:hAnsi="Times New Roman"/>
          <w:color w:val="0C0C0C"/>
        </w:rPr>
        <w:t>企业</w:t>
      </w:r>
      <w:r>
        <w:rPr>
          <w:rFonts w:ascii="Times New Roman" w:hAnsi="Times New Roman"/>
          <w:color w:val="0C0C0C"/>
        </w:rPr>
        <w:t>技术创新能力。</w:t>
      </w:r>
    </w:p>
    <w:p w14:paraId="5118BCE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第十</w:t>
      </w:r>
      <w:r>
        <w:rPr>
          <w:rFonts w:hint="eastAsia" w:ascii="Times New Roman" w:hAnsi="Times New Roman" w:eastAsia="黑体"/>
          <w:color w:val="0C0C0C"/>
        </w:rPr>
        <w:t>三</w:t>
      </w:r>
      <w:r>
        <w:rPr>
          <w:rFonts w:ascii="Times New Roman" w:hAnsi="Times New Roman" w:eastAsia="黑体"/>
          <w:color w:val="0C0C0C"/>
        </w:rPr>
        <w:t>条</w:t>
      </w:r>
      <w:r>
        <w:rPr>
          <w:rFonts w:ascii="Times New Roman" w:hAnsi="Times New Roman"/>
          <w:color w:val="0C0C0C"/>
        </w:rPr>
        <w:t xml:space="preserve">  </w:t>
      </w:r>
      <w:r>
        <w:rPr>
          <w:rFonts w:hint="eastAsia" w:ascii="Times New Roman" w:hAnsi="Times New Roman"/>
          <w:color w:val="0C0C0C"/>
        </w:rPr>
        <w:t>自治区科技厅</w:t>
      </w:r>
      <w:r>
        <w:rPr>
          <w:rFonts w:hint="eastAsia" w:ascii="Times New Roman" w:hAnsi="Times New Roman"/>
          <w:color w:val="0C0C0C"/>
          <w:lang w:eastAsia="zh-CN"/>
        </w:rPr>
        <w:t>支持</w:t>
      </w:r>
      <w:r>
        <w:rPr>
          <w:rFonts w:hint="eastAsia" w:ascii="Times New Roman" w:hAnsi="Times New Roman"/>
          <w:color w:val="0C0C0C"/>
        </w:rPr>
        <w:t>瞪羚企业</w:t>
      </w:r>
      <w:r>
        <w:rPr>
          <w:rFonts w:hint="eastAsia" w:ascii="Times New Roman" w:hAnsi="Times New Roman"/>
          <w:color w:val="0C0C0C"/>
          <w:lang w:eastAsia="zh-CN"/>
        </w:rPr>
        <w:t>按照有关规定</w:t>
      </w:r>
      <w:r>
        <w:rPr>
          <w:rFonts w:hint="eastAsia" w:ascii="Times New Roman" w:hAnsi="Times New Roman"/>
          <w:color w:val="0C0C0C"/>
        </w:rPr>
        <w:t>纳入科技成果转化基金项目库，鼓励科技成果转化基金投资入库项目</w:t>
      </w:r>
      <w:r>
        <w:rPr>
          <w:rFonts w:hint="eastAsia" w:ascii="Times New Roman" w:hAnsi="Times New Roman"/>
          <w:color w:val="0C0C0C"/>
          <w:lang w:eastAsia="zh-CN"/>
        </w:rPr>
        <w:t>；</w:t>
      </w:r>
      <w:r>
        <w:rPr>
          <w:rFonts w:hint="eastAsia" w:ascii="Times New Roman" w:hAnsi="Times New Roman"/>
          <w:color w:val="0C0C0C"/>
        </w:rPr>
        <w:t>扩大“科创担”业务规模</w:t>
      </w:r>
      <w:r>
        <w:rPr>
          <w:rFonts w:hint="eastAsia" w:ascii="Times New Roman" w:hAnsi="Times New Roman"/>
          <w:color w:val="0C0C0C"/>
          <w:lang w:eastAsia="zh-CN"/>
        </w:rPr>
        <w:t>，</w:t>
      </w:r>
      <w:r>
        <w:rPr>
          <w:rFonts w:hint="eastAsia" w:ascii="Times New Roman" w:hAnsi="Times New Roman"/>
          <w:color w:val="0C0C0C"/>
        </w:rPr>
        <w:t>支持符合条件的融资担保机构为</w:t>
      </w:r>
      <w:r>
        <w:rPr>
          <w:rFonts w:hint="eastAsia" w:ascii="Times New Roman" w:hAnsi="Times New Roman"/>
          <w:color w:val="0C0C0C"/>
          <w:lang w:eastAsia="zh-CN"/>
        </w:rPr>
        <w:t>瞪羚企业</w:t>
      </w:r>
      <w:r>
        <w:rPr>
          <w:rFonts w:hint="eastAsia" w:ascii="Times New Roman" w:hAnsi="Times New Roman"/>
          <w:color w:val="0C0C0C"/>
        </w:rPr>
        <w:t>债券融资提供担保</w:t>
      </w:r>
      <w:r>
        <w:rPr>
          <w:rFonts w:hint="eastAsia" w:ascii="Times New Roman" w:hAnsi="Times New Roman"/>
          <w:color w:val="0C0C0C"/>
          <w:lang w:eastAsia="zh-CN"/>
        </w:rPr>
        <w:t>，共同推动</w:t>
      </w:r>
      <w:r>
        <w:rPr>
          <w:rFonts w:hint="eastAsia" w:ascii="Times New Roman" w:hAnsi="Times New Roman"/>
          <w:color w:val="0C0C0C"/>
        </w:rPr>
        <w:t>更多金融资源</w:t>
      </w:r>
      <w:r>
        <w:rPr>
          <w:rFonts w:hint="eastAsia" w:ascii="Times New Roman" w:hAnsi="Times New Roman"/>
          <w:color w:val="0C0C0C"/>
          <w:lang w:eastAsia="zh-CN"/>
        </w:rPr>
        <w:t>向</w:t>
      </w:r>
      <w:r>
        <w:rPr>
          <w:rFonts w:ascii="Times New Roman" w:hAnsi="Times New Roman"/>
          <w:color w:val="0C0C0C"/>
        </w:rPr>
        <w:t>瞪羚企业</w:t>
      </w:r>
      <w:r>
        <w:rPr>
          <w:rFonts w:hint="eastAsia" w:ascii="Times New Roman" w:hAnsi="Times New Roman"/>
          <w:color w:val="0C0C0C"/>
          <w:lang w:eastAsia="zh-CN"/>
        </w:rPr>
        <w:t>汇集</w:t>
      </w:r>
      <w:r>
        <w:rPr>
          <w:rFonts w:hint="eastAsia" w:ascii="Times New Roman" w:hAnsi="Times New Roman"/>
          <w:color w:val="0C0C0C"/>
        </w:rPr>
        <w:t>，切实降低企业科技创新成本</w:t>
      </w:r>
      <w:r>
        <w:rPr>
          <w:rFonts w:ascii="Times New Roman" w:hAnsi="Times New Roman"/>
          <w:color w:val="0C0C0C"/>
        </w:rPr>
        <w:t>。</w:t>
      </w:r>
      <w:r>
        <w:rPr>
          <w:rFonts w:ascii="Times New Roman" w:hAnsi="Times New Roman"/>
          <w:color w:val="0C0C0C"/>
          <w:lang w:val="en"/>
        </w:rPr>
        <w:t>持续实施瞪羚企业研发经费投入财政奖补政策，引导企业加大研发投入。</w:t>
      </w:r>
      <w:r>
        <w:rPr>
          <w:rFonts w:ascii="Times New Roman" w:hAnsi="Times New Roman"/>
          <w:color w:val="0C0C0C"/>
        </w:rPr>
        <w:t>支持符合条件的瞪羚企业</w:t>
      </w:r>
      <w:r>
        <w:rPr>
          <w:rFonts w:hint="eastAsia" w:ascii="Times New Roman" w:hAnsi="Times New Roman"/>
          <w:color w:val="0C0C0C"/>
          <w:lang w:val="en-US" w:eastAsia="zh-CN"/>
        </w:rPr>
        <w:t>依法</w:t>
      </w:r>
      <w:r>
        <w:rPr>
          <w:rFonts w:ascii="Times New Roman" w:hAnsi="Times New Roman"/>
          <w:color w:val="0C0C0C"/>
        </w:rPr>
        <w:t>纳入各类上市企业培育计划给予重点辅导。</w:t>
      </w:r>
    </w:p>
    <w:p w14:paraId="18AAFF1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r>
        <w:rPr>
          <w:rFonts w:ascii="Times New Roman" w:hAnsi="Times New Roman" w:eastAsia="黑体"/>
          <w:color w:val="0C0C0C"/>
        </w:rPr>
        <w:t>第十</w:t>
      </w:r>
      <w:r>
        <w:rPr>
          <w:rFonts w:hint="eastAsia" w:ascii="Times New Roman" w:hAnsi="Times New Roman" w:eastAsia="黑体"/>
          <w:color w:val="0C0C0C"/>
        </w:rPr>
        <w:t>四</w:t>
      </w:r>
      <w:r>
        <w:rPr>
          <w:rFonts w:ascii="Times New Roman" w:hAnsi="Times New Roman" w:eastAsia="黑体"/>
          <w:color w:val="0C0C0C"/>
        </w:rPr>
        <w:t>条</w:t>
      </w:r>
      <w:r>
        <w:rPr>
          <w:rFonts w:ascii="Times New Roman" w:hAnsi="Times New Roman"/>
          <w:color w:val="0C0C0C"/>
        </w:rPr>
        <w:t xml:space="preserve">  支持各设区市、各高新区管委会根据本地区实际情况，在项目用地、人才引进、科技创新、平台建设和投融资等方面</w:t>
      </w:r>
      <w:r>
        <w:rPr>
          <w:rFonts w:hint="eastAsia" w:ascii="Times New Roman" w:hAnsi="Times New Roman"/>
          <w:color w:val="0C0C0C"/>
          <w:lang w:val="en-US" w:eastAsia="zh-CN"/>
        </w:rPr>
        <w:t>依法</w:t>
      </w:r>
      <w:r>
        <w:rPr>
          <w:rFonts w:hint="eastAsia" w:ascii="Times New Roman" w:hAnsi="Times New Roman"/>
          <w:color w:val="0C0C0C"/>
        </w:rPr>
        <w:t>给予</w:t>
      </w:r>
      <w:r>
        <w:rPr>
          <w:rFonts w:ascii="Times New Roman" w:hAnsi="Times New Roman"/>
          <w:color w:val="0C0C0C"/>
        </w:rPr>
        <w:t>相应培育扶持，确保瞪羚企业在政策方面应享尽享，助推企业高质量发展。</w:t>
      </w:r>
    </w:p>
    <w:p w14:paraId="6411943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color w:val="0C0C0C"/>
        </w:rPr>
      </w:pPr>
    </w:p>
    <w:p w14:paraId="0C241232">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rPr>
          <w:rFonts w:ascii="Times New Roman" w:hAnsi="Times New Roman"/>
          <w:color w:val="0C0C0C"/>
        </w:rPr>
      </w:pPr>
      <w:r>
        <w:rPr>
          <w:rFonts w:ascii="Times New Roman" w:hAnsi="Times New Roman"/>
          <w:color w:val="0C0C0C"/>
        </w:rPr>
        <w:t xml:space="preserve">第六章 </w:t>
      </w:r>
      <w:r>
        <w:rPr>
          <w:rFonts w:hint="eastAsia" w:ascii="Times New Roman" w:hAnsi="Times New Roman"/>
          <w:color w:val="0C0C0C"/>
          <w:lang w:val="en-US" w:eastAsia="zh-CN"/>
        </w:rPr>
        <w:t xml:space="preserve"> </w:t>
      </w:r>
      <w:r>
        <w:rPr>
          <w:rFonts w:ascii="Times New Roman" w:hAnsi="Times New Roman"/>
          <w:color w:val="0C0C0C"/>
        </w:rPr>
        <w:t xml:space="preserve">附 </w:t>
      </w:r>
      <w:r>
        <w:rPr>
          <w:rFonts w:hint="eastAsia" w:ascii="Times New Roman" w:hAnsi="Times New Roman"/>
          <w:color w:val="0C0C0C"/>
          <w:lang w:val="en-US" w:eastAsia="zh-CN"/>
        </w:rPr>
        <w:t xml:space="preserve"> </w:t>
      </w:r>
      <w:r>
        <w:rPr>
          <w:rFonts w:ascii="Times New Roman" w:hAnsi="Times New Roman"/>
          <w:color w:val="0C0C0C"/>
        </w:rPr>
        <w:t>则</w:t>
      </w:r>
    </w:p>
    <w:p w14:paraId="0FED64E0">
      <w:pPr>
        <w:keepNext w:val="0"/>
        <w:keepLines w:val="0"/>
        <w:pageBreakBefore w:val="0"/>
        <w:widowControl w:val="0"/>
        <w:kinsoku/>
        <w:wordWrap/>
        <w:overflowPunct/>
        <w:topLinePunct w:val="0"/>
        <w:autoSpaceDE/>
        <w:autoSpaceDN/>
        <w:bidi w:val="0"/>
        <w:adjustRightInd/>
        <w:snapToGrid/>
        <w:spacing w:line="560" w:lineRule="exact"/>
        <w:textAlignment w:val="auto"/>
      </w:pPr>
    </w:p>
    <w:p w14:paraId="225EF7C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rPr>
          <w:rFonts w:ascii="Times New Roman" w:hAnsi="Times New Roman" w:eastAsia="黑体"/>
          <w:color w:val="0C0C0C"/>
        </w:rPr>
      </w:pPr>
      <w:r>
        <w:rPr>
          <w:rFonts w:ascii="Times New Roman" w:hAnsi="Times New Roman" w:eastAsia="黑体"/>
          <w:color w:val="0C0C0C"/>
        </w:rPr>
        <w:t>第十</w:t>
      </w:r>
      <w:r>
        <w:rPr>
          <w:rFonts w:hint="eastAsia" w:ascii="Times New Roman" w:hAnsi="Times New Roman" w:eastAsia="黑体"/>
          <w:color w:val="0C0C0C"/>
        </w:rPr>
        <w:t>五</w:t>
      </w:r>
      <w:r>
        <w:rPr>
          <w:rFonts w:ascii="Times New Roman" w:hAnsi="Times New Roman" w:eastAsia="黑体"/>
          <w:color w:val="0C0C0C"/>
        </w:rPr>
        <w:t xml:space="preserve">条 </w:t>
      </w:r>
      <w:r>
        <w:rPr>
          <w:rFonts w:hint="eastAsia" w:ascii="Times New Roman" w:hAnsi="Times New Roman" w:eastAsia="黑体"/>
          <w:color w:val="0C0C0C"/>
          <w:lang w:val="en-US" w:eastAsia="zh-CN"/>
        </w:rPr>
        <w:t xml:space="preserve"> </w:t>
      </w:r>
      <w:r>
        <w:rPr>
          <w:rFonts w:ascii="Times New Roman" w:hAnsi="Times New Roman"/>
          <w:color w:val="0C0C0C"/>
        </w:rPr>
        <w:t>本</w:t>
      </w:r>
      <w:r>
        <w:rPr>
          <w:rFonts w:hint="eastAsia" w:ascii="Times New Roman" w:hAnsi="Times New Roman"/>
          <w:color w:val="0C0C0C"/>
        </w:rPr>
        <w:t>办法</w:t>
      </w:r>
      <w:r>
        <w:rPr>
          <w:rFonts w:ascii="Times New Roman" w:hAnsi="Times New Roman"/>
          <w:color w:val="0C0C0C"/>
        </w:rPr>
        <w:t>由自治区科技厅负责解释。</w:t>
      </w:r>
    </w:p>
    <w:p w14:paraId="4DF156C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0" w:firstLineChars="200"/>
        <w:jc w:val="both"/>
        <w:textAlignment w:val="auto"/>
      </w:pPr>
      <w:r>
        <w:rPr>
          <w:rFonts w:ascii="Times New Roman" w:hAnsi="Times New Roman" w:eastAsia="黑体"/>
          <w:color w:val="0C0C0C"/>
        </w:rPr>
        <w:t>第十</w:t>
      </w:r>
      <w:r>
        <w:rPr>
          <w:rFonts w:hint="eastAsia" w:ascii="Times New Roman" w:hAnsi="Times New Roman" w:eastAsia="黑体"/>
          <w:color w:val="0C0C0C"/>
        </w:rPr>
        <w:t>六</w:t>
      </w:r>
      <w:r>
        <w:rPr>
          <w:rFonts w:ascii="Times New Roman" w:hAnsi="Times New Roman" w:eastAsia="黑体"/>
          <w:color w:val="0C0C0C"/>
        </w:rPr>
        <w:t>条</w:t>
      </w:r>
      <w:r>
        <w:rPr>
          <w:rFonts w:hint="eastAsia" w:ascii="Times New Roman" w:hAnsi="Times New Roman" w:eastAsia="黑体"/>
          <w:color w:val="0C0C0C"/>
          <w:lang w:val="en-US" w:eastAsia="zh-CN"/>
        </w:rPr>
        <w:t xml:space="preserve"> </w:t>
      </w:r>
      <w:r>
        <w:rPr>
          <w:rFonts w:ascii="Times New Roman" w:hAnsi="Times New Roman" w:eastAsia="黑体"/>
          <w:color w:val="0C0C0C"/>
        </w:rPr>
        <w:t xml:space="preserve"> </w:t>
      </w:r>
      <w:r>
        <w:rPr>
          <w:rFonts w:ascii="Times New Roman" w:hAnsi="Times New Roman"/>
          <w:color w:val="0C0C0C"/>
        </w:rPr>
        <w:t>本</w:t>
      </w:r>
      <w:r>
        <w:rPr>
          <w:rFonts w:hint="eastAsia" w:ascii="Times New Roman" w:hAnsi="Times New Roman"/>
          <w:color w:val="0C0C0C"/>
        </w:rPr>
        <w:t>办法</w:t>
      </w:r>
      <w:r>
        <w:rPr>
          <w:rFonts w:ascii="Times New Roman" w:hAnsi="Times New Roman"/>
          <w:color w:val="0C0C0C"/>
        </w:rPr>
        <w:t>自印发之日起实施，有效期3年。</w:t>
      </w:r>
    </w:p>
    <w:p w14:paraId="1AD24140">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pPr>
    </w:p>
    <w:p w14:paraId="4FD6E206">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eastAsia="宋体"/>
          <w:lang w:eastAsia="zh-CN"/>
        </w:rPr>
      </w:pPr>
    </w:p>
    <w:tbl>
      <w:tblPr>
        <w:tblStyle w:val="9"/>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2CE0D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noWrap w:val="0"/>
            <w:vAlign w:val="center"/>
          </w:tcPr>
          <w:p w14:paraId="390D9125">
            <w:pPr>
              <w:spacing w:line="360" w:lineRule="exact"/>
              <w:ind w:left="217" w:leftChars="100" w:right="217" w:rightChars="100"/>
              <w:jc w:val="center"/>
              <w:rPr>
                <w:rFonts w:hint="eastAsia" w:eastAsia="仿宋_GB2312"/>
                <w:sz w:val="28"/>
                <w:szCs w:val="28"/>
                <w:lang w:eastAsia="zh-CN"/>
              </w:rPr>
            </w:pPr>
            <w:r>
              <w:rPr>
                <w:rFonts w:eastAsia="仿宋_GB2312"/>
                <w:sz w:val="28"/>
                <w:szCs w:val="28"/>
              </w:rPr>
              <w:t xml:space="preserve">广西壮族自治区科学技术厅办公室      </w:t>
            </w:r>
            <w:r>
              <w:rPr>
                <w:rFonts w:hint="eastAsia" w:eastAsia="仿宋_GB2312"/>
                <w:sz w:val="28"/>
                <w:szCs w:val="28"/>
              </w:rPr>
              <w:t xml:space="preserve">   </w:t>
            </w:r>
            <w:r>
              <w:rPr>
                <w:rFonts w:hint="eastAsia" w:ascii="Times New Roman" w:hAnsi="Times New Roman" w:eastAsia="仿宋_GB2312"/>
                <w:sz w:val="28"/>
                <w:szCs w:val="28"/>
                <w:lang w:val="en" w:eastAsia="zh-CN"/>
              </w:rPr>
              <w:t>2025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31</w:t>
            </w:r>
            <w:r>
              <w:rPr>
                <w:rFonts w:ascii="Times New Roman" w:hAnsi="Times New Roman" w:eastAsia="仿宋_GB2312"/>
                <w:sz w:val="28"/>
                <w:szCs w:val="28"/>
              </w:rPr>
              <w:t>日印</w:t>
            </w:r>
            <w:r>
              <w:rPr>
                <w:rFonts w:hint="eastAsia" w:ascii="Times New Roman" w:hAnsi="Times New Roman" w:eastAsia="仿宋_GB2312"/>
                <w:sz w:val="28"/>
                <w:szCs w:val="28"/>
                <w:lang w:eastAsia="zh-CN"/>
              </w:rPr>
              <w:t>发</w:t>
            </w:r>
          </w:p>
        </w:tc>
      </w:tr>
    </w:tbl>
    <w:p w14:paraId="2193972C">
      <w:pPr>
        <w:keepNext w:val="0"/>
        <w:keepLines w:val="0"/>
        <w:pageBreakBefore w:val="0"/>
        <w:widowControl w:val="0"/>
        <w:kinsoku/>
        <w:wordWrap/>
        <w:overflowPunct/>
        <w:topLinePunct w:val="0"/>
        <w:autoSpaceDE/>
        <w:autoSpaceDN/>
        <w:bidi w:val="0"/>
        <w:adjustRightInd/>
        <w:snapToGrid/>
        <w:spacing w:line="100" w:lineRule="exact"/>
        <w:textAlignment w:val="auto"/>
      </w:pPr>
      <w:r>
        <w:rPr>
          <w:rFonts w:hint="eastAsia" w:eastAsia="宋体"/>
          <w:lang w:eastAsia="zh-CN"/>
        </w:rPr>
        <w:drawing>
          <wp:anchor distT="0" distB="0" distL="114300" distR="114300" simplePos="0" relativeHeight="251660288" behindDoc="0" locked="0" layoutInCell="1" allowOverlap="1">
            <wp:simplePos x="0" y="0"/>
            <wp:positionH relativeFrom="column">
              <wp:posOffset>3782060</wp:posOffset>
            </wp:positionH>
            <wp:positionV relativeFrom="paragraph">
              <wp:posOffset>93345</wp:posOffset>
            </wp:positionV>
            <wp:extent cx="1790700" cy="476250"/>
            <wp:effectExtent l="0" t="0" r="7620" b="11430"/>
            <wp:wrapSquare wrapText="bothSides"/>
            <wp:docPr id="1" name="图片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
                    <pic:cNvPicPr>
                      <a:picLocks noChangeAspect="1"/>
                    </pic:cNvPicPr>
                  </pic:nvPicPr>
                  <pic:blipFill>
                    <a:blip r:embed="rId6"/>
                    <a:stretch>
                      <a:fillRect/>
                    </a:stretch>
                  </pic:blipFill>
                  <pic:spPr>
                    <a:xfrm>
                      <a:off x="0" y="0"/>
                      <a:ext cx="1790700" cy="476250"/>
                    </a:xfrm>
                    <a:prstGeom prst="rect">
                      <a:avLst/>
                    </a:prstGeom>
                    <a:noFill/>
                    <a:ln>
                      <a:noFill/>
                    </a:ln>
                  </pic:spPr>
                </pic:pic>
              </a:graphicData>
            </a:graphic>
          </wp:anchor>
        </w:drawing>
      </w:r>
    </w:p>
    <w:sectPr>
      <w:pgSz w:w="11906" w:h="16838"/>
      <w:pgMar w:top="2098" w:right="1531" w:bottom="1417" w:left="1531" w:header="851" w:footer="1417" w:gutter="0"/>
      <w:paperSrc/>
      <w:pgNumType w:fmt="decimal"/>
      <w:cols w:space="720" w:num="1"/>
      <w:rtlGutter w:val="0"/>
      <w:docGrid w:type="linesAndChars" w:linePitch="592"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9F22">
    <w:pPr>
      <w:pStyle w:val="5"/>
      <w:keepNext w:val="0"/>
      <w:keepLines w:val="0"/>
      <w:pageBreakBefore w:val="0"/>
      <w:widowControl w:val="0"/>
      <w:kinsoku/>
      <w:wordWrap w:val="0"/>
      <w:overflowPunct/>
      <w:topLinePunct w:val="0"/>
      <w:autoSpaceDE/>
      <w:autoSpaceDN/>
      <w:bidi w:val="0"/>
      <w:adjustRightInd/>
      <w:snapToGrid w:val="0"/>
      <w:spacing w:line="240" w:lineRule="exact"/>
      <w:ind w:right="210" w:rightChars="100"/>
      <w:jc w:val="both"/>
      <w:textAlignment w:val="auto"/>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E89DB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65E89DB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2EB8">
    <w:pPr>
      <w:tabs>
        <w:tab w:val="center" w:pos="4153"/>
        <w:tab w:val="right" w:pos="8306"/>
      </w:tabs>
      <w:jc w:val="left"/>
      <w:rPr>
        <w:rFonts w:hint="eastAsia" w:ascii="宋体" w:hAnsi="仿宋_GB2312" w:eastAsia="宋体"/>
        <w:spacing w:val="-6"/>
        <w:sz w:val="28"/>
        <w:szCs w:val="32"/>
      </w:rPr>
    </w:pPr>
    <w:r>
      <w:rPr>
        <w:rFonts w:hint="eastAsia" w:ascii="宋体" w:hAnsi="仿宋_GB2312" w:eastAsia="宋体"/>
        <w:spacing w:val="-6"/>
        <w:sz w:val="28"/>
        <w:szCs w:val="32"/>
      </w:rPr>
      <w:t>—</w:t>
    </w:r>
    <w:r>
      <w:rPr>
        <w:rFonts w:hint="eastAsia" w:ascii="宋体" w:hAnsi="仿宋_GB2312" w:eastAsia="宋体"/>
        <w:spacing w:val="-6"/>
        <w:sz w:val="28"/>
        <w:szCs w:val="32"/>
      </w:rPr>
      <w:fldChar w:fldCharType="begin"/>
    </w:r>
    <w:r>
      <w:rPr>
        <w:rFonts w:hint="eastAsia" w:ascii="宋体" w:hAnsi="仿宋_GB2312" w:eastAsia="宋体"/>
        <w:spacing w:val="-6"/>
        <w:sz w:val="28"/>
        <w:szCs w:val="32"/>
      </w:rPr>
      <w:instrText xml:space="preserve"> PAGE \* MERGEFORMAT </w:instrText>
    </w:r>
    <w:r>
      <w:rPr>
        <w:rFonts w:hint="eastAsia" w:ascii="宋体" w:hAnsi="仿宋_GB2312" w:eastAsia="宋体"/>
        <w:spacing w:val="-6"/>
        <w:sz w:val="28"/>
        <w:szCs w:val="32"/>
      </w:rPr>
      <w:fldChar w:fldCharType="separate"/>
    </w:r>
    <w:r>
      <w:rPr>
        <w:rFonts w:hint="eastAsia" w:ascii="宋体" w:hAnsi="仿宋_GB2312" w:eastAsia="宋体"/>
        <w:spacing w:val="-6"/>
        <w:sz w:val="28"/>
        <w:szCs w:val="32"/>
      </w:rPr>
      <w:t>1</w:t>
    </w:r>
    <w:r>
      <w:rPr>
        <w:rFonts w:hint="eastAsia" w:ascii="宋体" w:hAnsi="仿宋_GB2312" w:eastAsia="宋体"/>
        <w:spacing w:val="-6"/>
        <w:sz w:val="28"/>
        <w:szCs w:val="32"/>
      </w:rPr>
      <w:fldChar w:fldCharType="end"/>
    </w:r>
    <w:r>
      <w:rPr>
        <w:rFonts w:hint="eastAsia" w:ascii="宋体" w:hAnsi="仿宋_GB2312" w:eastAsia="宋体"/>
        <w:spacing w:val="-6"/>
        <w:sz w:val="28"/>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60F62"/>
    <w:rsid w:val="30D73B4E"/>
    <w:rsid w:val="37597023"/>
    <w:rsid w:val="3E7E9E62"/>
    <w:rsid w:val="3EAB0813"/>
    <w:rsid w:val="3EFE9BDE"/>
    <w:rsid w:val="4E3C24E9"/>
    <w:rsid w:val="6EBF5A52"/>
    <w:rsid w:val="778139CD"/>
    <w:rsid w:val="79B53051"/>
    <w:rsid w:val="7F9F10BF"/>
    <w:rsid w:val="CFBF126D"/>
    <w:rsid w:val="D7F52AF2"/>
    <w:rsid w:val="DFF7B162"/>
    <w:rsid w:val="EEFBFD83"/>
    <w:rsid w:val="EFFBFC7C"/>
    <w:rsid w:val="F76E4917"/>
    <w:rsid w:val="FF79D5E3"/>
    <w:rsid w:val="FFE7ACC8"/>
    <w:rsid w:val="FFFFC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9"/>
    <w:pPr>
      <w:keepNext/>
      <w:keepLines/>
      <w:spacing w:before="100" w:beforeLines="100" w:after="100" w:afterLines="100" w:line="560" w:lineRule="exact"/>
      <w:ind w:firstLine="894" w:firstLineChars="200"/>
      <w:jc w:val="center"/>
      <w:outlineLvl w:val="0"/>
    </w:pPr>
    <w:rPr>
      <w:rFonts w:ascii="黑体" w:hAnsi="黑体" w:eastAsia="黑体" w:cs="Times New Roman"/>
      <w:kern w:val="44"/>
      <w:sz w:val="32"/>
      <w:szCs w:val="32"/>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unhideWhenUsed/>
    <w:qFormat/>
    <w:uiPriority w:val="99"/>
    <w:pPr>
      <w:spacing w:line="560" w:lineRule="exact"/>
      <w:ind w:firstLine="630" w:firstLineChars="200"/>
    </w:pPr>
    <w:rPr>
      <w:rFonts w:ascii="仿宋_GB2312" w:hAnsi="仿宋_GB2312" w:eastAsia="仿宋_GB2312" w:cs="Times New Roman"/>
      <w:spacing w:val="-6"/>
      <w:sz w:val="32"/>
      <w:lang w:val="en-US" w:eastAsia="zh-CN" w:bidi="ar-SA"/>
    </w:rPr>
  </w:style>
  <w:style w:type="paragraph" w:styleId="5">
    <w:name w:val="footer"/>
    <w:unhideWhenUsed/>
    <w:qFormat/>
    <w:uiPriority w:val="99"/>
    <w:pPr>
      <w:widowControl w:val="0"/>
      <w:tabs>
        <w:tab w:val="center" w:pos="4153"/>
        <w:tab w:val="right" w:pos="8306"/>
      </w:tabs>
      <w:snapToGrid w:val="0"/>
      <w:jc w:val="left"/>
    </w:pPr>
    <w:rPr>
      <w:rFonts w:ascii="仿宋_GB2312" w:hAnsi="仿宋_GB2312" w:eastAsia="仿宋_GB2312" w:cs="Times New Roman"/>
      <w:spacing w:val="-6"/>
      <w:kern w:val="2"/>
      <w:sz w:val="18"/>
      <w:szCs w:val="18"/>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next w:val="1"/>
    <w:qFormat/>
    <w:uiPriority w:val="10"/>
    <w:pPr>
      <w:spacing w:line="720" w:lineRule="exact"/>
      <w:jc w:val="center"/>
      <w:outlineLvl w:val="0"/>
    </w:pPr>
    <w:rPr>
      <w:rFonts w:ascii="方正小标宋简体" w:hAnsi="方正小标宋简体" w:eastAsia="方正小标宋简体" w:cs="Times New Roman"/>
      <w:sz w:val="44"/>
      <w:szCs w:val="44"/>
      <w:lang w:val="en-US" w:eastAsia="zh-CN" w:bidi="ar-SA"/>
    </w:rPr>
  </w:style>
  <w:style w:type="table" w:styleId="9">
    <w:name w:val="Table Grid"/>
    <w:basedOn w:val="8"/>
    <w:qFormat/>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395</Words>
  <Characters>402</Characters>
  <Lines>0</Lines>
  <Paragraphs>0</Paragraphs>
  <TotalTime>23.6666666666667</TotalTime>
  <ScaleCrop>false</ScaleCrop>
  <LinksUpToDate>false</LinksUpToDate>
  <CharactersWithSpaces>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墨迹夏子</cp:lastModifiedBy>
  <cp:lastPrinted>2025-08-01T01:20:19Z</cp:lastPrinted>
  <dcterms:modified xsi:type="dcterms:W3CDTF">2025-07-31T10:04:19Z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AA68CA787EFA439C89036F3B2593D70A_13</vt:lpwstr>
  </property>
</Properties>
</file>