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2C45A1">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黑体" w:hAnsi="黑体" w:eastAsia="黑体" w:cs="黑体"/>
          <w:sz w:val="32"/>
          <w:szCs w:val="32"/>
          <w:lang w:val="en" w:eastAsia="zh-CN"/>
        </w:rPr>
      </w:pPr>
      <w:r>
        <w:rPr>
          <w:rFonts w:hint="eastAsia" w:ascii="黑体" w:hAnsi="黑体" w:eastAsia="黑体" w:cs="黑体"/>
          <w:sz w:val="32"/>
          <w:szCs w:val="32"/>
          <w:lang w:eastAsia="zh-CN"/>
        </w:rPr>
        <w:t>附件</w:t>
      </w:r>
      <w:r>
        <w:rPr>
          <w:rFonts w:hint="default" w:ascii="Times New Roman" w:hAnsi="Times New Roman" w:eastAsia="黑体" w:cs="Times New Roman"/>
          <w:sz w:val="32"/>
          <w:szCs w:val="32"/>
          <w:lang w:val="en" w:eastAsia="zh-CN"/>
        </w:rPr>
        <w:t>1</w:t>
      </w:r>
    </w:p>
    <w:p w14:paraId="6AC8BE0E">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ascii="Times New Roman" w:hAnsi="Times New Roman" w:eastAsia="方正小标宋简体"/>
          <w:sz w:val="44"/>
          <w:szCs w:val="44"/>
        </w:rPr>
      </w:pPr>
    </w:p>
    <w:p w14:paraId="3EBA2974">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方正小标宋简体"/>
          <w:sz w:val="44"/>
          <w:szCs w:val="44"/>
        </w:rPr>
      </w:pPr>
      <w:r>
        <w:rPr>
          <w:rFonts w:ascii="Times New Roman" w:hAnsi="Times New Roman" w:eastAsia="方正小标宋简体"/>
          <w:sz w:val="44"/>
          <w:szCs w:val="44"/>
        </w:rPr>
        <w:t>广西科技成果转化基金管理</w:t>
      </w:r>
      <w:r>
        <w:rPr>
          <w:rFonts w:hint="eastAsia" w:ascii="Times New Roman" w:hAnsi="Times New Roman" w:eastAsia="方正小标宋简体"/>
          <w:sz w:val="44"/>
          <w:szCs w:val="44"/>
        </w:rPr>
        <w:t>操作指引</w:t>
      </w:r>
    </w:p>
    <w:p w14:paraId="1CC071D1">
      <w:pPr>
        <w:pStyle w:val="15"/>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jc w:val="center"/>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征求意见</w:t>
      </w:r>
      <w:r>
        <w:rPr>
          <w:rFonts w:hint="eastAsia" w:ascii="楷体_GB2312" w:hAnsi="楷体_GB2312" w:eastAsia="楷体_GB2312" w:cs="楷体_GB2312"/>
          <w:sz w:val="32"/>
          <w:szCs w:val="32"/>
          <w:lang w:eastAsia="zh-CN"/>
        </w:rPr>
        <w:t>稿）</w:t>
      </w:r>
    </w:p>
    <w:p w14:paraId="78FE3BF5">
      <w:pPr>
        <w:pStyle w:val="15"/>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jc w:val="center"/>
        <w:textAlignment w:val="auto"/>
        <w:rPr>
          <w:rFonts w:hint="eastAsia" w:ascii="方正楷体_GBK" w:hAnsi="方正楷体_GBK" w:eastAsia="方正楷体_GBK" w:cs="方正楷体_GBK"/>
          <w:sz w:val="32"/>
          <w:szCs w:val="32"/>
          <w:lang w:eastAsia="zh-CN"/>
        </w:rPr>
      </w:pPr>
    </w:p>
    <w:p w14:paraId="05D9840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仿宋_GB2312"/>
          <w:sz w:val="32"/>
          <w:szCs w:val="32"/>
        </w:rPr>
      </w:pPr>
      <w:r>
        <w:rPr>
          <w:rFonts w:hint="eastAsia" w:ascii="Times New Roman" w:hAnsi="Times New Roman" w:eastAsia="仿宋_GB2312"/>
          <w:sz w:val="32"/>
          <w:szCs w:val="32"/>
        </w:rPr>
        <w:t>自治区科技厅作为</w:t>
      </w:r>
      <w:r>
        <w:rPr>
          <w:rFonts w:ascii="Times New Roman" w:hAnsi="Times New Roman" w:eastAsia="仿宋_GB2312"/>
          <w:sz w:val="32"/>
          <w:szCs w:val="32"/>
        </w:rPr>
        <w:t>广西科技成果转化基金</w:t>
      </w:r>
      <w:r>
        <w:rPr>
          <w:rFonts w:hint="eastAsia" w:ascii="Times New Roman" w:hAnsi="Times New Roman" w:eastAsia="仿宋_GB2312"/>
          <w:sz w:val="32"/>
          <w:szCs w:val="32"/>
        </w:rPr>
        <w:t>（以下简称转化基金）牵头发起设立单位，为规范转化基金管理职责与操作流程，明确工作标准与要求</w:t>
      </w:r>
      <w:r>
        <w:rPr>
          <w:rFonts w:ascii="Times New Roman" w:hAnsi="Times New Roman" w:eastAsia="仿宋_GB2312"/>
          <w:sz w:val="32"/>
          <w:szCs w:val="32"/>
        </w:rPr>
        <w:t>，</w:t>
      </w:r>
      <w:r>
        <w:rPr>
          <w:rFonts w:hint="eastAsia" w:ascii="Times New Roman" w:hAnsi="Times New Roman" w:eastAsia="仿宋_GB2312"/>
          <w:sz w:val="32"/>
          <w:szCs w:val="32"/>
        </w:rPr>
        <w:t>高效推动转化</w:t>
      </w:r>
      <w:r>
        <w:rPr>
          <w:rFonts w:ascii="Times New Roman" w:hAnsi="Times New Roman" w:eastAsia="仿宋_GB2312"/>
          <w:sz w:val="32"/>
          <w:szCs w:val="32"/>
        </w:rPr>
        <w:t>基金设立和</w:t>
      </w:r>
      <w:r>
        <w:rPr>
          <w:rFonts w:hint="eastAsia" w:ascii="Times New Roman" w:hAnsi="Times New Roman" w:eastAsia="仿宋_GB2312"/>
          <w:sz w:val="32"/>
          <w:szCs w:val="32"/>
        </w:rPr>
        <w:t>管理</w:t>
      </w:r>
      <w:r>
        <w:rPr>
          <w:rFonts w:ascii="Times New Roman" w:hAnsi="Times New Roman" w:eastAsia="仿宋_GB2312"/>
          <w:sz w:val="32"/>
          <w:szCs w:val="32"/>
        </w:rPr>
        <w:t>，制定本</w:t>
      </w:r>
      <w:r>
        <w:rPr>
          <w:rFonts w:hint="eastAsia" w:ascii="Times New Roman" w:hAnsi="Times New Roman" w:eastAsia="仿宋_GB2312"/>
          <w:sz w:val="32"/>
          <w:szCs w:val="32"/>
        </w:rPr>
        <w:t>指引</w:t>
      </w:r>
      <w:r>
        <w:rPr>
          <w:rFonts w:ascii="Times New Roman" w:hAnsi="Times New Roman" w:eastAsia="仿宋_GB2312"/>
          <w:sz w:val="32"/>
          <w:szCs w:val="32"/>
        </w:rPr>
        <w:t>。</w:t>
      </w:r>
    </w:p>
    <w:p w14:paraId="4EBDF33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黑体"/>
          <w:sz w:val="32"/>
          <w:szCs w:val="32"/>
        </w:rPr>
      </w:pPr>
      <w:r>
        <w:rPr>
          <w:rFonts w:hint="eastAsia" w:ascii="Times New Roman" w:hAnsi="Times New Roman" w:eastAsia="黑体"/>
          <w:sz w:val="32"/>
          <w:szCs w:val="32"/>
        </w:rPr>
        <w:t>一</w:t>
      </w:r>
      <w:r>
        <w:rPr>
          <w:rFonts w:ascii="Times New Roman" w:hAnsi="Times New Roman" w:eastAsia="黑体"/>
          <w:sz w:val="32"/>
          <w:szCs w:val="32"/>
        </w:rPr>
        <w:t>、基金设立</w:t>
      </w:r>
      <w:r>
        <w:rPr>
          <w:rFonts w:hint="eastAsia" w:ascii="Times New Roman" w:hAnsi="Times New Roman" w:eastAsia="黑体"/>
          <w:sz w:val="32"/>
          <w:szCs w:val="32"/>
        </w:rPr>
        <w:t>前期工作</w:t>
      </w:r>
    </w:p>
    <w:p w14:paraId="51F72565">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left"/>
        <w:textAlignment w:val="auto"/>
        <w:rPr>
          <w:rFonts w:hint="eastAsia" w:ascii="Times New Roman" w:hAnsi="Times New Roman" w:eastAsia="仿宋_GB2312" w:cs="Times New Roman"/>
          <w:b w:val="0"/>
          <w:bCs w:val="0"/>
          <w:sz w:val="32"/>
          <w:szCs w:val="32"/>
          <w:lang w:val="en-US" w:eastAsia="zh-CN"/>
        </w:rPr>
      </w:pPr>
      <w:r>
        <w:rPr>
          <w:rFonts w:hint="eastAsia" w:ascii="楷体_GB2312" w:hAnsi="楷体_GB2312" w:eastAsia="楷体_GB2312" w:cs="楷体_GB2312"/>
          <w:b/>
          <w:bCs/>
          <w:sz w:val="32"/>
          <w:szCs w:val="32"/>
        </w:rPr>
        <w:t>（一）制定年度投资计划。</w:t>
      </w:r>
      <w:r>
        <w:rPr>
          <w:rFonts w:hint="default" w:ascii="Times New Roman" w:hAnsi="Times New Roman" w:eastAsia="仿宋_GB2312" w:cs="Times New Roman"/>
          <w:b w:val="0"/>
          <w:bCs w:val="0"/>
          <w:sz w:val="32"/>
          <w:szCs w:val="32"/>
        </w:rPr>
        <w:t>自治区科技厅制定转化基金年度投资计划，纳入广西政府投资引导基金年度投资计划，由广西政府投资基金管理办公室</w:t>
      </w:r>
      <w:r>
        <w:rPr>
          <w:rFonts w:hint="eastAsia" w:ascii="Times New Roman" w:hAnsi="Times New Roman" w:eastAsia="仿宋_GB2312"/>
          <w:sz w:val="32"/>
          <w:szCs w:val="32"/>
        </w:rPr>
        <w:t>（以下简称基金管理办公室）</w:t>
      </w:r>
      <w:r>
        <w:rPr>
          <w:rFonts w:hint="default" w:ascii="Times New Roman" w:hAnsi="Times New Roman" w:eastAsia="仿宋_GB2312" w:cs="Times New Roman"/>
          <w:b w:val="0"/>
          <w:bCs w:val="0"/>
          <w:sz w:val="32"/>
          <w:szCs w:val="32"/>
        </w:rPr>
        <w:t>报广西政府投资基金管理委员会批准后组织实施</w:t>
      </w:r>
      <w:r>
        <w:rPr>
          <w:rFonts w:hint="eastAsia" w:ascii="Times New Roman" w:hAnsi="Times New Roman" w:eastAsia="仿宋_GB2312" w:cs="Times New Roman"/>
          <w:b w:val="0"/>
          <w:bCs w:val="0"/>
          <w:sz w:val="32"/>
          <w:szCs w:val="32"/>
          <w:lang w:eastAsia="zh-CN"/>
        </w:rPr>
        <w:t>。</w:t>
      </w:r>
    </w:p>
    <w:p w14:paraId="34443F6F">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left"/>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二</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rPr>
        <w:t>发布申报指南。</w:t>
      </w:r>
      <w:r>
        <w:rPr>
          <w:rFonts w:ascii="Times New Roman" w:hAnsi="Times New Roman" w:eastAsia="仿宋_GB2312"/>
          <w:sz w:val="32"/>
          <w:szCs w:val="32"/>
        </w:rPr>
        <w:t>自治区科技厅</w:t>
      </w:r>
      <w:r>
        <w:rPr>
          <w:rFonts w:hint="eastAsia" w:ascii="Times New Roman" w:hAnsi="Times New Roman" w:eastAsia="仿宋_GB2312"/>
          <w:sz w:val="32"/>
          <w:szCs w:val="32"/>
        </w:rPr>
        <w:t>结合年度</w:t>
      </w:r>
      <w:r>
        <w:rPr>
          <w:rFonts w:ascii="Times New Roman" w:hAnsi="Times New Roman" w:eastAsia="仿宋_GB2312"/>
          <w:sz w:val="32"/>
          <w:szCs w:val="32"/>
        </w:rPr>
        <w:t>投资规划及投资方向方案</w:t>
      </w:r>
      <w:r>
        <w:rPr>
          <w:rFonts w:hint="eastAsia" w:ascii="Times New Roman" w:hAnsi="Times New Roman" w:eastAsia="仿宋_GB2312"/>
          <w:sz w:val="32"/>
          <w:szCs w:val="32"/>
        </w:rPr>
        <w:t>，明确申报条件、申报材料、截止时间等要求，公开发布申报指南</w:t>
      </w:r>
      <w:r>
        <w:rPr>
          <w:rFonts w:ascii="Times New Roman" w:hAnsi="Times New Roman" w:eastAsia="仿宋_GB2312"/>
          <w:sz w:val="32"/>
          <w:szCs w:val="32"/>
        </w:rPr>
        <w:t>。</w:t>
      </w:r>
    </w:p>
    <w:p w14:paraId="62DA73C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三</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rPr>
        <w:t>方案申报。</w:t>
      </w:r>
      <w:r>
        <w:rPr>
          <w:rFonts w:ascii="Times New Roman" w:hAnsi="Times New Roman" w:eastAsia="仿宋_GB2312"/>
          <w:sz w:val="32"/>
          <w:szCs w:val="32"/>
        </w:rPr>
        <w:t>申请机构根据</w:t>
      </w:r>
      <w:r>
        <w:rPr>
          <w:rFonts w:hint="eastAsia" w:ascii="Times New Roman" w:hAnsi="Times New Roman" w:eastAsia="仿宋_GB2312"/>
          <w:sz w:val="32"/>
          <w:szCs w:val="32"/>
        </w:rPr>
        <w:t>申报指南要求</w:t>
      </w:r>
      <w:r>
        <w:rPr>
          <w:rFonts w:ascii="Times New Roman" w:hAnsi="Times New Roman" w:eastAsia="仿宋_GB2312"/>
          <w:sz w:val="32"/>
          <w:szCs w:val="32"/>
        </w:rPr>
        <w:t>，编制转化基金设立方案</w:t>
      </w:r>
      <w:r>
        <w:rPr>
          <w:rFonts w:hint="eastAsia" w:ascii="Times New Roman" w:hAnsi="Times New Roman" w:eastAsia="仿宋_GB2312"/>
          <w:sz w:val="32"/>
          <w:szCs w:val="32"/>
        </w:rPr>
        <w:t>，</w:t>
      </w:r>
      <w:r>
        <w:rPr>
          <w:rFonts w:ascii="Times New Roman" w:hAnsi="Times New Roman" w:eastAsia="仿宋_GB2312"/>
          <w:sz w:val="32"/>
          <w:szCs w:val="32"/>
        </w:rPr>
        <w:t>向自治区科技厅申报，</w:t>
      </w:r>
      <w:r>
        <w:rPr>
          <w:rFonts w:hint="eastAsia" w:ascii="Times New Roman" w:hAnsi="Times New Roman" w:eastAsia="仿宋_GB2312"/>
          <w:sz w:val="32"/>
          <w:szCs w:val="32"/>
        </w:rPr>
        <w:t>并按要求</w:t>
      </w:r>
      <w:r>
        <w:rPr>
          <w:rFonts w:ascii="Times New Roman" w:hAnsi="Times New Roman" w:eastAsia="仿宋_GB2312"/>
          <w:sz w:val="32"/>
          <w:szCs w:val="32"/>
        </w:rPr>
        <w:t>提供</w:t>
      </w:r>
      <w:r>
        <w:rPr>
          <w:rFonts w:hint="eastAsia" w:ascii="Times New Roman" w:hAnsi="Times New Roman" w:eastAsia="仿宋_GB2312"/>
          <w:sz w:val="32"/>
          <w:szCs w:val="32"/>
        </w:rPr>
        <w:t>相关材料（详见附件1）</w:t>
      </w:r>
      <w:r>
        <w:rPr>
          <w:rFonts w:ascii="Times New Roman" w:hAnsi="Times New Roman" w:eastAsia="仿宋_GB2312"/>
          <w:sz w:val="32"/>
          <w:szCs w:val="32"/>
        </w:rPr>
        <w:t>。</w:t>
      </w:r>
    </w:p>
    <w:p w14:paraId="33413B0B">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left"/>
        <w:textAlignment w:val="auto"/>
        <w:rPr>
          <w:rFonts w:hint="eastAsia" w:ascii="Times New Roman" w:hAnsi="Times New Roman" w:eastAsia="仿宋_GB2312"/>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四</w:t>
      </w: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初步</w:t>
      </w:r>
      <w:r>
        <w:rPr>
          <w:rFonts w:ascii="楷体_GB2312" w:hAnsi="楷体_GB2312" w:eastAsia="楷体_GB2312" w:cs="楷体_GB2312"/>
          <w:b/>
          <w:bCs/>
          <w:sz w:val="32"/>
          <w:szCs w:val="32"/>
        </w:rPr>
        <w:t>审</w:t>
      </w:r>
      <w:r>
        <w:rPr>
          <w:rFonts w:hint="eastAsia" w:ascii="楷体_GB2312" w:hAnsi="楷体_GB2312" w:eastAsia="楷体_GB2312" w:cs="楷体_GB2312"/>
          <w:b/>
          <w:bCs/>
          <w:sz w:val="32"/>
          <w:szCs w:val="32"/>
          <w:lang w:eastAsia="zh-CN"/>
        </w:rPr>
        <w:t>核</w:t>
      </w:r>
      <w:r>
        <w:rPr>
          <w:rFonts w:ascii="楷体_GB2312" w:hAnsi="楷体_GB2312" w:eastAsia="楷体_GB2312" w:cs="楷体_GB2312"/>
          <w:b/>
          <w:bCs/>
          <w:sz w:val="32"/>
          <w:szCs w:val="32"/>
        </w:rPr>
        <w:t>。</w:t>
      </w:r>
      <w:r>
        <w:rPr>
          <w:rFonts w:hint="eastAsia" w:ascii="Times New Roman" w:hAnsi="Times New Roman" w:eastAsia="仿宋_GB2312"/>
          <w:sz w:val="32"/>
          <w:szCs w:val="32"/>
        </w:rPr>
        <w:t>自治区科技厅</w:t>
      </w:r>
      <w:r>
        <w:rPr>
          <w:rFonts w:hint="eastAsia" w:ascii="Times New Roman" w:hAnsi="Times New Roman" w:eastAsia="仿宋_GB2312"/>
          <w:sz w:val="32"/>
          <w:szCs w:val="32"/>
          <w:lang w:eastAsia="zh-CN"/>
        </w:rPr>
        <w:t>对符合科技成果转化基金筛选标准的设立方案进行初步审核，重点核查材料的完整性、规范性，并于</w:t>
      </w:r>
      <w:r>
        <w:rPr>
          <w:rFonts w:hint="eastAsia" w:ascii="Times New Roman" w:hAnsi="Times New Roman" w:eastAsia="仿宋_GB2312"/>
          <w:sz w:val="32"/>
          <w:szCs w:val="32"/>
          <w:lang w:val="en-US" w:eastAsia="zh-CN"/>
        </w:rPr>
        <w:t>15个工作日内反馈初审意见</w:t>
      </w:r>
      <w:r>
        <w:rPr>
          <w:rFonts w:hint="eastAsia" w:ascii="Times New Roman" w:hAnsi="Times New Roman" w:eastAsia="仿宋_GB2312"/>
          <w:sz w:val="32"/>
          <w:szCs w:val="32"/>
          <w:lang w:eastAsia="zh-CN"/>
        </w:rPr>
        <w:t>。经初审反馈需补充材料的，由自治区科技厅通知申请机构完善申报材料并重新提交。如重新提交后的申报材料仍未通过初审的，自治区科技厅原则上一年内不再受理该申请机构的申报。</w:t>
      </w:r>
    </w:p>
    <w:p w14:paraId="3812100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Times New Roman" w:hAnsi="Times New Roman" w:eastAsia="仿宋_GB2312"/>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五</w:t>
      </w:r>
      <w:r>
        <w:rPr>
          <w:rFonts w:hint="eastAsia" w:ascii="楷体_GB2312" w:hAnsi="楷体_GB2312" w:eastAsia="楷体_GB2312" w:cs="楷体_GB2312"/>
          <w:b/>
          <w:bCs/>
          <w:sz w:val="32"/>
          <w:szCs w:val="32"/>
        </w:rPr>
        <w:t>）专家论证</w:t>
      </w:r>
      <w:r>
        <w:rPr>
          <w:rFonts w:ascii="楷体_GB2312" w:hAnsi="楷体_GB2312" w:eastAsia="楷体_GB2312" w:cs="楷体_GB2312"/>
          <w:b/>
          <w:bCs/>
          <w:sz w:val="32"/>
          <w:szCs w:val="32"/>
        </w:rPr>
        <w:t>。</w:t>
      </w:r>
      <w:r>
        <w:rPr>
          <w:rFonts w:hint="eastAsia" w:ascii="Times New Roman" w:hAnsi="Times New Roman" w:eastAsia="仿宋_GB2312"/>
          <w:sz w:val="32"/>
          <w:szCs w:val="32"/>
        </w:rPr>
        <w:t>自治区科技厅</w:t>
      </w:r>
      <w:r>
        <w:rPr>
          <w:rFonts w:ascii="Times New Roman" w:hAnsi="Times New Roman" w:eastAsia="仿宋_GB2312"/>
          <w:sz w:val="32"/>
          <w:szCs w:val="32"/>
        </w:rPr>
        <w:t>组织专家对通过形式审查的申报材料进行</w:t>
      </w:r>
      <w:r>
        <w:rPr>
          <w:rFonts w:hint="eastAsia" w:ascii="Times New Roman" w:hAnsi="Times New Roman" w:eastAsia="仿宋_GB2312"/>
          <w:sz w:val="32"/>
          <w:szCs w:val="32"/>
        </w:rPr>
        <w:t>论证</w:t>
      </w:r>
      <w:r>
        <w:rPr>
          <w:rFonts w:ascii="Times New Roman" w:hAnsi="Times New Roman" w:eastAsia="仿宋_GB2312"/>
          <w:sz w:val="32"/>
          <w:szCs w:val="32"/>
        </w:rPr>
        <w:t>（</w:t>
      </w:r>
      <w:r>
        <w:rPr>
          <w:rFonts w:hint="eastAsia" w:ascii="Times New Roman" w:hAnsi="Times New Roman" w:eastAsia="仿宋_GB2312"/>
          <w:sz w:val="32"/>
          <w:szCs w:val="32"/>
        </w:rPr>
        <w:t>详</w:t>
      </w:r>
      <w:r>
        <w:rPr>
          <w:rFonts w:ascii="Times New Roman" w:hAnsi="Times New Roman" w:eastAsia="仿宋_GB2312"/>
          <w:sz w:val="32"/>
          <w:szCs w:val="32"/>
        </w:rPr>
        <w:t>见附件2）</w:t>
      </w:r>
      <w:r>
        <w:rPr>
          <w:rFonts w:hint="eastAsia" w:ascii="Times New Roman" w:hAnsi="Times New Roman" w:eastAsia="仿宋_GB2312"/>
          <w:sz w:val="32"/>
          <w:szCs w:val="32"/>
        </w:rPr>
        <w:t>。专家组</w:t>
      </w:r>
      <w:r>
        <w:rPr>
          <w:rFonts w:hint="eastAsia" w:ascii="Times New Roman" w:hAnsi="Times New Roman" w:eastAsia="仿宋_GB2312"/>
          <w:bCs/>
          <w:kern w:val="0"/>
          <w:sz w:val="32"/>
          <w:szCs w:val="32"/>
        </w:rPr>
        <w:t>通过独立评分</w:t>
      </w:r>
      <w:r>
        <w:rPr>
          <w:rFonts w:ascii="Times New Roman" w:hAnsi="Times New Roman" w:eastAsia="仿宋_GB2312"/>
          <w:sz w:val="32"/>
          <w:szCs w:val="32"/>
        </w:rPr>
        <w:t>评选出符合条件的</w:t>
      </w:r>
      <w:r>
        <w:rPr>
          <w:rFonts w:hint="eastAsia" w:ascii="Times New Roman" w:hAnsi="Times New Roman" w:eastAsia="仿宋_GB2312"/>
          <w:sz w:val="32"/>
          <w:szCs w:val="32"/>
        </w:rPr>
        <w:t>转化</w:t>
      </w:r>
      <w:r>
        <w:rPr>
          <w:rFonts w:ascii="Times New Roman" w:hAnsi="Times New Roman" w:eastAsia="仿宋_GB2312"/>
          <w:sz w:val="32"/>
          <w:szCs w:val="32"/>
        </w:rPr>
        <w:t>基金</w:t>
      </w:r>
      <w:r>
        <w:rPr>
          <w:rFonts w:hint="eastAsia" w:ascii="Times New Roman" w:hAnsi="Times New Roman" w:eastAsia="仿宋_GB2312"/>
          <w:sz w:val="32"/>
          <w:szCs w:val="32"/>
        </w:rPr>
        <w:t>，并出具论证意见</w:t>
      </w:r>
      <w:r>
        <w:rPr>
          <w:rFonts w:ascii="Times New Roman" w:hAnsi="Times New Roman" w:eastAsia="仿宋_GB2312"/>
          <w:sz w:val="32"/>
          <w:szCs w:val="32"/>
        </w:rPr>
        <w:t>。</w:t>
      </w:r>
    </w:p>
    <w:p w14:paraId="1398998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六</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方案报送</w:t>
      </w:r>
      <w:r>
        <w:rPr>
          <w:rFonts w:hint="eastAsia" w:ascii="楷体_GB2312" w:hAnsi="楷体_GB2312" w:eastAsia="楷体_GB2312" w:cs="楷体_GB2312"/>
          <w:b/>
          <w:bCs/>
          <w:sz w:val="32"/>
          <w:szCs w:val="32"/>
        </w:rPr>
        <w:t>。</w:t>
      </w:r>
      <w:r>
        <w:rPr>
          <w:rFonts w:ascii="Times New Roman" w:hAnsi="Times New Roman" w:eastAsia="仿宋_GB2312"/>
          <w:sz w:val="32"/>
          <w:szCs w:val="32"/>
        </w:rPr>
        <w:t>通过</w:t>
      </w:r>
      <w:r>
        <w:rPr>
          <w:rFonts w:hint="eastAsia" w:ascii="Times New Roman" w:hAnsi="Times New Roman" w:eastAsia="仿宋_GB2312"/>
          <w:sz w:val="32"/>
          <w:szCs w:val="32"/>
        </w:rPr>
        <w:t>专家论证</w:t>
      </w:r>
      <w:r>
        <w:rPr>
          <w:rFonts w:ascii="Times New Roman" w:hAnsi="Times New Roman" w:eastAsia="仿宋_GB2312"/>
          <w:sz w:val="32"/>
          <w:szCs w:val="32"/>
        </w:rPr>
        <w:t>的</w:t>
      </w:r>
      <w:r>
        <w:rPr>
          <w:rFonts w:hint="eastAsia" w:ascii="Times New Roman" w:hAnsi="Times New Roman" w:eastAsia="仿宋_GB2312"/>
          <w:sz w:val="32"/>
          <w:szCs w:val="32"/>
        </w:rPr>
        <w:t>转化基金</w:t>
      </w:r>
      <w:r>
        <w:rPr>
          <w:rFonts w:ascii="Times New Roman" w:hAnsi="Times New Roman" w:eastAsia="仿宋_GB2312"/>
          <w:sz w:val="32"/>
          <w:szCs w:val="32"/>
        </w:rPr>
        <w:t>，由</w:t>
      </w:r>
      <w:r>
        <w:rPr>
          <w:rFonts w:hint="eastAsia" w:ascii="Times New Roman" w:hAnsi="Times New Roman" w:eastAsia="仿宋_GB2312"/>
          <w:sz w:val="32"/>
          <w:szCs w:val="32"/>
        </w:rPr>
        <w:t>自治区科技厅</w:t>
      </w:r>
      <w:r>
        <w:rPr>
          <w:rFonts w:hint="eastAsia" w:ascii="Times New Roman" w:hAnsi="Times New Roman" w:eastAsia="仿宋_GB2312"/>
          <w:sz w:val="32"/>
          <w:szCs w:val="32"/>
          <w:lang w:eastAsia="zh-CN"/>
        </w:rPr>
        <w:t>履行内部审核程序，并将审核通过的设立方案</w:t>
      </w:r>
      <w:r>
        <w:rPr>
          <w:rFonts w:hint="eastAsia" w:ascii="Times New Roman" w:hAnsi="Times New Roman" w:eastAsia="仿宋_GB2312"/>
          <w:sz w:val="32"/>
          <w:szCs w:val="32"/>
        </w:rPr>
        <w:t>报送基金管理办公室</w:t>
      </w:r>
      <w:r>
        <w:rPr>
          <w:rFonts w:ascii="Times New Roman" w:hAnsi="Times New Roman" w:eastAsia="仿宋_GB2312"/>
          <w:sz w:val="32"/>
          <w:szCs w:val="32"/>
        </w:rPr>
        <w:t>。</w:t>
      </w:r>
    </w:p>
    <w:p w14:paraId="19A7576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黑体"/>
          <w:sz w:val="32"/>
          <w:szCs w:val="32"/>
        </w:rPr>
      </w:pPr>
      <w:r>
        <w:rPr>
          <w:rFonts w:hint="eastAsia" w:ascii="Times New Roman" w:hAnsi="Times New Roman" w:eastAsia="黑体"/>
          <w:sz w:val="32"/>
          <w:szCs w:val="32"/>
        </w:rPr>
        <w:t>二</w:t>
      </w:r>
      <w:r>
        <w:rPr>
          <w:rFonts w:ascii="Times New Roman" w:hAnsi="Times New Roman" w:eastAsia="黑体"/>
          <w:sz w:val="32"/>
          <w:szCs w:val="32"/>
        </w:rPr>
        <w:t>、基金</w:t>
      </w:r>
      <w:r>
        <w:rPr>
          <w:rFonts w:hint="eastAsia" w:ascii="Times New Roman" w:hAnsi="Times New Roman" w:eastAsia="黑体"/>
          <w:sz w:val="32"/>
          <w:szCs w:val="32"/>
        </w:rPr>
        <w:t>设立后管理</w:t>
      </w:r>
    </w:p>
    <w:p w14:paraId="112A3DF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（一）选派观察员</w:t>
      </w:r>
    </w:p>
    <w:p w14:paraId="6B21362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楷体_GB2312" w:cs="Times New Roman"/>
          <w:b/>
          <w:bCs/>
          <w:sz w:val="32"/>
          <w:szCs w:val="32"/>
        </w:rPr>
      </w:pPr>
      <w:r>
        <w:rPr>
          <w:rFonts w:hint="default" w:ascii="Times New Roman" w:hAnsi="Times New Roman" w:eastAsia="仿宋_GB2312" w:cs="Times New Roman"/>
          <w:b/>
          <w:bCs/>
          <w:sz w:val="32"/>
          <w:szCs w:val="32"/>
        </w:rPr>
        <w:t>1.</w:t>
      </w:r>
      <w:r>
        <w:rPr>
          <w:rFonts w:hint="eastAsia" w:ascii="Times New Roman" w:hAnsi="Times New Roman" w:eastAsia="仿宋_GB2312" w:cs="Times New Roman"/>
          <w:b/>
          <w:bCs/>
          <w:sz w:val="32"/>
          <w:szCs w:val="32"/>
          <w:lang w:val="en-US" w:eastAsia="zh-CN"/>
        </w:rPr>
        <w:t xml:space="preserve"> </w:t>
      </w:r>
      <w:r>
        <w:rPr>
          <w:rFonts w:hint="default" w:ascii="Times New Roman" w:hAnsi="Times New Roman" w:eastAsia="仿宋_GB2312" w:cs="Times New Roman"/>
          <w:b/>
          <w:bCs/>
          <w:sz w:val="32"/>
          <w:szCs w:val="32"/>
        </w:rPr>
        <w:t>遴选观察员</w:t>
      </w:r>
    </w:p>
    <w:p w14:paraId="16F9A3A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sz w:val="32"/>
          <w:szCs w:val="32"/>
        </w:rPr>
      </w:pPr>
      <w:r>
        <w:rPr>
          <w:rFonts w:ascii="Times New Roman" w:hAnsi="Times New Roman" w:eastAsia="仿宋_GB2312"/>
          <w:sz w:val="32"/>
          <w:szCs w:val="32"/>
        </w:rPr>
        <w:t>自治区科技厅负责观察员的遴选工作</w:t>
      </w:r>
      <w:r>
        <w:rPr>
          <w:rFonts w:hint="eastAsia" w:ascii="Times New Roman" w:hAnsi="Times New Roman" w:eastAsia="仿宋_GB2312"/>
          <w:sz w:val="32"/>
          <w:szCs w:val="32"/>
        </w:rPr>
        <w:t>。</w:t>
      </w:r>
      <w:r>
        <w:rPr>
          <w:rFonts w:ascii="Times New Roman" w:hAnsi="Times New Roman" w:eastAsia="仿宋_GB2312"/>
          <w:sz w:val="32"/>
          <w:szCs w:val="32"/>
        </w:rPr>
        <w:t>原则上，观察员由自治区科技厅及直属单位在职在编人员担任，具备下列条件之一者优先</w:t>
      </w:r>
      <w:r>
        <w:rPr>
          <w:rFonts w:hint="eastAsia" w:ascii="Times New Roman" w:hAnsi="Times New Roman" w:eastAsia="仿宋_GB2312"/>
          <w:sz w:val="32"/>
          <w:szCs w:val="32"/>
        </w:rPr>
        <w:t>：</w:t>
      </w:r>
    </w:p>
    <w:p w14:paraId="308D7ECB">
      <w:pPr>
        <w:pStyle w:val="15"/>
        <w:keepNext w:val="0"/>
        <w:keepLines w:val="0"/>
        <w:pageBreakBefore w:val="0"/>
        <w:widowControl w:val="0"/>
        <w:kinsoku/>
        <w:wordWrap/>
        <w:overflowPunct/>
        <w:topLinePunct w:val="0"/>
        <w:autoSpaceDE/>
        <w:autoSpaceDN/>
        <w:bidi w:val="0"/>
        <w:adjustRightInd/>
        <w:snapToGrid/>
        <w:spacing w:after="0" w:line="560" w:lineRule="exact"/>
        <w:ind w:left="0" w:leftChars="0" w:firstLine="640"/>
        <w:textAlignment w:val="auto"/>
        <w:rPr>
          <w:rFonts w:eastAsia="仿宋_GB2312"/>
          <w:sz w:val="32"/>
          <w:szCs w:val="32"/>
        </w:rPr>
      </w:pPr>
      <w:r>
        <w:rPr>
          <w:rFonts w:eastAsia="仿宋_GB2312"/>
          <w:sz w:val="32"/>
          <w:szCs w:val="32"/>
        </w:rPr>
        <w:t>（1）具有金融经济类、管理类、理工科等相关专业背景，且</w:t>
      </w:r>
      <w:r>
        <w:rPr>
          <w:rFonts w:hint="eastAsia" w:eastAsia="仿宋_GB2312"/>
          <w:sz w:val="32"/>
          <w:szCs w:val="32"/>
        </w:rPr>
        <w:t>具备</w:t>
      </w:r>
      <w:r>
        <w:rPr>
          <w:rFonts w:eastAsia="仿宋_GB2312"/>
          <w:sz w:val="32"/>
          <w:szCs w:val="32"/>
        </w:rPr>
        <w:t>科技金融、基金运作等基础理论知识与前沿视野。</w:t>
      </w:r>
    </w:p>
    <w:p w14:paraId="74737FF6">
      <w:pPr>
        <w:pStyle w:val="15"/>
        <w:keepNext w:val="0"/>
        <w:keepLines w:val="0"/>
        <w:pageBreakBefore w:val="0"/>
        <w:widowControl w:val="0"/>
        <w:kinsoku/>
        <w:wordWrap/>
        <w:overflowPunct/>
        <w:topLinePunct w:val="0"/>
        <w:autoSpaceDE/>
        <w:autoSpaceDN/>
        <w:bidi w:val="0"/>
        <w:adjustRightInd/>
        <w:snapToGrid/>
        <w:spacing w:after="0" w:line="560" w:lineRule="exact"/>
        <w:ind w:left="0" w:leftChars="0" w:firstLine="640"/>
        <w:textAlignment w:val="auto"/>
        <w:rPr>
          <w:rFonts w:eastAsia="仿宋_GB2312"/>
          <w:sz w:val="32"/>
          <w:szCs w:val="32"/>
        </w:rPr>
      </w:pPr>
      <w:r>
        <w:rPr>
          <w:rFonts w:eastAsia="仿宋_GB2312"/>
          <w:sz w:val="32"/>
          <w:szCs w:val="32"/>
        </w:rPr>
        <w:t>（2）熟悉自治区产业及科技创新发展规划</w:t>
      </w:r>
      <w:r>
        <w:rPr>
          <w:rFonts w:hint="eastAsia" w:eastAsia="仿宋_GB2312"/>
          <w:sz w:val="32"/>
          <w:szCs w:val="32"/>
        </w:rPr>
        <w:t>，</w:t>
      </w:r>
      <w:r>
        <w:rPr>
          <w:rFonts w:eastAsia="仿宋_GB2312"/>
          <w:sz w:val="32"/>
          <w:szCs w:val="32"/>
        </w:rPr>
        <w:t>或参与</w:t>
      </w:r>
      <w:r>
        <w:rPr>
          <w:rFonts w:hint="eastAsia" w:eastAsia="仿宋_GB2312"/>
          <w:sz w:val="32"/>
          <w:szCs w:val="32"/>
        </w:rPr>
        <w:t>过</w:t>
      </w:r>
      <w:r>
        <w:rPr>
          <w:rFonts w:eastAsia="仿宋_GB2312"/>
          <w:sz w:val="32"/>
          <w:szCs w:val="32"/>
        </w:rPr>
        <w:t>自治区科技项目投资评估、产业基金运作</w:t>
      </w:r>
      <w:r>
        <w:rPr>
          <w:rFonts w:hint="eastAsia" w:eastAsia="仿宋_GB2312"/>
          <w:sz w:val="32"/>
          <w:szCs w:val="32"/>
        </w:rPr>
        <w:t>，</w:t>
      </w:r>
      <w:r>
        <w:rPr>
          <w:rFonts w:eastAsia="仿宋_GB2312"/>
          <w:sz w:val="32"/>
          <w:szCs w:val="32"/>
        </w:rPr>
        <w:t>或对自治区重点产业发展有实际研究及工作成果。</w:t>
      </w:r>
    </w:p>
    <w:p w14:paraId="4B630F5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楷体_GB2312"/>
          <w:b/>
          <w:bCs/>
          <w:sz w:val="32"/>
          <w:szCs w:val="32"/>
        </w:rPr>
      </w:pPr>
      <w:r>
        <w:rPr>
          <w:rFonts w:ascii="Times New Roman" w:hAnsi="Times New Roman" w:eastAsia="仿宋_GB2312"/>
          <w:kern w:val="0"/>
          <w:sz w:val="32"/>
          <w:szCs w:val="32"/>
        </w:rPr>
        <w:t>（3）</w:t>
      </w:r>
      <w:r>
        <w:rPr>
          <w:rFonts w:eastAsia="仿宋_GB2312"/>
          <w:sz w:val="32"/>
          <w:szCs w:val="32"/>
        </w:rPr>
        <w:t>熟悉《广西政府投资引导基金管理办法》《</w:t>
      </w:r>
      <w:r>
        <w:rPr>
          <w:rFonts w:ascii="Times New Roman" w:hAnsi="Times New Roman" w:eastAsia="仿宋_GB2312"/>
          <w:sz w:val="32"/>
          <w:szCs w:val="32"/>
        </w:rPr>
        <w:t>广西政府投资引导基金管理实施细则</w:t>
      </w:r>
      <w:r>
        <w:rPr>
          <w:rFonts w:eastAsia="仿宋_GB2312"/>
          <w:sz w:val="32"/>
          <w:szCs w:val="32"/>
        </w:rPr>
        <w:t>》</w:t>
      </w:r>
      <w:r>
        <w:rPr>
          <w:rFonts w:hint="eastAsia" w:eastAsia="仿宋_GB2312"/>
          <w:sz w:val="32"/>
          <w:szCs w:val="32"/>
        </w:rPr>
        <w:t>《</w:t>
      </w:r>
      <w:r>
        <w:rPr>
          <w:rFonts w:ascii="Times New Roman" w:hAnsi="Times New Roman" w:eastAsia="仿宋_GB2312"/>
          <w:sz w:val="32"/>
          <w:szCs w:val="32"/>
        </w:rPr>
        <w:t>广西政府投资引导基金投资管理操作指引</w:t>
      </w:r>
      <w:r>
        <w:rPr>
          <w:rFonts w:hint="eastAsia" w:eastAsia="仿宋_GB2312"/>
          <w:sz w:val="32"/>
          <w:szCs w:val="32"/>
        </w:rPr>
        <w:t>》</w:t>
      </w:r>
      <w:r>
        <w:rPr>
          <w:rFonts w:eastAsia="仿宋_GB2312"/>
          <w:sz w:val="32"/>
          <w:szCs w:val="32"/>
        </w:rPr>
        <w:t>等相关文件。</w:t>
      </w:r>
    </w:p>
    <w:p w14:paraId="7928DA7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楷体_GB2312" w:cs="Times New Roman"/>
          <w:b/>
          <w:bCs/>
          <w:sz w:val="32"/>
          <w:szCs w:val="32"/>
        </w:rPr>
      </w:pPr>
      <w:r>
        <w:rPr>
          <w:rFonts w:hint="default"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lang w:val="en-US" w:eastAsia="zh-CN"/>
        </w:rPr>
        <w:t xml:space="preserve"> </w:t>
      </w:r>
      <w:r>
        <w:rPr>
          <w:rFonts w:hint="default" w:ascii="Times New Roman" w:hAnsi="Times New Roman" w:eastAsia="仿宋_GB2312" w:cs="Times New Roman"/>
          <w:b/>
          <w:bCs/>
          <w:sz w:val="32"/>
          <w:szCs w:val="32"/>
        </w:rPr>
        <w:t>委派观察员</w:t>
      </w:r>
    </w:p>
    <w:p w14:paraId="2FF98C8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仿宋_GB2312"/>
          <w:b/>
          <w:bCs/>
          <w:sz w:val="32"/>
          <w:szCs w:val="32"/>
        </w:rPr>
      </w:pPr>
      <w:r>
        <w:rPr>
          <w:rFonts w:ascii="Times New Roman" w:hAnsi="Times New Roman" w:eastAsia="仿宋_GB2312"/>
          <w:sz w:val="32"/>
          <w:szCs w:val="32"/>
        </w:rPr>
        <w:t>自治区科技厅可根据</w:t>
      </w:r>
      <w:r>
        <w:rPr>
          <w:rFonts w:hint="eastAsia" w:ascii="Times New Roman" w:hAnsi="Times New Roman" w:eastAsia="仿宋_GB2312"/>
          <w:sz w:val="32"/>
          <w:szCs w:val="32"/>
        </w:rPr>
        <w:t>转化基金规模、投资领域等</w:t>
      </w:r>
      <w:r>
        <w:rPr>
          <w:rFonts w:ascii="Times New Roman" w:hAnsi="Times New Roman" w:eastAsia="仿宋_GB2312"/>
          <w:sz w:val="32"/>
          <w:szCs w:val="32"/>
        </w:rPr>
        <w:t>实际情况，向转化基金委派观察员</w:t>
      </w:r>
      <w:r>
        <w:rPr>
          <w:rFonts w:hint="eastAsia" w:ascii="Times New Roman" w:hAnsi="Times New Roman" w:eastAsia="仿宋_GB2312"/>
          <w:sz w:val="32"/>
          <w:szCs w:val="32"/>
        </w:rPr>
        <w:t>。</w:t>
      </w:r>
      <w:r>
        <w:rPr>
          <w:rFonts w:ascii="Times New Roman" w:hAnsi="Times New Roman" w:eastAsia="仿宋_GB2312"/>
          <w:sz w:val="32"/>
          <w:szCs w:val="32"/>
        </w:rPr>
        <w:t>观察员对基金运营享有知情权与监督权</w:t>
      </w:r>
      <w:r>
        <w:rPr>
          <w:rFonts w:hint="eastAsia" w:ascii="Times New Roman" w:hAnsi="Times New Roman" w:eastAsia="仿宋_GB2312"/>
          <w:sz w:val="32"/>
          <w:szCs w:val="32"/>
        </w:rPr>
        <w:t>，</w:t>
      </w:r>
      <w:r>
        <w:rPr>
          <w:rFonts w:ascii="Times New Roman" w:hAnsi="Times New Roman" w:eastAsia="仿宋_GB2312"/>
          <w:sz w:val="32"/>
          <w:szCs w:val="32"/>
        </w:rPr>
        <w:t>由其行使合伙协议或公司章程中约定的权利。</w:t>
      </w:r>
    </w:p>
    <w:p w14:paraId="4F5B35DD">
      <w:pPr>
        <w:keepNext w:val="0"/>
        <w:keepLines w:val="0"/>
        <w:pageBreakBefore w:val="0"/>
        <w:widowControl w:val="0"/>
        <w:kinsoku/>
        <w:wordWrap/>
        <w:overflowPunct/>
        <w:topLinePunct w:val="0"/>
        <w:autoSpaceDE/>
        <w:autoSpaceDN/>
        <w:bidi w:val="0"/>
        <w:adjustRightInd/>
        <w:spacing w:line="560" w:lineRule="exact"/>
        <w:ind w:firstLine="643" w:firstLineChars="200"/>
        <w:rPr>
          <w:rFonts w:ascii="Times New Roman" w:hAnsi="Times New Roman" w:eastAsia="楷体_GB2312"/>
          <w:b/>
          <w:bCs/>
          <w:sz w:val="32"/>
          <w:szCs w:val="32"/>
        </w:rPr>
      </w:pPr>
      <w:r>
        <w:rPr>
          <w:rFonts w:ascii="Times New Roman" w:hAnsi="Times New Roman" w:eastAsia="楷体_GB2312"/>
          <w:b/>
          <w:bCs/>
          <w:sz w:val="32"/>
          <w:szCs w:val="32"/>
        </w:rPr>
        <w:t>（二）定期报告</w:t>
      </w:r>
    </w:p>
    <w:p w14:paraId="7FFE5D0F">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基金管理机构</w:t>
      </w:r>
      <w:r>
        <w:rPr>
          <w:rFonts w:ascii="Times New Roman" w:hAnsi="Times New Roman" w:eastAsia="仿宋_GB2312"/>
          <w:sz w:val="32"/>
          <w:szCs w:val="32"/>
        </w:rPr>
        <w:t>需</w:t>
      </w:r>
      <w:r>
        <w:rPr>
          <w:rFonts w:hint="eastAsia" w:ascii="Times New Roman" w:hAnsi="Times New Roman" w:eastAsia="仿宋_GB2312"/>
          <w:sz w:val="32"/>
          <w:szCs w:val="32"/>
        </w:rPr>
        <w:t>按季度</w:t>
      </w:r>
      <w:r>
        <w:rPr>
          <w:rFonts w:ascii="Times New Roman" w:hAnsi="Times New Roman" w:eastAsia="仿宋_GB2312"/>
          <w:sz w:val="32"/>
          <w:szCs w:val="32"/>
        </w:rPr>
        <w:t>向自治区科技厅汇报转化基金的运营情况</w:t>
      </w:r>
      <w:r>
        <w:rPr>
          <w:rFonts w:hint="eastAsia" w:ascii="Times New Roman" w:hAnsi="Times New Roman" w:eastAsia="仿宋_GB2312"/>
          <w:sz w:val="32"/>
          <w:szCs w:val="32"/>
        </w:rPr>
        <w:t>（包括投资进度、项目进展、风险状况等）</w:t>
      </w:r>
      <w:r>
        <w:rPr>
          <w:rFonts w:ascii="Times New Roman" w:hAnsi="Times New Roman" w:eastAsia="仿宋_GB2312"/>
          <w:sz w:val="32"/>
          <w:szCs w:val="32"/>
        </w:rPr>
        <w:t>。</w:t>
      </w:r>
    </w:p>
    <w:p w14:paraId="6EF3D804">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观察员依据基金投资运营报告及走访情况，定期</w:t>
      </w:r>
      <w:r>
        <w:rPr>
          <w:rFonts w:ascii="Times New Roman" w:hAnsi="Times New Roman" w:eastAsia="仿宋_GB2312"/>
          <w:sz w:val="32"/>
          <w:szCs w:val="32"/>
        </w:rPr>
        <w:t>向自治区科技厅分管领导汇报</w:t>
      </w:r>
      <w:r>
        <w:rPr>
          <w:rFonts w:hint="eastAsia" w:ascii="Times New Roman" w:hAnsi="Times New Roman" w:eastAsia="仿宋_GB2312"/>
          <w:sz w:val="32"/>
          <w:szCs w:val="32"/>
        </w:rPr>
        <w:t>基金投资运营情况，包括但不限于投资标的、金额、预期收益等</w:t>
      </w:r>
      <w:r>
        <w:rPr>
          <w:rFonts w:ascii="Times New Roman" w:hAnsi="Times New Roman" w:eastAsia="仿宋_GB2312"/>
          <w:sz w:val="32"/>
          <w:szCs w:val="32"/>
        </w:rPr>
        <w:t>相关情况。</w:t>
      </w:r>
    </w:p>
    <w:p w14:paraId="3304204A">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w:t>
      </w:r>
      <w:r>
        <w:rPr>
          <w:rFonts w:hint="eastAsia" w:ascii="Times New Roman" w:hAnsi="Times New Roman" w:eastAsia="仿宋_GB2312"/>
          <w:sz w:val="32"/>
          <w:szCs w:val="32"/>
          <w:lang w:val="en-US" w:eastAsia="zh-CN"/>
        </w:rPr>
        <w:t xml:space="preserve"> </w:t>
      </w:r>
      <w:r>
        <w:rPr>
          <w:rFonts w:ascii="Times New Roman" w:hAnsi="Times New Roman" w:eastAsia="仿宋_GB2312"/>
          <w:sz w:val="32"/>
          <w:szCs w:val="32"/>
        </w:rPr>
        <w:t>发生重大事项</w:t>
      </w:r>
      <w:r>
        <w:rPr>
          <w:rFonts w:hint="eastAsia" w:ascii="Times New Roman" w:hAnsi="Times New Roman" w:eastAsia="仿宋_GB2312"/>
          <w:sz w:val="32"/>
          <w:szCs w:val="32"/>
        </w:rPr>
        <w:t>（如投资标的违约、重大亏损、管理机构变动等），基金管理机构在重大事项发生</w:t>
      </w:r>
      <w:r>
        <w:rPr>
          <w:rFonts w:ascii="Times New Roman" w:hAnsi="Times New Roman" w:eastAsia="仿宋_GB2312"/>
          <w:sz w:val="32"/>
          <w:szCs w:val="32"/>
        </w:rPr>
        <w:t>后</w:t>
      </w:r>
      <w:r>
        <w:rPr>
          <w:rFonts w:hint="eastAsia" w:ascii="Times New Roman" w:hAnsi="Times New Roman" w:eastAsia="仿宋_GB2312"/>
          <w:sz w:val="32"/>
          <w:szCs w:val="32"/>
        </w:rPr>
        <w:t>5个工作日</w:t>
      </w:r>
      <w:r>
        <w:rPr>
          <w:rFonts w:ascii="Times New Roman" w:hAnsi="Times New Roman" w:eastAsia="仿宋_GB2312"/>
          <w:sz w:val="32"/>
          <w:szCs w:val="32"/>
        </w:rPr>
        <w:t>内</w:t>
      </w:r>
      <w:r>
        <w:rPr>
          <w:rFonts w:hint="eastAsia" w:ascii="Times New Roman" w:hAnsi="Times New Roman" w:eastAsia="仿宋_GB2312"/>
          <w:sz w:val="32"/>
          <w:szCs w:val="32"/>
        </w:rPr>
        <w:t>报告自治区科技厅，</w:t>
      </w:r>
      <w:r>
        <w:rPr>
          <w:rFonts w:ascii="Times New Roman" w:hAnsi="Times New Roman" w:eastAsia="仿宋_GB2312"/>
          <w:sz w:val="32"/>
          <w:szCs w:val="32"/>
        </w:rPr>
        <w:t>观察员</w:t>
      </w:r>
      <w:r>
        <w:rPr>
          <w:rFonts w:hint="eastAsia" w:ascii="Times New Roman" w:hAnsi="Times New Roman" w:eastAsia="仿宋_GB2312"/>
          <w:sz w:val="32"/>
          <w:szCs w:val="32"/>
        </w:rPr>
        <w:t>及时</w:t>
      </w:r>
      <w:r>
        <w:rPr>
          <w:rFonts w:ascii="Times New Roman" w:hAnsi="Times New Roman" w:eastAsia="仿宋_GB2312"/>
          <w:sz w:val="32"/>
          <w:szCs w:val="32"/>
        </w:rPr>
        <w:t>向自治区科技厅分管厅领导汇报相关情况。</w:t>
      </w:r>
    </w:p>
    <w:p w14:paraId="2D9B9C02">
      <w:pPr>
        <w:keepNext w:val="0"/>
        <w:keepLines w:val="0"/>
        <w:pageBreakBefore w:val="0"/>
        <w:widowControl w:val="0"/>
        <w:kinsoku/>
        <w:wordWrap/>
        <w:overflowPunct/>
        <w:topLinePunct w:val="0"/>
        <w:autoSpaceDE/>
        <w:autoSpaceDN/>
        <w:bidi w:val="0"/>
        <w:adjustRightInd/>
        <w:spacing w:line="560" w:lineRule="exact"/>
        <w:ind w:firstLine="643" w:firstLineChars="200"/>
        <w:jc w:val="left"/>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（三）建设成果转化项目库</w:t>
      </w:r>
    </w:p>
    <w:p w14:paraId="11641A43">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ascii="Times New Roman" w:hAnsi="Times New Roman" w:eastAsia="仿宋_GB2312"/>
          <w:b/>
          <w:bCs/>
          <w:sz w:val="32"/>
          <w:szCs w:val="32"/>
        </w:rPr>
      </w:pPr>
      <w:r>
        <w:rPr>
          <w:rFonts w:hint="eastAsia" w:ascii="Times New Roman" w:hAnsi="Times New Roman" w:eastAsia="仿宋_GB2312"/>
          <w:sz w:val="32"/>
          <w:szCs w:val="32"/>
        </w:rPr>
        <w:t>自治区科技厅负责建设自治区科技成果转化项目库，并定期向转化基金推送入库企业及项目信息（包括技术领域、转化阶段、融资需求等），鼓励转化基金及其子基金投资入库项目。</w:t>
      </w:r>
    </w:p>
    <w:p w14:paraId="5C8C1847">
      <w:pPr>
        <w:keepNext w:val="0"/>
        <w:keepLines w:val="0"/>
        <w:pageBreakBefore w:val="0"/>
        <w:widowControl w:val="0"/>
        <w:kinsoku/>
        <w:wordWrap/>
        <w:overflowPunct/>
        <w:topLinePunct w:val="0"/>
        <w:autoSpaceDE/>
        <w:autoSpaceDN/>
        <w:bidi w:val="0"/>
        <w:adjustRightInd/>
        <w:spacing w:line="560" w:lineRule="exact"/>
        <w:ind w:firstLine="643" w:firstLineChars="200"/>
        <w:jc w:val="left"/>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四</w:t>
      </w: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开展科技金融对接活动</w:t>
      </w:r>
    </w:p>
    <w:p w14:paraId="078C8C54">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ascii="Times New Roman" w:hAnsi="Times New Roman" w:eastAsia="仿宋_GB2312" w:cs="Times New Roman"/>
          <w:b w:val="0"/>
          <w:bCs w:val="0"/>
          <w:sz w:val="32"/>
          <w:szCs w:val="32"/>
        </w:rPr>
      </w:pPr>
      <w:r>
        <w:rPr>
          <w:rFonts w:hint="eastAsia" w:ascii="Times New Roman" w:hAnsi="Times New Roman" w:eastAsia="仿宋_GB2312" w:cs="Times New Roman"/>
          <w:b w:val="0"/>
          <w:bCs w:val="0"/>
          <w:sz w:val="32"/>
          <w:szCs w:val="32"/>
        </w:rPr>
        <w:t>开展创新创业大赛、路演等活动，为转化基金管理</w:t>
      </w:r>
      <w:r>
        <w:rPr>
          <w:rFonts w:hint="eastAsia" w:ascii="Times New Roman" w:hAnsi="Times New Roman" w:eastAsia="仿宋_GB2312" w:cs="Times New Roman"/>
          <w:b w:val="0"/>
          <w:bCs w:val="0"/>
          <w:sz w:val="32"/>
          <w:szCs w:val="32"/>
          <w:lang w:eastAsia="zh-CN"/>
        </w:rPr>
        <w:t>机构</w:t>
      </w:r>
      <w:r>
        <w:rPr>
          <w:rFonts w:hint="eastAsia" w:ascii="Times New Roman" w:hAnsi="Times New Roman" w:eastAsia="仿宋_GB2312" w:cs="Times New Roman"/>
          <w:b w:val="0"/>
          <w:bCs w:val="0"/>
          <w:sz w:val="32"/>
          <w:szCs w:val="32"/>
        </w:rPr>
        <w:t>、企业对接投融资需求。</w:t>
      </w:r>
    </w:p>
    <w:p w14:paraId="6DB41A0F">
      <w:pPr>
        <w:keepNext w:val="0"/>
        <w:keepLines w:val="0"/>
        <w:pageBreakBefore w:val="0"/>
        <w:widowControl w:val="0"/>
        <w:kinsoku/>
        <w:wordWrap/>
        <w:overflowPunct/>
        <w:topLinePunct w:val="0"/>
        <w:autoSpaceDE/>
        <w:autoSpaceDN/>
        <w:bidi w:val="0"/>
        <w:adjustRightInd/>
        <w:spacing w:line="560" w:lineRule="exact"/>
        <w:ind w:firstLine="643" w:firstLineChars="200"/>
        <w:jc w:val="left"/>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五</w:t>
      </w:r>
      <w:r>
        <w:rPr>
          <w:rFonts w:hint="eastAsia" w:ascii="楷体_GB2312" w:hAnsi="楷体_GB2312" w:eastAsia="楷体_GB2312" w:cs="楷体_GB2312"/>
          <w:b/>
          <w:bCs/>
          <w:sz w:val="32"/>
          <w:szCs w:val="32"/>
        </w:rPr>
        <w:t>）绩效评价</w:t>
      </w:r>
    </w:p>
    <w:p w14:paraId="1168EBF6">
      <w:pPr>
        <w:keepNext w:val="0"/>
        <w:keepLines w:val="0"/>
        <w:pageBreakBefore w:val="0"/>
        <w:widowControl w:val="0"/>
        <w:kinsoku/>
        <w:wordWrap/>
        <w:overflowPunct/>
        <w:topLinePunct w:val="0"/>
        <w:autoSpaceDE/>
        <w:autoSpaceDN/>
        <w:bidi w:val="0"/>
        <w:adjustRightInd/>
        <w:snapToGrid w:val="0"/>
        <w:spacing w:line="560" w:lineRule="exact"/>
        <w:ind w:firstLine="640" w:firstLineChars="200"/>
        <w:textAlignment w:val="baseline"/>
        <w:outlineLvl w:val="1"/>
        <w:rPr>
          <w:rFonts w:hint="eastAsia" w:eastAsia="仿宋_GB2312"/>
          <w:lang w:eastAsia="zh-CN"/>
        </w:rPr>
      </w:pPr>
      <w:r>
        <w:rPr>
          <w:rFonts w:hint="eastAsia" w:ascii="Times New Roman" w:hAnsi="Times New Roman" w:eastAsia="仿宋_GB2312" w:cs="Times New Roman"/>
          <w:color w:val="auto"/>
          <w:kern w:val="2"/>
          <w:sz w:val="32"/>
          <w:szCs w:val="32"/>
        </w:rPr>
        <w:t>自治区科技厅负责制定转化基金绩效评价指标体系和实施细则。引导基金制定转化基金绩效评价管理办法，结合各类转化基金实际情况开展差异化绩效评价强化绩效评价结果应用。绩效评价对象为转化基金及管理人</w:t>
      </w:r>
      <w:r>
        <w:rPr>
          <w:rFonts w:hint="eastAsia" w:ascii="Times New Roman" w:hAnsi="Times New Roman" w:eastAsia="仿宋_GB2312" w:cs="Times New Roman"/>
          <w:color w:val="auto"/>
          <w:kern w:val="2"/>
          <w:sz w:val="32"/>
          <w:szCs w:val="32"/>
          <w:lang w:eastAsia="zh-CN"/>
        </w:rPr>
        <w:t>。</w:t>
      </w:r>
    </w:p>
    <w:p w14:paraId="4E04B1E6">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hint="eastAsia" w:ascii="Times New Roman" w:hAnsi="Times New Roman" w:eastAsia="黑体"/>
          <w:sz w:val="32"/>
          <w:szCs w:val="32"/>
          <w:lang w:eastAsia="zh-CN"/>
        </w:rPr>
      </w:pPr>
      <w:r>
        <w:rPr>
          <w:rFonts w:hint="eastAsia" w:ascii="Times New Roman" w:hAnsi="Times New Roman" w:eastAsia="黑体"/>
          <w:sz w:val="32"/>
          <w:szCs w:val="32"/>
        </w:rPr>
        <w:t>三、</w:t>
      </w:r>
      <w:r>
        <w:rPr>
          <w:rFonts w:hint="eastAsia" w:ascii="Times New Roman" w:hAnsi="Times New Roman" w:eastAsia="黑体"/>
          <w:sz w:val="32"/>
          <w:szCs w:val="32"/>
          <w:lang w:eastAsia="zh-CN"/>
        </w:rPr>
        <w:t>监督管理工作程序</w:t>
      </w:r>
    </w:p>
    <w:p w14:paraId="7183CD9E">
      <w:pPr>
        <w:keepNext w:val="0"/>
        <w:keepLines w:val="0"/>
        <w:pageBreakBefore w:val="0"/>
        <w:widowControl w:val="0"/>
        <w:kinsoku/>
        <w:wordWrap/>
        <w:overflowPunct/>
        <w:topLinePunct w:val="0"/>
        <w:autoSpaceDE/>
        <w:autoSpaceDN/>
        <w:bidi w:val="0"/>
        <w:adjustRightInd/>
        <w:spacing w:line="560" w:lineRule="exact"/>
        <w:ind w:firstLine="640" w:firstLineChars="200"/>
        <w:jc w:val="left"/>
        <w:rPr>
          <w:rFonts w:hint="eastAsia" w:ascii="Times New Roman" w:hAnsi="Times New Roman" w:eastAsia="仿宋_GB2312" w:cs="Times New Roman"/>
          <w:sz w:val="32"/>
          <w:szCs w:val="32"/>
        </w:rPr>
      </w:pPr>
      <w:r>
        <w:rPr>
          <w:rFonts w:hint="eastAsia" w:ascii="Times New Roman" w:hAnsi="Times New Roman" w:eastAsia="仿宋_GB2312"/>
          <w:sz w:val="32"/>
          <w:szCs w:val="32"/>
        </w:rPr>
        <w:t>成果转化基金的</w:t>
      </w:r>
      <w:r>
        <w:rPr>
          <w:rFonts w:hint="eastAsia" w:ascii="Times New Roman" w:hAnsi="Times New Roman" w:eastAsia="仿宋_GB2312"/>
          <w:sz w:val="32"/>
          <w:szCs w:val="32"/>
          <w:lang w:eastAsia="zh-CN"/>
        </w:rPr>
        <w:t>监督管理</w:t>
      </w:r>
      <w:r>
        <w:rPr>
          <w:rFonts w:hint="eastAsia" w:ascii="Times New Roman" w:hAnsi="Times New Roman" w:eastAsia="仿宋_GB2312"/>
          <w:sz w:val="32"/>
          <w:szCs w:val="32"/>
        </w:rPr>
        <w:t>适用于在</w:t>
      </w:r>
      <w:r>
        <w:rPr>
          <w:rFonts w:hint="eastAsia" w:ascii="Times New Roman" w:hAnsi="Times New Roman" w:eastAsia="仿宋_GB2312"/>
          <w:sz w:val="32"/>
          <w:szCs w:val="32"/>
          <w:lang w:eastAsia="zh-CN"/>
        </w:rPr>
        <w:t>成果转化</w:t>
      </w:r>
      <w:r>
        <w:rPr>
          <w:rFonts w:hint="eastAsia" w:ascii="Times New Roman" w:hAnsi="Times New Roman" w:eastAsia="仿宋_GB2312"/>
          <w:sz w:val="32"/>
          <w:szCs w:val="32"/>
        </w:rPr>
        <w:t>基金“募、投、管、退”各环节上负责决策或执行的部门（单位）及工作人员的责任认定、追究及处理，包括有关部门、国有企业等参与</w:t>
      </w:r>
      <w:r>
        <w:rPr>
          <w:rFonts w:hint="eastAsia" w:ascii="Times New Roman" w:hAnsi="Times New Roman" w:eastAsia="仿宋_GB2312"/>
          <w:sz w:val="32"/>
          <w:szCs w:val="32"/>
          <w:lang w:eastAsia="zh-CN"/>
        </w:rPr>
        <w:t>成</w:t>
      </w:r>
      <w:r>
        <w:rPr>
          <w:rFonts w:hint="eastAsia" w:ascii="Times New Roman" w:hAnsi="Times New Roman" w:eastAsia="仿宋_GB2312" w:cs="Times New Roman"/>
          <w:sz w:val="32"/>
          <w:szCs w:val="32"/>
          <w:lang w:eastAsia="zh-CN"/>
        </w:rPr>
        <w:t>果转化</w:t>
      </w:r>
      <w:r>
        <w:rPr>
          <w:rFonts w:hint="eastAsia" w:ascii="Times New Roman" w:hAnsi="Times New Roman" w:eastAsia="仿宋_GB2312" w:cs="Times New Roman"/>
          <w:sz w:val="32"/>
          <w:szCs w:val="32"/>
        </w:rPr>
        <w:t>基金运作管理的人员（以下统称决策和执行人员）。</w:t>
      </w:r>
    </w:p>
    <w:p w14:paraId="5617BF09">
      <w:pPr>
        <w:keepNext w:val="0"/>
        <w:keepLines w:val="0"/>
        <w:pageBreakBefore w:val="0"/>
        <w:widowControl w:val="0"/>
        <w:numPr>
          <w:ilvl w:val="0"/>
          <w:numId w:val="0"/>
        </w:numPr>
        <w:kinsoku/>
        <w:wordWrap/>
        <w:overflowPunct/>
        <w:topLinePunct w:val="0"/>
        <w:autoSpaceDE/>
        <w:autoSpaceDN/>
        <w:bidi w:val="0"/>
        <w:adjustRightInd/>
        <w:spacing w:line="560" w:lineRule="exact"/>
        <w:ind w:firstLine="643" w:firstLineChars="200"/>
        <w:jc w:val="left"/>
        <w:rPr>
          <w:rFonts w:hint="eastAsia" w:ascii="楷体" w:hAnsi="楷体" w:eastAsia="仿宋_GB2312" w:cs="楷体"/>
          <w:b/>
          <w:bCs/>
          <w:kern w:val="2"/>
          <w:sz w:val="32"/>
          <w:szCs w:val="32"/>
          <w:lang w:val="en-US" w:eastAsia="zh-CN" w:bidi="ar-SA"/>
        </w:rPr>
      </w:pPr>
      <w:r>
        <w:rPr>
          <w:rFonts w:hint="eastAsia" w:ascii="楷体_GB2312" w:hAnsi="楷体_GB2312" w:eastAsia="楷体_GB2312" w:cs="楷体_GB2312"/>
          <w:b/>
          <w:bCs/>
          <w:kern w:val="2"/>
          <w:sz w:val="32"/>
          <w:szCs w:val="32"/>
          <w:lang w:val="en-US" w:eastAsia="zh-CN" w:bidi="ar-SA"/>
        </w:rPr>
        <w:t>（一）</w:t>
      </w:r>
      <w:r>
        <w:rPr>
          <w:rFonts w:hint="eastAsia" w:ascii="楷体_GB2312" w:hAnsi="楷体_GB2312" w:eastAsia="楷体_GB2312" w:cs="楷体_GB2312"/>
          <w:b/>
          <w:bCs/>
          <w:sz w:val="32"/>
          <w:szCs w:val="32"/>
        </w:rPr>
        <w:t>发</w:t>
      </w:r>
      <w:r>
        <w:rPr>
          <w:rFonts w:hint="eastAsia" w:ascii="楷体_GB2312" w:hAnsi="楷体_GB2312" w:eastAsia="楷体_GB2312" w:cs="楷体_GB2312"/>
          <w:b/>
          <w:bCs/>
          <w:sz w:val="32"/>
          <w:szCs w:val="32"/>
          <w:lang w:eastAsia="zh-CN"/>
        </w:rPr>
        <w:t>现问题</w:t>
      </w:r>
      <w:r>
        <w:rPr>
          <w:rFonts w:hint="eastAsia" w:ascii="楷体_GB2312" w:hAnsi="楷体_GB2312" w:eastAsia="楷体_GB2312" w:cs="楷体_GB2312"/>
          <w:b/>
          <w:bCs/>
          <w:sz w:val="32"/>
          <w:szCs w:val="32"/>
        </w:rPr>
        <w:t>。</w:t>
      </w:r>
      <w:r>
        <w:rPr>
          <w:rFonts w:hint="eastAsia" w:ascii="Times New Roman" w:hAnsi="Times New Roman" w:eastAsia="仿宋_GB2312" w:cs="Times New Roman"/>
          <w:spacing w:val="0"/>
          <w:kern w:val="2"/>
          <w:sz w:val="32"/>
          <w:szCs w:val="32"/>
          <w:lang w:val="en-US" w:eastAsia="zh-CN" w:bidi="ar-SA"/>
        </w:rPr>
        <w:t>自治区科技厅</w:t>
      </w:r>
      <w:r>
        <w:rPr>
          <w:rFonts w:hint="eastAsia" w:ascii="Times New Roman" w:hAnsi="Times New Roman" w:eastAsia="仿宋_GB2312"/>
          <w:sz w:val="32"/>
          <w:szCs w:val="32"/>
        </w:rPr>
        <w:t>按季度</w:t>
      </w:r>
      <w:r>
        <w:rPr>
          <w:rFonts w:hint="eastAsia" w:ascii="Times New Roman" w:hAnsi="Times New Roman" w:eastAsia="仿宋_GB2312" w:cs="Times New Roman"/>
          <w:spacing w:val="0"/>
          <w:kern w:val="2"/>
          <w:sz w:val="32"/>
          <w:szCs w:val="32"/>
          <w:lang w:val="en-US" w:eastAsia="zh-CN" w:bidi="ar-SA"/>
        </w:rPr>
        <w:t>对</w:t>
      </w:r>
      <w:r>
        <w:rPr>
          <w:rFonts w:hint="default" w:ascii="Times New Roman" w:hAnsi="Times New Roman" w:eastAsia="仿宋_GB2312" w:cs="Times New Roman"/>
          <w:spacing w:val="0"/>
          <w:kern w:val="2"/>
          <w:sz w:val="32"/>
          <w:szCs w:val="32"/>
          <w:lang w:val="en-US" w:eastAsia="en-US" w:bidi="ar-SA"/>
        </w:rPr>
        <w:t>转化基金运营情况</w:t>
      </w:r>
      <w:r>
        <w:rPr>
          <w:rFonts w:hint="eastAsia" w:ascii="Times New Roman" w:hAnsi="Times New Roman" w:eastAsia="仿宋_GB2312" w:cs="Times New Roman"/>
          <w:spacing w:val="0"/>
          <w:kern w:val="2"/>
          <w:sz w:val="32"/>
          <w:szCs w:val="32"/>
          <w:lang w:val="en-US" w:eastAsia="zh-CN" w:bidi="ar-SA"/>
        </w:rPr>
        <w:t>进行监督管理，如发现</w:t>
      </w:r>
      <w:r>
        <w:rPr>
          <w:rFonts w:hint="eastAsia" w:ascii="Times New Roman" w:hAnsi="Times New Roman" w:eastAsia="仿宋_GB2312" w:cs="Times New Roman"/>
          <w:sz w:val="32"/>
          <w:szCs w:val="32"/>
        </w:rPr>
        <w:t>有关决策和执行人员</w:t>
      </w:r>
      <w:r>
        <w:rPr>
          <w:rFonts w:hint="eastAsia" w:ascii="Times New Roman" w:hAnsi="Times New Roman" w:eastAsia="仿宋_GB2312" w:cs="Times New Roman"/>
          <w:spacing w:val="0"/>
          <w:kern w:val="2"/>
          <w:sz w:val="32"/>
          <w:szCs w:val="32"/>
          <w:lang w:val="en-US" w:eastAsia="zh-CN" w:bidi="ar-SA"/>
        </w:rPr>
        <w:t>弄虚作假骗取政府出资或不按规定用途使用、截留、挪用资金等行为，</w:t>
      </w:r>
      <w:r>
        <w:rPr>
          <w:rFonts w:hint="eastAsia" w:ascii="Times New Roman" w:hAnsi="Times New Roman" w:eastAsia="仿宋_GB2312" w:cs="Times New Roman"/>
          <w:sz w:val="32"/>
          <w:szCs w:val="32"/>
          <w:lang w:eastAsia="zh-CN"/>
        </w:rPr>
        <w:t>自治区科技厅将对成果转化</w:t>
      </w:r>
      <w:r>
        <w:rPr>
          <w:rFonts w:hint="eastAsia" w:ascii="Times New Roman" w:hAnsi="Times New Roman" w:eastAsia="仿宋_GB2312" w:cs="Times New Roman"/>
          <w:sz w:val="32"/>
          <w:szCs w:val="32"/>
        </w:rPr>
        <w:t>基金有关决策和执行人员启动追责问责程序</w:t>
      </w:r>
      <w:r>
        <w:rPr>
          <w:rFonts w:hint="eastAsia" w:ascii="Times New Roman" w:hAnsi="Times New Roman" w:eastAsia="仿宋_GB2312" w:cs="Times New Roman"/>
          <w:sz w:val="32"/>
          <w:szCs w:val="32"/>
          <w:lang w:eastAsia="zh-CN"/>
        </w:rPr>
        <w:t>。</w:t>
      </w:r>
    </w:p>
    <w:p w14:paraId="139DE2F2">
      <w:pPr>
        <w:keepNext w:val="0"/>
        <w:keepLines w:val="0"/>
        <w:pageBreakBefore w:val="0"/>
        <w:widowControl w:val="0"/>
        <w:numPr>
          <w:ilvl w:val="0"/>
          <w:numId w:val="0"/>
        </w:numPr>
        <w:kinsoku/>
        <w:wordWrap/>
        <w:overflowPunct/>
        <w:topLinePunct w:val="0"/>
        <w:autoSpaceDE/>
        <w:autoSpaceDN/>
        <w:bidi w:val="0"/>
        <w:adjustRightInd/>
        <w:spacing w:line="560" w:lineRule="exact"/>
        <w:ind w:firstLine="643" w:firstLineChars="200"/>
        <w:jc w:val="left"/>
        <w:rPr>
          <w:rFonts w:hint="eastAsia" w:ascii="Times New Roman" w:hAnsi="Times New Roman" w:eastAsia="仿宋_GB2312" w:cs="Times New Roman"/>
          <w:sz w:val="32"/>
          <w:szCs w:val="32"/>
          <w:lang w:eastAsia="zh-CN"/>
        </w:rPr>
      </w:pPr>
      <w:r>
        <w:rPr>
          <w:rFonts w:hint="eastAsia" w:ascii="楷体_GB2312" w:hAnsi="楷体_GB2312" w:eastAsia="楷体_GB2312" w:cs="楷体_GB2312"/>
          <w:b/>
          <w:bCs/>
          <w:kern w:val="2"/>
          <w:sz w:val="32"/>
          <w:szCs w:val="32"/>
          <w:lang w:val="en-US" w:eastAsia="zh-CN" w:bidi="ar-SA"/>
        </w:rPr>
        <w:t>（二）</w:t>
      </w:r>
      <w:r>
        <w:rPr>
          <w:rFonts w:hint="eastAsia" w:ascii="楷体_GB2312" w:hAnsi="楷体_GB2312" w:eastAsia="楷体_GB2312" w:cs="楷体_GB2312"/>
          <w:b/>
          <w:bCs/>
          <w:sz w:val="32"/>
          <w:szCs w:val="32"/>
        </w:rPr>
        <w:t>发起申请。</w:t>
      </w:r>
      <w:r>
        <w:rPr>
          <w:rFonts w:hint="eastAsia" w:ascii="Times New Roman" w:hAnsi="Times New Roman" w:eastAsia="仿宋_GB2312" w:cs="Times New Roman"/>
          <w:sz w:val="32"/>
          <w:szCs w:val="32"/>
        </w:rPr>
        <w:t>有关决策和执行人员认为具备尽职免（减）责情形且符合条件的，同时向</w:t>
      </w:r>
      <w:r>
        <w:rPr>
          <w:rFonts w:hint="eastAsia" w:ascii="Times New Roman" w:hAnsi="Times New Roman" w:eastAsia="仿宋_GB2312" w:cs="Times New Roman"/>
          <w:sz w:val="32"/>
          <w:szCs w:val="32"/>
          <w:lang w:eastAsia="zh-CN"/>
        </w:rPr>
        <w:t>自治区科技厅</w:t>
      </w:r>
      <w:r>
        <w:rPr>
          <w:rFonts w:hint="eastAsia" w:ascii="Times New Roman" w:hAnsi="Times New Roman" w:eastAsia="仿宋_GB2312" w:cs="Times New Roman"/>
          <w:sz w:val="32"/>
          <w:szCs w:val="32"/>
        </w:rPr>
        <w:t>和基金管理办公室提出启动免（减）责申请。</w:t>
      </w:r>
      <w:r>
        <w:rPr>
          <w:rFonts w:hint="eastAsia" w:ascii="Times New Roman" w:hAnsi="Times New Roman" w:eastAsia="仿宋_GB2312" w:cs="Times New Roman"/>
          <w:sz w:val="32"/>
          <w:szCs w:val="32"/>
          <w:lang w:eastAsia="zh-CN"/>
        </w:rPr>
        <w:t>如</w:t>
      </w:r>
      <w:r>
        <w:rPr>
          <w:rFonts w:hint="eastAsia" w:ascii="Times New Roman" w:hAnsi="Times New Roman" w:eastAsia="仿宋_GB2312" w:cs="Times New Roman"/>
          <w:sz w:val="32"/>
          <w:szCs w:val="32"/>
        </w:rPr>
        <w:t>有关决策和执行人员</w:t>
      </w:r>
      <w:r>
        <w:rPr>
          <w:rFonts w:hint="eastAsia" w:ascii="Times New Roman" w:hAnsi="Times New Roman" w:eastAsia="仿宋_GB2312" w:cs="Times New Roman"/>
          <w:sz w:val="32"/>
          <w:szCs w:val="32"/>
          <w:lang w:eastAsia="zh-CN"/>
        </w:rPr>
        <w:t>未提出</w:t>
      </w:r>
      <w:r>
        <w:rPr>
          <w:rFonts w:hint="eastAsia" w:ascii="Times New Roman" w:hAnsi="Times New Roman" w:eastAsia="仿宋_GB2312" w:cs="Times New Roman"/>
          <w:sz w:val="32"/>
          <w:szCs w:val="32"/>
        </w:rPr>
        <w:t>启动免（减）责申请</w:t>
      </w:r>
      <w:r>
        <w:rPr>
          <w:rFonts w:hint="eastAsia" w:ascii="Times New Roman" w:hAnsi="Times New Roman" w:eastAsia="仿宋_GB2312" w:cs="Times New Roman"/>
          <w:sz w:val="32"/>
          <w:szCs w:val="32"/>
          <w:lang w:eastAsia="zh-CN"/>
        </w:rPr>
        <w:t>，自治区科技厅将根据《广西政府投资基金管理办法》《广西科技成果转化基金管理办法（试行）》及《合伙协议》</w:t>
      </w:r>
      <w:r>
        <w:rPr>
          <w:rFonts w:hint="eastAsia" w:ascii="Times New Roman" w:hAnsi="Times New Roman" w:eastAsia="仿宋_GB2312" w:cs="Times New Roman"/>
          <w:spacing w:val="0"/>
          <w:kern w:val="2"/>
          <w:sz w:val="32"/>
          <w:szCs w:val="32"/>
          <w:lang w:val="en-US" w:eastAsia="zh-CN" w:bidi="ar-SA"/>
        </w:rPr>
        <w:t>等有关</w:t>
      </w:r>
      <w:r>
        <w:rPr>
          <w:rFonts w:hint="default" w:ascii="Times New Roman" w:hAnsi="Times New Roman" w:eastAsia="仿宋_GB2312" w:cs="Times New Roman"/>
          <w:spacing w:val="0"/>
          <w:kern w:val="2"/>
          <w:sz w:val="32"/>
          <w:szCs w:val="32"/>
          <w:lang w:val="en-US" w:eastAsia="en-US" w:bidi="ar-SA"/>
        </w:rPr>
        <w:t>规定处理</w:t>
      </w:r>
      <w:r>
        <w:rPr>
          <w:rFonts w:hint="eastAsia" w:ascii="Times New Roman" w:hAnsi="Times New Roman" w:eastAsia="仿宋_GB2312" w:cs="Times New Roman"/>
          <w:spacing w:val="0"/>
          <w:kern w:val="2"/>
          <w:sz w:val="32"/>
          <w:szCs w:val="32"/>
          <w:lang w:val="en-US" w:eastAsia="zh-CN" w:bidi="ar-SA"/>
        </w:rPr>
        <w:t>。</w:t>
      </w:r>
    </w:p>
    <w:p w14:paraId="6F2683F6">
      <w:pPr>
        <w:keepNext w:val="0"/>
        <w:keepLines w:val="0"/>
        <w:pageBreakBefore w:val="0"/>
        <w:widowControl w:val="0"/>
        <w:numPr>
          <w:ilvl w:val="0"/>
          <w:numId w:val="0"/>
        </w:numPr>
        <w:kinsoku/>
        <w:wordWrap/>
        <w:overflowPunct/>
        <w:topLinePunct w:val="0"/>
        <w:autoSpaceDE/>
        <w:autoSpaceDN/>
        <w:bidi w:val="0"/>
        <w:spacing w:line="560" w:lineRule="exact"/>
        <w:ind w:left="0" w:leftChars="0" w:firstLine="643" w:firstLineChars="200"/>
        <w:jc w:val="left"/>
        <w:rPr>
          <w:rFonts w:hint="eastAsia" w:ascii="Times New Roman" w:hAnsi="Times New Roman" w:eastAsia="仿宋_GB2312" w:cs="Times New Roman"/>
          <w:sz w:val="32"/>
          <w:szCs w:val="32"/>
        </w:rPr>
      </w:pPr>
      <w:r>
        <w:rPr>
          <w:rFonts w:hint="eastAsia" w:ascii="楷体_GB2312" w:hAnsi="楷体_GB2312" w:eastAsia="楷体_GB2312" w:cs="楷体_GB2312"/>
          <w:b/>
          <w:bCs/>
          <w:kern w:val="2"/>
          <w:sz w:val="32"/>
          <w:szCs w:val="32"/>
          <w:lang w:val="en-US" w:eastAsia="zh-CN" w:bidi="ar-SA"/>
        </w:rPr>
        <w:t>（三）调查核实。</w:t>
      </w:r>
      <w:r>
        <w:rPr>
          <w:rFonts w:hint="eastAsia" w:ascii="Times New Roman" w:hAnsi="Times New Roman" w:eastAsia="仿宋_GB2312" w:cs="Times New Roman"/>
          <w:sz w:val="32"/>
          <w:szCs w:val="32"/>
          <w:lang w:eastAsia="zh-CN"/>
        </w:rPr>
        <w:t>自治区科技厅与</w:t>
      </w:r>
      <w:r>
        <w:rPr>
          <w:rFonts w:hint="eastAsia" w:ascii="Times New Roman" w:hAnsi="Times New Roman" w:eastAsia="仿宋_GB2312" w:cs="Times New Roman"/>
          <w:sz w:val="32"/>
          <w:szCs w:val="32"/>
        </w:rPr>
        <w:t>基金管理办公室联合成立专项调查小组，对申请免（减）责相关事项进行调查核实，综合评估并形成调查报告，报广西政府投资基金管理委员会。</w:t>
      </w:r>
    </w:p>
    <w:p w14:paraId="6DEC27E3">
      <w:pPr>
        <w:keepNext w:val="0"/>
        <w:keepLines w:val="0"/>
        <w:pageBreakBefore w:val="0"/>
        <w:widowControl w:val="0"/>
        <w:numPr>
          <w:ilvl w:val="0"/>
          <w:numId w:val="0"/>
        </w:numPr>
        <w:kinsoku/>
        <w:wordWrap/>
        <w:overflowPunct/>
        <w:topLinePunct w:val="0"/>
        <w:autoSpaceDE/>
        <w:autoSpaceDN/>
        <w:bidi w:val="0"/>
        <w:spacing w:line="560" w:lineRule="exact"/>
        <w:ind w:left="0" w:leftChars="0" w:firstLine="643" w:firstLineChars="200"/>
        <w:jc w:val="left"/>
        <w:rPr>
          <w:rFonts w:hint="eastAsia" w:ascii="Times New Roman" w:hAnsi="Times New Roman" w:eastAsia="仿宋_GB2312" w:cs="Times New Roman"/>
          <w:sz w:val="32"/>
          <w:szCs w:val="32"/>
        </w:rPr>
      </w:pPr>
      <w:r>
        <w:rPr>
          <w:rFonts w:hint="eastAsia" w:ascii="楷体_GB2312" w:hAnsi="楷体_GB2312" w:eastAsia="楷体_GB2312" w:cs="楷体_GB2312"/>
          <w:b/>
          <w:bCs/>
          <w:kern w:val="2"/>
          <w:sz w:val="32"/>
          <w:szCs w:val="32"/>
          <w:lang w:val="en-US" w:eastAsia="zh-CN" w:bidi="ar-SA"/>
        </w:rPr>
        <w:t>（四）反馈建议。</w:t>
      </w:r>
      <w:r>
        <w:rPr>
          <w:rFonts w:hint="eastAsia" w:ascii="Times New Roman" w:hAnsi="Times New Roman" w:eastAsia="仿宋_GB2312" w:cs="Times New Roman"/>
          <w:sz w:val="32"/>
          <w:szCs w:val="32"/>
        </w:rPr>
        <w:t>根据调查情况，广西政府投资基金管理委员会集体研究提出免（减）责建议，基金管理办公室将免（减）责建议书面反馈</w:t>
      </w:r>
      <w:r>
        <w:rPr>
          <w:rFonts w:hint="eastAsia" w:ascii="Times New Roman" w:hAnsi="Times New Roman" w:eastAsia="仿宋_GB2312" w:cs="Times New Roman"/>
          <w:sz w:val="32"/>
          <w:szCs w:val="32"/>
          <w:lang w:eastAsia="zh-CN"/>
        </w:rPr>
        <w:t>自治区科技厅</w:t>
      </w:r>
      <w:r>
        <w:rPr>
          <w:rFonts w:hint="eastAsia" w:ascii="Times New Roman" w:hAnsi="Times New Roman" w:eastAsia="仿宋_GB2312" w:cs="Times New Roman"/>
          <w:sz w:val="32"/>
          <w:szCs w:val="32"/>
        </w:rPr>
        <w:t>。</w:t>
      </w:r>
    </w:p>
    <w:p w14:paraId="0AECF554">
      <w:pPr>
        <w:keepNext w:val="0"/>
        <w:keepLines w:val="0"/>
        <w:pageBreakBefore w:val="0"/>
        <w:widowControl w:val="0"/>
        <w:numPr>
          <w:ilvl w:val="0"/>
          <w:numId w:val="0"/>
        </w:numPr>
        <w:kinsoku/>
        <w:overflowPunct/>
        <w:topLinePunct w:val="0"/>
        <w:autoSpaceDE/>
        <w:autoSpaceDN/>
        <w:bidi w:val="0"/>
        <w:spacing w:line="580" w:lineRule="exact"/>
        <w:ind w:firstLine="643" w:firstLineChars="200"/>
        <w:jc w:val="left"/>
        <w:rPr>
          <w:rFonts w:hint="eastAsia" w:ascii="Times New Roman" w:hAnsi="Times New Roman" w:eastAsia="仿宋_GB2312" w:cs="Times New Roman"/>
          <w:sz w:val="32"/>
          <w:szCs w:val="32"/>
        </w:rPr>
      </w:pPr>
      <w:r>
        <w:rPr>
          <w:rFonts w:hint="eastAsia" w:ascii="楷体_GB2312" w:hAnsi="楷体_GB2312" w:eastAsia="楷体_GB2312" w:cs="楷体_GB2312"/>
          <w:b/>
          <w:bCs/>
          <w:kern w:val="2"/>
          <w:sz w:val="32"/>
          <w:szCs w:val="32"/>
          <w:lang w:val="en-US" w:eastAsia="zh-CN" w:bidi="ar-SA"/>
        </w:rPr>
        <w:t>（五）组织实施。</w:t>
      </w:r>
      <w:r>
        <w:rPr>
          <w:rFonts w:hint="eastAsia" w:ascii="Times New Roman" w:hAnsi="Times New Roman" w:eastAsia="仿宋_GB2312" w:cs="Times New Roman"/>
          <w:sz w:val="32"/>
          <w:szCs w:val="32"/>
          <w:lang w:eastAsia="zh-CN"/>
        </w:rPr>
        <w:t>自治区科技厅根据书面反馈建议</w:t>
      </w:r>
      <w:r>
        <w:rPr>
          <w:rFonts w:hint="eastAsia" w:ascii="Times New Roman" w:hAnsi="Times New Roman" w:eastAsia="仿宋_GB2312" w:cs="Times New Roman"/>
          <w:sz w:val="32"/>
          <w:szCs w:val="32"/>
        </w:rPr>
        <w:t>研究认定后组织实施。</w:t>
      </w:r>
    </w:p>
    <w:p w14:paraId="0FB86C68">
      <w:pPr>
        <w:keepNext w:val="0"/>
        <w:keepLines w:val="0"/>
        <w:pageBreakBefore w:val="0"/>
        <w:widowControl w:val="0"/>
        <w:numPr>
          <w:ilvl w:val="0"/>
          <w:numId w:val="0"/>
        </w:numPr>
        <w:kinsoku/>
        <w:overflowPunct/>
        <w:topLinePunct w:val="0"/>
        <w:autoSpaceDE/>
        <w:autoSpaceDN/>
        <w:bidi w:val="0"/>
        <w:spacing w:line="580" w:lineRule="exact"/>
        <w:ind w:firstLine="643" w:firstLineChars="200"/>
        <w:jc w:val="left"/>
        <w:rPr>
          <w:rFonts w:hint="eastAsia" w:eastAsia="仿宋_GB2312"/>
          <w:lang w:eastAsia="zh-CN"/>
        </w:rPr>
      </w:pPr>
      <w:r>
        <w:rPr>
          <w:rFonts w:hint="eastAsia" w:ascii="Times New Roman" w:hAnsi="Times New Roman" w:eastAsia="仿宋_GB2312"/>
          <w:b/>
          <w:bCs/>
          <w:sz w:val="32"/>
          <w:szCs w:val="32"/>
          <w:lang w:eastAsia="zh-CN"/>
        </w:rPr>
        <w:t>注：</w:t>
      </w:r>
      <w:r>
        <w:rPr>
          <w:rFonts w:hint="eastAsia" w:ascii="Times New Roman" w:hAnsi="Times New Roman" w:eastAsia="仿宋_GB2312"/>
          <w:sz w:val="32"/>
          <w:szCs w:val="32"/>
          <w:lang w:eastAsia="zh-CN"/>
        </w:rPr>
        <w:t>广西科技成果转化基金的</w:t>
      </w:r>
      <w:r>
        <w:rPr>
          <w:rFonts w:hint="eastAsia" w:ascii="Times New Roman" w:hAnsi="Times New Roman" w:eastAsia="仿宋_GB2312"/>
          <w:sz w:val="32"/>
          <w:szCs w:val="32"/>
        </w:rPr>
        <w:t>尽职免（减）责情形按照《广西政府投资基金尽职免（减）责工作指引》</w:t>
      </w:r>
      <w:r>
        <w:rPr>
          <w:rFonts w:hint="eastAsia" w:ascii="Times New Roman" w:hAnsi="Times New Roman" w:eastAsia="仿宋_GB2312"/>
          <w:sz w:val="32"/>
          <w:szCs w:val="32"/>
          <w:lang w:eastAsia="zh-CN"/>
        </w:rPr>
        <w:t>认定。</w:t>
      </w:r>
    </w:p>
    <w:p w14:paraId="502A7B06">
      <w:pPr>
        <w:keepNext w:val="0"/>
        <w:keepLines w:val="0"/>
        <w:pageBreakBefore w:val="0"/>
        <w:widowControl w:val="0"/>
        <w:kinsoku/>
        <w:overflowPunct/>
        <w:topLinePunct w:val="0"/>
        <w:autoSpaceDE/>
        <w:autoSpaceDN/>
        <w:bidi w:val="0"/>
        <w:spacing w:line="580" w:lineRule="exact"/>
        <w:ind w:firstLine="640" w:firstLineChars="200"/>
        <w:rPr>
          <w:rFonts w:hint="eastAsia"/>
          <w:lang w:eastAsia="zh-CN"/>
        </w:rPr>
      </w:pPr>
      <w:r>
        <w:rPr>
          <w:rFonts w:hint="eastAsia" w:ascii="Times New Roman" w:hAnsi="Times New Roman" w:eastAsia="黑体" w:cs="Times New Roman"/>
          <w:sz w:val="32"/>
          <w:szCs w:val="32"/>
          <w:lang w:eastAsia="zh-CN"/>
        </w:rPr>
        <w:t>四、退出管理</w:t>
      </w:r>
    </w:p>
    <w:p w14:paraId="4C0A8701">
      <w:pPr>
        <w:keepNext w:val="0"/>
        <w:keepLines w:val="0"/>
        <w:pageBreakBefore w:val="0"/>
        <w:widowControl w:val="0"/>
        <w:kinsoku/>
        <w:overflowPunct/>
        <w:topLinePunct w:val="0"/>
        <w:autoSpaceDE/>
        <w:autoSpaceDN/>
        <w:bidi w:val="0"/>
        <w:spacing w:line="580" w:lineRule="exact"/>
        <w:ind w:firstLine="640" w:firstLineChars="200"/>
        <w:rPr>
          <w:rFonts w:hint="eastAsia" w:ascii="Times New Roman" w:hAnsi="Times New Roman" w:eastAsia="黑体"/>
          <w:sz w:val="32"/>
          <w:szCs w:val="32"/>
        </w:rPr>
      </w:pPr>
      <w:r>
        <w:rPr>
          <w:rFonts w:hint="default" w:ascii="Times New Roman" w:hAnsi="Times New Roman" w:eastAsia="仿宋_GB2312" w:cs="Times New Roman"/>
          <w:spacing w:val="0"/>
          <w:kern w:val="2"/>
          <w:sz w:val="32"/>
          <w:szCs w:val="32"/>
          <w:lang w:val="en-US" w:eastAsia="en-US" w:bidi="ar-SA"/>
        </w:rPr>
        <w:t>转化基金按照有关协议约定或评估价格，通过股权转让、股票减持、股权回购、清算退出等多种方式，及时开展投资退出、收入分配和清算工作</w:t>
      </w:r>
      <w:r>
        <w:rPr>
          <w:rFonts w:hint="eastAsia" w:ascii="Times New Roman" w:hAnsi="Times New Roman" w:eastAsia="仿宋_GB2312" w:cs="Times New Roman"/>
          <w:spacing w:val="0"/>
          <w:kern w:val="2"/>
          <w:sz w:val="32"/>
          <w:szCs w:val="32"/>
          <w:lang w:val="en-US" w:eastAsia="zh-CN" w:bidi="ar-SA"/>
        </w:rPr>
        <w:t>；</w:t>
      </w:r>
      <w:r>
        <w:rPr>
          <w:rFonts w:hint="default" w:ascii="Times New Roman" w:hAnsi="Times New Roman" w:eastAsia="仿宋_GB2312" w:cs="Times New Roman"/>
          <w:spacing w:val="0"/>
          <w:kern w:val="2"/>
          <w:sz w:val="32"/>
          <w:szCs w:val="32"/>
          <w:lang w:val="en-US" w:eastAsia="en-US" w:bidi="ar-SA"/>
        </w:rPr>
        <w:t>到期无法退出的，</w:t>
      </w:r>
      <w:r>
        <w:rPr>
          <w:rFonts w:hint="eastAsia" w:ascii="Times New Roman" w:hAnsi="Times New Roman" w:eastAsia="仿宋_GB2312" w:cs="Times New Roman"/>
          <w:spacing w:val="0"/>
          <w:kern w:val="2"/>
          <w:sz w:val="32"/>
          <w:szCs w:val="32"/>
          <w:lang w:val="en-US" w:eastAsia="zh-CN" w:bidi="ar-SA"/>
        </w:rPr>
        <w:t>基金管理机构</w:t>
      </w:r>
      <w:r>
        <w:rPr>
          <w:rFonts w:hint="default" w:ascii="Times New Roman" w:hAnsi="Times New Roman" w:eastAsia="仿宋_GB2312" w:cs="Times New Roman"/>
          <w:spacing w:val="0"/>
          <w:kern w:val="2"/>
          <w:sz w:val="32"/>
          <w:szCs w:val="32"/>
          <w:lang w:val="en-US" w:eastAsia="en-US" w:bidi="ar-SA"/>
        </w:rPr>
        <w:t>可根据实际情况延期并报告</w:t>
      </w:r>
      <w:r>
        <w:rPr>
          <w:rFonts w:hint="eastAsia" w:ascii="Times New Roman" w:hAnsi="Times New Roman" w:eastAsia="仿宋_GB2312" w:cs="Times New Roman"/>
          <w:spacing w:val="0"/>
          <w:kern w:val="2"/>
          <w:sz w:val="32"/>
          <w:szCs w:val="32"/>
          <w:lang w:val="en-US" w:eastAsia="zh-CN" w:bidi="ar-SA"/>
        </w:rPr>
        <w:t>自治区科技厅、</w:t>
      </w:r>
      <w:r>
        <w:rPr>
          <w:rFonts w:hint="default" w:ascii="Times New Roman" w:hAnsi="Times New Roman" w:eastAsia="仿宋_GB2312" w:cs="Times New Roman"/>
          <w:spacing w:val="0"/>
          <w:kern w:val="2"/>
          <w:sz w:val="32"/>
          <w:szCs w:val="32"/>
          <w:highlight w:val="none"/>
          <w:lang w:val="en-US" w:eastAsia="en-US" w:bidi="ar-SA"/>
        </w:rPr>
        <w:t>基金管理办公室</w:t>
      </w:r>
      <w:r>
        <w:rPr>
          <w:rFonts w:hint="eastAsia" w:ascii="Times New Roman" w:hAnsi="Times New Roman" w:eastAsia="仿宋_GB2312" w:cs="Times New Roman"/>
          <w:spacing w:val="0"/>
          <w:kern w:val="2"/>
          <w:sz w:val="32"/>
          <w:szCs w:val="32"/>
          <w:highlight w:val="none"/>
          <w:lang w:val="en-US" w:eastAsia="zh-CN" w:bidi="ar-SA"/>
        </w:rPr>
        <w:t>；其他情形，</w:t>
      </w:r>
      <w:r>
        <w:rPr>
          <w:rFonts w:hint="eastAsia" w:ascii="Times New Roman" w:hAnsi="Times New Roman" w:eastAsia="仿宋_GB2312" w:cs="Times New Roman"/>
          <w:spacing w:val="0"/>
          <w:kern w:val="2"/>
          <w:sz w:val="32"/>
          <w:szCs w:val="32"/>
          <w:lang w:val="en-US" w:eastAsia="zh-CN" w:bidi="ar-SA"/>
        </w:rPr>
        <w:t>则按照《</w:t>
      </w:r>
      <w:r>
        <w:rPr>
          <w:rFonts w:hint="default" w:ascii="Times New Roman" w:hAnsi="Times New Roman" w:eastAsia="仿宋_GB2312" w:cs="Times New Roman"/>
          <w:spacing w:val="0"/>
          <w:sz w:val="32"/>
          <w:szCs w:val="32"/>
          <w:lang w:eastAsia="zh-CN"/>
        </w:rPr>
        <w:t>广西科技成果转化基金管理办法（</w:t>
      </w:r>
      <w:r>
        <w:rPr>
          <w:rFonts w:hint="default" w:ascii="Times New Roman" w:hAnsi="Times New Roman" w:eastAsia="仿宋_GB2312" w:cs="Times New Roman"/>
          <w:spacing w:val="0"/>
          <w:sz w:val="32"/>
          <w:szCs w:val="32"/>
          <w:lang w:val="en-US" w:eastAsia="zh-CN"/>
        </w:rPr>
        <w:t>试行</w:t>
      </w:r>
      <w:r>
        <w:rPr>
          <w:rFonts w:hint="default" w:ascii="Times New Roman" w:hAnsi="Times New Roman" w:eastAsia="仿宋_GB2312" w:cs="Times New Roman"/>
          <w:spacing w:val="0"/>
          <w:sz w:val="32"/>
          <w:szCs w:val="32"/>
          <w:lang w:eastAsia="zh-CN"/>
        </w:rPr>
        <w:t>）</w:t>
      </w:r>
      <w:r>
        <w:rPr>
          <w:rFonts w:hint="eastAsia" w:ascii="Times New Roman" w:hAnsi="Times New Roman" w:eastAsia="仿宋_GB2312" w:cs="Times New Roman"/>
          <w:spacing w:val="0"/>
          <w:kern w:val="2"/>
          <w:sz w:val="32"/>
          <w:szCs w:val="32"/>
          <w:lang w:val="en-US" w:eastAsia="zh-CN" w:bidi="ar-SA"/>
        </w:rPr>
        <w:t>》执行。</w:t>
      </w:r>
    </w:p>
    <w:p w14:paraId="2388DEA5">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黑体"/>
          <w:sz w:val="32"/>
          <w:szCs w:val="32"/>
        </w:rPr>
      </w:pPr>
      <w:r>
        <w:rPr>
          <w:rFonts w:hint="eastAsia" w:ascii="Times New Roman" w:hAnsi="Times New Roman" w:eastAsia="黑体"/>
          <w:sz w:val="32"/>
          <w:szCs w:val="32"/>
          <w:lang w:eastAsia="zh-CN"/>
        </w:rPr>
        <w:t>五</w:t>
      </w:r>
      <w:r>
        <w:rPr>
          <w:rFonts w:ascii="Times New Roman" w:hAnsi="Times New Roman" w:eastAsia="黑体"/>
          <w:sz w:val="32"/>
          <w:szCs w:val="32"/>
        </w:rPr>
        <w:t>、其他事项</w:t>
      </w:r>
    </w:p>
    <w:p w14:paraId="0CC9B8C2">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r>
        <w:rPr>
          <w:rFonts w:ascii="Times New Roman" w:hAnsi="Times New Roman" w:eastAsia="仿宋_GB2312"/>
          <w:sz w:val="32"/>
          <w:szCs w:val="32"/>
        </w:rPr>
        <w:t>（一）本</w:t>
      </w:r>
      <w:r>
        <w:rPr>
          <w:rFonts w:hint="eastAsia" w:ascii="Times New Roman" w:hAnsi="Times New Roman" w:eastAsia="仿宋_GB2312"/>
          <w:sz w:val="32"/>
          <w:szCs w:val="32"/>
        </w:rPr>
        <w:t>指引</w:t>
      </w:r>
      <w:r>
        <w:rPr>
          <w:rFonts w:ascii="Times New Roman" w:hAnsi="Times New Roman" w:eastAsia="仿宋_GB2312"/>
          <w:sz w:val="32"/>
          <w:szCs w:val="32"/>
        </w:rPr>
        <w:t>与《广西科技成果转化基金管理办法</w:t>
      </w:r>
      <w:r>
        <w:rPr>
          <w:rFonts w:hint="eastAsia" w:ascii="Times New Roman" w:hAnsi="Times New Roman" w:eastAsia="仿宋_GB2312"/>
          <w:sz w:val="32"/>
          <w:szCs w:val="32"/>
        </w:rPr>
        <w:t>（试行）</w:t>
      </w:r>
      <w:r>
        <w:rPr>
          <w:rFonts w:ascii="Times New Roman" w:hAnsi="Times New Roman" w:eastAsia="仿宋_GB2312"/>
          <w:sz w:val="32"/>
          <w:szCs w:val="32"/>
        </w:rPr>
        <w:t>》配套实施，未尽事宜参照《广西科技成果转化基金管理办法</w:t>
      </w:r>
      <w:r>
        <w:rPr>
          <w:rFonts w:hint="eastAsia" w:ascii="Times New Roman" w:hAnsi="Times New Roman" w:eastAsia="仿宋_GB2312"/>
          <w:sz w:val="32"/>
          <w:szCs w:val="32"/>
        </w:rPr>
        <w:t>（试行）</w:t>
      </w:r>
      <w:r>
        <w:rPr>
          <w:rFonts w:ascii="Times New Roman" w:hAnsi="Times New Roman" w:eastAsia="仿宋_GB2312"/>
          <w:sz w:val="32"/>
          <w:szCs w:val="32"/>
        </w:rPr>
        <w:t>》执行。</w:t>
      </w:r>
    </w:p>
    <w:p w14:paraId="781D786E">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r>
        <w:rPr>
          <w:rFonts w:ascii="Times New Roman" w:hAnsi="Times New Roman" w:eastAsia="仿宋_GB2312"/>
          <w:sz w:val="32"/>
          <w:szCs w:val="32"/>
        </w:rPr>
        <w:t>（二）本</w:t>
      </w:r>
      <w:r>
        <w:rPr>
          <w:rFonts w:hint="eastAsia" w:ascii="Times New Roman" w:hAnsi="Times New Roman" w:eastAsia="仿宋_GB2312"/>
          <w:sz w:val="32"/>
          <w:szCs w:val="32"/>
        </w:rPr>
        <w:t>指引</w:t>
      </w:r>
      <w:r>
        <w:rPr>
          <w:rFonts w:ascii="Times New Roman" w:hAnsi="Times New Roman" w:eastAsia="仿宋_GB2312"/>
          <w:sz w:val="32"/>
          <w:szCs w:val="32"/>
        </w:rPr>
        <w:t>在实施过程中，可根据</w:t>
      </w:r>
      <w:r>
        <w:rPr>
          <w:rFonts w:hint="eastAsia" w:ascii="Times New Roman" w:hAnsi="Times New Roman" w:eastAsia="仿宋_GB2312"/>
          <w:sz w:val="32"/>
          <w:szCs w:val="32"/>
        </w:rPr>
        <w:t>转化基金运作</w:t>
      </w:r>
      <w:r>
        <w:rPr>
          <w:rFonts w:ascii="Times New Roman" w:hAnsi="Times New Roman" w:eastAsia="仿宋_GB2312"/>
          <w:sz w:val="32"/>
          <w:szCs w:val="32"/>
        </w:rPr>
        <w:t>实际</w:t>
      </w:r>
      <w:r>
        <w:rPr>
          <w:rFonts w:hint="eastAsia" w:ascii="Times New Roman" w:hAnsi="Times New Roman" w:eastAsia="仿宋_GB2312"/>
          <w:sz w:val="32"/>
          <w:szCs w:val="32"/>
        </w:rPr>
        <w:t>及政策调整</w:t>
      </w:r>
      <w:r>
        <w:rPr>
          <w:rFonts w:ascii="Times New Roman" w:hAnsi="Times New Roman" w:eastAsia="仿宋_GB2312"/>
          <w:sz w:val="32"/>
          <w:szCs w:val="32"/>
        </w:rPr>
        <w:t>情况</w:t>
      </w:r>
      <w:r>
        <w:rPr>
          <w:rFonts w:hint="eastAsia" w:ascii="Times New Roman" w:hAnsi="Times New Roman" w:eastAsia="仿宋_GB2312"/>
          <w:sz w:val="32"/>
          <w:szCs w:val="32"/>
        </w:rPr>
        <w:t>动态修订和完善</w:t>
      </w:r>
      <w:r>
        <w:rPr>
          <w:rFonts w:ascii="Times New Roman" w:hAnsi="Times New Roman" w:eastAsia="仿宋_GB2312"/>
          <w:sz w:val="32"/>
          <w:szCs w:val="32"/>
        </w:rPr>
        <w:t>，确保</w:t>
      </w:r>
      <w:r>
        <w:rPr>
          <w:rFonts w:hint="eastAsia" w:ascii="Times New Roman" w:hAnsi="Times New Roman" w:eastAsia="仿宋_GB2312"/>
          <w:sz w:val="32"/>
          <w:szCs w:val="32"/>
        </w:rPr>
        <w:t>管理</w:t>
      </w:r>
      <w:r>
        <w:rPr>
          <w:rFonts w:ascii="Times New Roman" w:hAnsi="Times New Roman" w:eastAsia="仿宋_GB2312"/>
          <w:sz w:val="32"/>
          <w:szCs w:val="32"/>
        </w:rPr>
        <w:t>工作的科学性和有效性。</w:t>
      </w:r>
    </w:p>
    <w:p w14:paraId="15099225">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p>
    <w:p w14:paraId="5F9AD7C5">
      <w:pPr>
        <w:keepNext w:val="0"/>
        <w:keepLines w:val="0"/>
        <w:pageBreakBefore w:val="0"/>
        <w:widowControl w:val="0"/>
        <w:kinsoku/>
        <w:overflowPunct/>
        <w:topLinePunct w:val="0"/>
        <w:autoSpaceDE/>
        <w:autoSpaceDN/>
        <w:bidi w:val="0"/>
        <w:spacing w:line="580" w:lineRule="exact"/>
        <w:ind w:firstLine="640" w:firstLineChars="200"/>
        <w:rPr>
          <w:rFonts w:hint="eastAsia" w:ascii="Times New Roman" w:hAnsi="Times New Roman" w:eastAsia="仿宋_GB2312" w:cs="Times New Roman"/>
          <w:sz w:val="32"/>
          <w:szCs w:val="32"/>
        </w:rPr>
      </w:pPr>
      <w:r>
        <w:rPr>
          <w:rFonts w:ascii="Times New Roman" w:hAnsi="Times New Roman" w:eastAsia="仿宋_GB2312"/>
          <w:sz w:val="32"/>
          <w:szCs w:val="32"/>
        </w:rPr>
        <w:t>附件：1.</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cs="Times New Roman"/>
          <w:sz w:val="32"/>
          <w:szCs w:val="32"/>
          <w:lang w:eastAsia="zh-CN"/>
        </w:rPr>
        <w:t>基金方案申报</w:t>
      </w:r>
      <w:r>
        <w:rPr>
          <w:rFonts w:hint="eastAsia" w:ascii="Times New Roman" w:hAnsi="Times New Roman" w:eastAsia="仿宋_GB2312" w:cs="Times New Roman"/>
          <w:sz w:val="32"/>
          <w:szCs w:val="32"/>
        </w:rPr>
        <w:t>材料清单</w:t>
      </w:r>
    </w:p>
    <w:p w14:paraId="4E3143AA">
      <w:pPr>
        <w:keepNext w:val="0"/>
        <w:keepLines w:val="0"/>
        <w:pageBreakBefore w:val="0"/>
        <w:widowControl w:val="0"/>
        <w:kinsoku/>
        <w:overflowPunct/>
        <w:topLinePunct w:val="0"/>
        <w:autoSpaceDE/>
        <w:autoSpaceDN/>
        <w:bidi w:val="0"/>
        <w:spacing w:line="580" w:lineRule="exact"/>
        <w:ind w:firstLine="1600" w:firstLineChars="500"/>
        <w:rPr>
          <w:rFonts w:hint="eastAsia" w:ascii="Times New Roman" w:hAnsi="Times New Roman" w:eastAsia="仿宋_GB2312"/>
          <w:sz w:val="32"/>
          <w:szCs w:val="32"/>
        </w:rPr>
      </w:pPr>
      <w:r>
        <w:rPr>
          <w:rFonts w:hint="eastAsia" w:ascii="Times New Roman" w:hAnsi="Times New Roman" w:eastAsia="仿宋_GB2312"/>
          <w:sz w:val="32"/>
          <w:szCs w:val="32"/>
          <w:lang w:val="en-US" w:eastAsia="zh-CN"/>
        </w:rPr>
        <w:t>2</w:t>
      </w:r>
      <w:r>
        <w:rPr>
          <w:rFonts w:ascii="Times New Roman" w:hAnsi="Times New Roman" w:eastAsia="仿宋_GB2312"/>
          <w:sz w:val="32"/>
          <w:szCs w:val="32"/>
        </w:rPr>
        <w:t>.</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广西科技成果转化基金论证方案</w:t>
      </w:r>
    </w:p>
    <w:p w14:paraId="51883D8E">
      <w:pPr>
        <w:keepNext w:val="0"/>
        <w:keepLines w:val="0"/>
        <w:pageBreakBefore w:val="0"/>
        <w:widowControl w:val="0"/>
        <w:kinsoku/>
        <w:overflowPunct/>
        <w:topLinePunct w:val="0"/>
        <w:autoSpaceDE/>
        <w:autoSpaceDN/>
        <w:bidi w:val="0"/>
        <w:spacing w:line="580" w:lineRule="exact"/>
        <w:ind w:firstLine="1600" w:firstLineChars="500"/>
        <w:rPr>
          <w:rFonts w:hint="eastAsia" w:ascii="Times New Roman" w:hAnsi="Times New Roman" w:eastAsia="仿宋_GB2312"/>
          <w:sz w:val="32"/>
          <w:szCs w:val="32"/>
          <w:lang w:val="en-US" w:eastAsia="zh-CN"/>
        </w:rPr>
        <w:sectPr>
          <w:footerReference r:id="rId3" w:type="default"/>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eastAsia" w:ascii="Times New Roman" w:hAnsi="Times New Roman" w:eastAsia="仿宋_GB2312" w:cs="Times New Roman"/>
          <w:sz w:val="32"/>
          <w:szCs w:val="32"/>
          <w:lang w:val="en-US" w:eastAsia="zh-CN"/>
        </w:rPr>
        <w:t>3</w:t>
      </w:r>
      <w:r>
        <w:rPr>
          <w:rFonts w:hint="default" w:ascii="Times New Roman" w:hAnsi="Times New Roman" w:eastAsia="仿宋_GB2312" w:cs="Times New Roman"/>
          <w:sz w:val="32"/>
          <w:szCs w:val="32"/>
          <w:lang w:val="en-US" w:eastAsia="zh-CN"/>
        </w:rPr>
        <w:t>.</w:t>
      </w:r>
      <w:r>
        <w:rPr>
          <w:rFonts w:hint="eastAsia" w:ascii="Times New Roman" w:hAnsi="Times New Roman" w:eastAsia="仿宋_GB2312" w:cs="Times New Roman"/>
          <w:sz w:val="32"/>
          <w:szCs w:val="32"/>
          <w:lang w:val="en-US" w:eastAsia="zh-CN"/>
        </w:rPr>
        <w:t xml:space="preserve"> </w:t>
      </w:r>
      <w:r>
        <w:rPr>
          <w:rFonts w:hint="default" w:ascii="Times New Roman" w:hAnsi="Times New Roman" w:eastAsia="仿宋_GB2312" w:cs="Times New Roman"/>
          <w:sz w:val="32"/>
          <w:szCs w:val="32"/>
        </w:rPr>
        <w:t>广</w:t>
      </w:r>
      <w:r>
        <w:rPr>
          <w:rFonts w:hint="eastAsia" w:ascii="Times New Roman" w:hAnsi="Times New Roman" w:eastAsia="仿宋_GB2312"/>
          <w:sz w:val="32"/>
          <w:szCs w:val="32"/>
        </w:rPr>
        <w:t>西科技成果转化基金管理操作指引</w:t>
      </w:r>
      <w:r>
        <w:rPr>
          <w:rFonts w:hint="eastAsia" w:eastAsia="仿宋_GB2312"/>
          <w:sz w:val="32"/>
          <w:szCs w:val="32"/>
          <w:lang w:val="en-US" w:eastAsia="zh-CN"/>
        </w:rPr>
        <w:t>流程图</w:t>
      </w:r>
    </w:p>
    <w:p w14:paraId="2863B768">
      <w:pPr>
        <w:keepNext w:val="0"/>
        <w:keepLines w:val="0"/>
        <w:pageBreakBefore w:val="0"/>
        <w:widowControl w:val="0"/>
        <w:numPr>
          <w:ilvl w:val="0"/>
          <w:numId w:val="0"/>
        </w:numPr>
        <w:kinsoku/>
        <w:wordWrap/>
        <w:overflowPunct/>
        <w:topLinePunct w:val="0"/>
        <w:autoSpaceDE/>
        <w:autoSpaceDN/>
        <w:bidi w:val="0"/>
        <w:spacing w:line="580" w:lineRule="exact"/>
        <w:jc w:val="left"/>
        <w:rPr>
          <w:rFonts w:hint="default" w:ascii="Times New Roman" w:hAnsi="Times New Roman" w:eastAsia="黑体" w:cs="Times New Roman"/>
          <w:w w:val="100"/>
          <w:sz w:val="32"/>
          <w:szCs w:val="32"/>
          <w:lang w:val="en-US" w:eastAsia="zh-CN"/>
        </w:rPr>
      </w:pPr>
      <w:r>
        <w:rPr>
          <w:rFonts w:hint="default" w:ascii="Times New Roman" w:hAnsi="Times New Roman" w:eastAsia="黑体" w:cs="Times New Roman"/>
          <w:w w:val="100"/>
          <w:sz w:val="32"/>
          <w:szCs w:val="32"/>
        </w:rPr>
        <w:t>附件</w:t>
      </w:r>
      <w:r>
        <w:rPr>
          <w:rFonts w:hint="default" w:ascii="Times New Roman" w:hAnsi="Times New Roman" w:eastAsia="黑体" w:cs="Times New Roman"/>
          <w:w w:val="100"/>
          <w:sz w:val="32"/>
          <w:szCs w:val="32"/>
          <w:lang w:val="en-US" w:eastAsia="zh-CN"/>
        </w:rPr>
        <w:t>1</w:t>
      </w:r>
    </w:p>
    <w:p w14:paraId="02395446">
      <w:pPr>
        <w:keepNext w:val="0"/>
        <w:keepLines w:val="0"/>
        <w:pageBreakBefore w:val="0"/>
        <w:widowControl w:val="0"/>
        <w:kinsoku/>
        <w:wordWrap/>
        <w:overflowPunct/>
        <w:topLinePunct w:val="0"/>
        <w:autoSpaceDE/>
        <w:autoSpaceDN/>
        <w:bidi w:val="0"/>
        <w:spacing w:line="560" w:lineRule="exact"/>
        <w:rPr>
          <w:rFonts w:ascii="Times New Roman" w:hAnsi="Times New Roman" w:eastAsia="黑体"/>
          <w:w w:val="100"/>
          <w:sz w:val="32"/>
          <w:szCs w:val="32"/>
        </w:rPr>
      </w:pPr>
    </w:p>
    <w:p w14:paraId="305D66AE">
      <w:pPr>
        <w:keepNext w:val="0"/>
        <w:keepLines w:val="0"/>
        <w:pageBreakBefore w:val="0"/>
        <w:widowControl w:val="0"/>
        <w:kinsoku/>
        <w:wordWrap/>
        <w:overflowPunct/>
        <w:topLinePunct w:val="0"/>
        <w:autoSpaceDE/>
        <w:autoSpaceDN/>
        <w:bidi w:val="0"/>
        <w:spacing w:line="560" w:lineRule="exact"/>
        <w:jc w:val="center"/>
        <w:rPr>
          <w:rFonts w:hint="eastAsia" w:ascii="方正小标宋简体" w:hAnsi="方正小标宋简体" w:eastAsia="方正小标宋简体" w:cs="方正小标宋简体"/>
          <w:w w:val="100"/>
          <w:sz w:val="44"/>
          <w:szCs w:val="44"/>
        </w:rPr>
      </w:pPr>
      <w:r>
        <w:rPr>
          <w:rFonts w:hint="eastAsia" w:ascii="方正小标宋简体" w:hAnsi="方正小标宋简体" w:eastAsia="方正小标宋简体" w:cs="方正小标宋简体"/>
          <w:w w:val="100"/>
          <w:sz w:val="44"/>
          <w:szCs w:val="44"/>
          <w:lang w:eastAsia="zh-CN"/>
        </w:rPr>
        <w:t>基金方案申报</w:t>
      </w:r>
      <w:r>
        <w:rPr>
          <w:rFonts w:hint="eastAsia" w:ascii="方正小标宋简体" w:hAnsi="方正小标宋简体" w:eastAsia="方正小标宋简体" w:cs="方正小标宋简体"/>
          <w:w w:val="100"/>
          <w:sz w:val="44"/>
          <w:szCs w:val="44"/>
        </w:rPr>
        <w:t>材料清单</w:t>
      </w:r>
    </w:p>
    <w:p w14:paraId="0A314E07">
      <w:pPr>
        <w:keepNext w:val="0"/>
        <w:keepLines w:val="0"/>
        <w:pageBreakBefore w:val="0"/>
        <w:widowControl w:val="0"/>
        <w:kinsoku/>
        <w:wordWrap/>
        <w:overflowPunct/>
        <w:topLinePunct w:val="0"/>
        <w:autoSpaceDE/>
        <w:autoSpaceDN/>
        <w:bidi w:val="0"/>
        <w:spacing w:line="560" w:lineRule="exact"/>
        <w:rPr>
          <w:rFonts w:hint="eastAsia" w:ascii="方正小标宋简体" w:hAnsi="方正小标宋简体" w:eastAsia="方正小标宋简体" w:cs="方正小标宋简体"/>
          <w:w w:val="100"/>
          <w:sz w:val="44"/>
          <w:szCs w:val="44"/>
        </w:rPr>
      </w:pPr>
    </w:p>
    <w:p w14:paraId="7485A86D">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一</w:t>
      </w:r>
      <w:r>
        <w:rPr>
          <w:rFonts w:hint="eastAsia" w:ascii="Times New Roman" w:hAnsi="Times New Roman" w:eastAsia="仿宋_GB2312"/>
          <w:w w:val="100"/>
          <w:sz w:val="32"/>
          <w:szCs w:val="32"/>
        </w:rPr>
        <w:t>、</w:t>
      </w:r>
      <w:r>
        <w:rPr>
          <w:rFonts w:ascii="Times New Roman" w:hAnsi="Times New Roman" w:eastAsia="仿宋_GB2312"/>
          <w:w w:val="100"/>
          <w:sz w:val="32"/>
          <w:szCs w:val="32"/>
        </w:rPr>
        <w:t>转化基金组建方案；</w:t>
      </w:r>
    </w:p>
    <w:p w14:paraId="732076E6">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二</w:t>
      </w:r>
      <w:r>
        <w:rPr>
          <w:rFonts w:hint="eastAsia" w:ascii="Times New Roman" w:hAnsi="Times New Roman" w:eastAsia="仿宋_GB2312"/>
          <w:w w:val="100"/>
          <w:sz w:val="32"/>
          <w:szCs w:val="32"/>
        </w:rPr>
        <w:t>、</w:t>
      </w:r>
      <w:r>
        <w:rPr>
          <w:rFonts w:ascii="Times New Roman" w:hAnsi="Times New Roman" w:eastAsia="仿宋_GB2312"/>
          <w:w w:val="100"/>
          <w:sz w:val="32"/>
          <w:szCs w:val="32"/>
        </w:rPr>
        <w:t>主要出资人的出资意向书或出资能力证明；</w:t>
      </w:r>
    </w:p>
    <w:p w14:paraId="0A9066E5">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三</w:t>
      </w:r>
      <w:r>
        <w:rPr>
          <w:rFonts w:hint="eastAsia" w:ascii="Times New Roman" w:hAnsi="Times New Roman" w:eastAsia="仿宋_GB2312"/>
          <w:w w:val="100"/>
          <w:sz w:val="32"/>
          <w:szCs w:val="32"/>
        </w:rPr>
        <w:t>、</w:t>
      </w:r>
      <w:r>
        <w:rPr>
          <w:rFonts w:ascii="Times New Roman" w:hAnsi="Times New Roman" w:eastAsia="仿宋_GB2312"/>
          <w:w w:val="100"/>
          <w:sz w:val="32"/>
          <w:szCs w:val="32"/>
        </w:rPr>
        <w:t>会计师事务所出具的投资机构近期的审计报告；</w:t>
      </w:r>
    </w:p>
    <w:p w14:paraId="784AE9C1">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四</w:t>
      </w:r>
      <w:r>
        <w:rPr>
          <w:rFonts w:hint="eastAsia" w:ascii="Times New Roman" w:hAnsi="Times New Roman" w:eastAsia="仿宋_GB2312"/>
          <w:w w:val="100"/>
          <w:sz w:val="32"/>
          <w:szCs w:val="32"/>
        </w:rPr>
        <w:t>、</w:t>
      </w:r>
      <w:r>
        <w:rPr>
          <w:rFonts w:ascii="Times New Roman" w:hAnsi="Times New Roman" w:eastAsia="仿宋_GB2312"/>
          <w:w w:val="100"/>
          <w:sz w:val="32"/>
          <w:szCs w:val="32"/>
        </w:rPr>
        <w:t>转化基金管理机构的有关材料；</w:t>
      </w:r>
    </w:p>
    <w:p w14:paraId="4B654F93">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五</w:t>
      </w:r>
      <w:r>
        <w:rPr>
          <w:rFonts w:hint="eastAsia" w:ascii="Times New Roman" w:hAnsi="Times New Roman" w:eastAsia="仿宋_GB2312"/>
          <w:w w:val="100"/>
          <w:sz w:val="32"/>
          <w:szCs w:val="32"/>
        </w:rPr>
        <w:t>、</w:t>
      </w:r>
      <w:r>
        <w:rPr>
          <w:rFonts w:ascii="Times New Roman" w:hAnsi="Times New Roman" w:eastAsia="仿宋_GB2312"/>
          <w:w w:val="100"/>
          <w:sz w:val="32"/>
          <w:szCs w:val="32"/>
        </w:rPr>
        <w:t>其他应当提交的资料。</w:t>
      </w:r>
    </w:p>
    <w:p w14:paraId="737E5545">
      <w:pPr>
        <w:keepNext w:val="0"/>
        <w:keepLines w:val="0"/>
        <w:pageBreakBefore w:val="0"/>
        <w:widowControl w:val="0"/>
        <w:kinsoku/>
        <w:wordWrap/>
        <w:overflowPunct/>
        <w:topLinePunct w:val="0"/>
        <w:autoSpaceDE/>
        <w:autoSpaceDN/>
        <w:bidi w:val="0"/>
        <w:spacing w:line="560" w:lineRule="exact"/>
        <w:rPr>
          <w:rFonts w:hint="eastAsia" w:ascii="方正小标宋简体" w:hAnsi="方正小标宋简体" w:eastAsia="方正小标宋简体" w:cs="方正小标宋简体"/>
          <w:w w:val="100"/>
          <w:sz w:val="44"/>
          <w:szCs w:val="44"/>
        </w:rPr>
      </w:pPr>
    </w:p>
    <w:p w14:paraId="6B5002D9">
      <w:pPr>
        <w:keepNext w:val="0"/>
        <w:keepLines w:val="0"/>
        <w:pageBreakBefore w:val="0"/>
        <w:widowControl w:val="0"/>
        <w:kinsoku/>
        <w:wordWrap/>
        <w:overflowPunct/>
        <w:topLinePunct w:val="0"/>
        <w:autoSpaceDE/>
        <w:autoSpaceDN/>
        <w:bidi w:val="0"/>
        <w:spacing w:line="560" w:lineRule="exact"/>
        <w:rPr>
          <w:rFonts w:hint="eastAsia" w:ascii="方正小标宋简体" w:hAnsi="方正小标宋简体" w:eastAsia="方正小标宋简体" w:cs="方正小标宋简体"/>
          <w:w w:val="100"/>
          <w:sz w:val="44"/>
          <w:szCs w:val="44"/>
        </w:rPr>
        <w:sectPr>
          <w:footerReference r:id="rId6" w:type="first"/>
          <w:headerReference r:id="rId4" w:type="default"/>
          <w:footerReference r:id="rId5" w:type="default"/>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p>
    <w:p w14:paraId="464EC9BE">
      <w:pPr>
        <w:keepNext w:val="0"/>
        <w:keepLines w:val="0"/>
        <w:pageBreakBefore w:val="0"/>
        <w:widowControl w:val="0"/>
        <w:numPr>
          <w:ilvl w:val="0"/>
          <w:numId w:val="0"/>
        </w:numPr>
        <w:kinsoku/>
        <w:wordWrap/>
        <w:overflowPunct/>
        <w:topLinePunct w:val="0"/>
        <w:autoSpaceDE/>
        <w:autoSpaceDN/>
        <w:bidi w:val="0"/>
        <w:spacing w:line="580" w:lineRule="exact"/>
        <w:jc w:val="left"/>
        <w:rPr>
          <w:rFonts w:hint="default" w:ascii="Times New Roman" w:hAnsi="Times New Roman" w:eastAsia="黑体" w:cs="Times New Roman"/>
          <w:w w:val="100"/>
          <w:sz w:val="32"/>
          <w:szCs w:val="32"/>
          <w:lang w:val="en-US" w:eastAsia="zh-CN"/>
        </w:rPr>
      </w:pPr>
      <w:r>
        <w:rPr>
          <w:rFonts w:hint="default" w:ascii="Times New Roman" w:hAnsi="Times New Roman" w:eastAsia="黑体" w:cs="Times New Roman"/>
          <w:w w:val="100"/>
          <w:sz w:val="32"/>
          <w:szCs w:val="32"/>
        </w:rPr>
        <w:t>附件</w:t>
      </w:r>
      <w:r>
        <w:rPr>
          <w:rFonts w:hint="default" w:ascii="Times New Roman" w:hAnsi="Times New Roman" w:eastAsia="黑体" w:cs="Times New Roman"/>
          <w:w w:val="100"/>
          <w:sz w:val="32"/>
          <w:szCs w:val="32"/>
          <w:lang w:val="en-US" w:eastAsia="zh-CN"/>
        </w:rPr>
        <w:t>2</w:t>
      </w:r>
    </w:p>
    <w:p w14:paraId="6C22079C">
      <w:pPr>
        <w:pStyle w:val="15"/>
        <w:keepNext w:val="0"/>
        <w:keepLines w:val="0"/>
        <w:pageBreakBefore w:val="0"/>
        <w:widowControl w:val="0"/>
        <w:kinsoku/>
        <w:wordWrap/>
        <w:overflowPunct/>
        <w:topLinePunct w:val="0"/>
        <w:autoSpaceDE/>
        <w:autoSpaceDN/>
        <w:bidi w:val="0"/>
        <w:spacing w:after="0" w:line="580" w:lineRule="exact"/>
        <w:ind w:left="0" w:leftChars="0" w:firstLine="0" w:firstLineChars="0"/>
        <w:rPr>
          <w:w w:val="100"/>
        </w:rPr>
      </w:pPr>
    </w:p>
    <w:p w14:paraId="23570DF8">
      <w:pPr>
        <w:pStyle w:val="7"/>
        <w:keepNext w:val="0"/>
        <w:keepLines w:val="0"/>
        <w:pageBreakBefore w:val="0"/>
        <w:widowControl w:val="0"/>
        <w:kinsoku/>
        <w:wordWrap/>
        <w:overflowPunct/>
        <w:topLinePunct w:val="0"/>
        <w:autoSpaceDE/>
        <w:autoSpaceDN/>
        <w:bidi w:val="0"/>
        <w:spacing w:before="0" w:beforeLines="0" w:after="0" w:afterLines="0" w:line="580" w:lineRule="exact"/>
        <w:rPr>
          <w:rFonts w:ascii="Times New Roman" w:eastAsia="方正小标宋简体"/>
          <w:b w:val="0"/>
          <w:bCs/>
          <w:w w:val="100"/>
          <w:sz w:val="44"/>
          <w:szCs w:val="44"/>
        </w:rPr>
      </w:pPr>
      <w:r>
        <w:rPr>
          <w:rFonts w:ascii="Times New Roman" w:eastAsia="方正小标宋简体"/>
          <w:b w:val="0"/>
          <w:bCs/>
          <w:w w:val="100"/>
          <w:sz w:val="44"/>
          <w:szCs w:val="44"/>
        </w:rPr>
        <w:t>广西科技成果转化基金论证方案</w:t>
      </w:r>
    </w:p>
    <w:p w14:paraId="3D949F27">
      <w:pPr>
        <w:keepNext w:val="0"/>
        <w:keepLines w:val="0"/>
        <w:pageBreakBefore w:val="0"/>
        <w:widowControl w:val="0"/>
        <w:kinsoku/>
        <w:wordWrap/>
        <w:overflowPunct/>
        <w:topLinePunct w:val="0"/>
        <w:autoSpaceDE/>
        <w:autoSpaceDN/>
        <w:bidi w:val="0"/>
        <w:spacing w:line="580" w:lineRule="exact"/>
        <w:rPr>
          <w:w w:val="100"/>
        </w:rPr>
      </w:pPr>
    </w:p>
    <w:p w14:paraId="7685CB65">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黑体"/>
          <w:w w:val="100"/>
          <w:sz w:val="32"/>
          <w:szCs w:val="32"/>
        </w:rPr>
      </w:pPr>
      <w:r>
        <w:rPr>
          <w:rFonts w:ascii="Times New Roman" w:hAnsi="Times New Roman" w:eastAsia="黑体"/>
          <w:w w:val="100"/>
          <w:sz w:val="32"/>
          <w:szCs w:val="32"/>
        </w:rPr>
        <w:t>一、</w:t>
      </w:r>
      <w:r>
        <w:rPr>
          <w:rFonts w:hint="eastAsia" w:ascii="Times New Roman" w:hAnsi="Times New Roman" w:eastAsia="黑体"/>
          <w:w w:val="100"/>
          <w:sz w:val="32"/>
          <w:szCs w:val="32"/>
        </w:rPr>
        <w:t>论证</w:t>
      </w:r>
      <w:r>
        <w:rPr>
          <w:rFonts w:ascii="Times New Roman" w:hAnsi="Times New Roman" w:eastAsia="黑体"/>
          <w:w w:val="100"/>
          <w:sz w:val="32"/>
          <w:szCs w:val="32"/>
        </w:rPr>
        <w:t>原则</w:t>
      </w:r>
    </w:p>
    <w:p w14:paraId="6237DFFE">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（一）政策导向</w:t>
      </w:r>
    </w:p>
    <w:p w14:paraId="3940D4E9">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转化基金应贯彻落实自治区关于加快建设现代化产业体系的规划和部署，围绕高端装备制造、先进新材料、新一代信息技术、新能源及储能、生物医药、现代特色农林业、海洋经济、绿色低碳技术、人工智能等重点领域，对科技型企业开展的科技成果转化项目进行投资。</w:t>
      </w:r>
    </w:p>
    <w:p w14:paraId="23DC0520">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（二）投资重点</w:t>
      </w:r>
    </w:p>
    <w:p w14:paraId="6406A307">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坚持投早、投小、投长期、投硬科技，鼓励投资科技重大专项成果后续转化，技术创新中心、中试基地研究成果转化，先进地区优质科技成果来桂转化，重点支持产学研联合、集成度高、关联度大、带动性强的项目。</w:t>
      </w:r>
    </w:p>
    <w:p w14:paraId="7B4F406D">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（三）风险控制</w:t>
      </w:r>
    </w:p>
    <w:p w14:paraId="5BBCACA4">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严格执行</w:t>
      </w:r>
      <w:r>
        <w:rPr>
          <w:rFonts w:hint="eastAsia" w:ascii="Times New Roman" w:hAnsi="Times New Roman" w:eastAsia="仿宋_GB2312"/>
          <w:w w:val="100"/>
          <w:sz w:val="32"/>
          <w:szCs w:val="32"/>
        </w:rPr>
        <w:t>转化</w:t>
      </w:r>
      <w:r>
        <w:rPr>
          <w:rFonts w:ascii="Times New Roman" w:hAnsi="Times New Roman" w:eastAsia="仿宋_GB2312"/>
          <w:w w:val="100"/>
          <w:sz w:val="32"/>
          <w:szCs w:val="32"/>
        </w:rPr>
        <w:t>基金禁止投资领域规定，确保资金流向符合政策目标。</w:t>
      </w:r>
    </w:p>
    <w:p w14:paraId="5FDFE5C7">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ascii="Times New Roman" w:hAnsi="Times New Roman" w:eastAsia="楷体"/>
          <w:b/>
          <w:bCs/>
          <w:w w:val="100"/>
          <w:sz w:val="32"/>
          <w:szCs w:val="32"/>
        </w:rPr>
      </w:pPr>
      <w:r>
        <w:rPr>
          <w:rFonts w:hint="eastAsia" w:ascii="楷体_GB2312" w:hAnsi="楷体_GB2312" w:eastAsia="楷体_GB2312" w:cs="楷体_GB2312"/>
          <w:b/>
          <w:bCs/>
          <w:w w:val="100"/>
          <w:sz w:val="32"/>
          <w:szCs w:val="32"/>
        </w:rPr>
        <w:t>（四）公平透明</w:t>
      </w:r>
    </w:p>
    <w:p w14:paraId="202FB60A">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公开征集、择优遴选，确保</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程序公正、结果公开。</w:t>
      </w:r>
    </w:p>
    <w:p w14:paraId="21D7AB6F">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黑体"/>
          <w:w w:val="100"/>
          <w:sz w:val="32"/>
          <w:szCs w:val="32"/>
        </w:rPr>
      </w:pPr>
      <w:r>
        <w:rPr>
          <w:rFonts w:ascii="Times New Roman" w:hAnsi="Times New Roman" w:eastAsia="黑体"/>
          <w:w w:val="100"/>
          <w:sz w:val="32"/>
          <w:szCs w:val="32"/>
        </w:rPr>
        <w:t>二、</w:t>
      </w:r>
      <w:r>
        <w:rPr>
          <w:rFonts w:hint="eastAsia" w:ascii="Times New Roman" w:hAnsi="Times New Roman" w:eastAsia="黑体"/>
          <w:w w:val="100"/>
          <w:sz w:val="32"/>
          <w:szCs w:val="32"/>
        </w:rPr>
        <w:t>论证</w:t>
      </w:r>
      <w:r>
        <w:rPr>
          <w:rFonts w:ascii="Times New Roman" w:hAnsi="Times New Roman" w:eastAsia="黑体"/>
          <w:w w:val="100"/>
          <w:sz w:val="32"/>
          <w:szCs w:val="32"/>
        </w:rPr>
        <w:t>流程</w:t>
      </w:r>
    </w:p>
    <w:p w14:paraId="5ADD003A">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Times New Roman" w:hAnsi="Times New Roman" w:eastAsia="仿宋_GB2312"/>
          <w:b/>
          <w:bCs/>
          <w:w w:val="100"/>
          <w:sz w:val="32"/>
          <w:szCs w:val="32"/>
        </w:rPr>
      </w:pPr>
      <w:r>
        <w:rPr>
          <w:rFonts w:ascii="Times New Roman" w:hAnsi="Times New Roman" w:eastAsia="仿宋_GB2312"/>
          <w:b/>
          <w:bCs/>
          <w:w w:val="100"/>
          <w:sz w:val="32"/>
          <w:szCs w:val="32"/>
        </w:rPr>
        <w:t>1.</w:t>
      </w:r>
      <w:r>
        <w:rPr>
          <w:rFonts w:hint="eastAsia" w:ascii="Times New Roman" w:hAnsi="Times New Roman" w:eastAsia="仿宋_GB2312"/>
          <w:b/>
          <w:bCs/>
          <w:w w:val="100"/>
          <w:sz w:val="32"/>
          <w:szCs w:val="32"/>
          <w:lang w:val="en-US" w:eastAsia="zh-CN"/>
        </w:rPr>
        <w:t xml:space="preserve"> </w:t>
      </w:r>
      <w:r>
        <w:rPr>
          <w:rFonts w:ascii="Times New Roman" w:hAnsi="Times New Roman" w:eastAsia="仿宋_GB2312"/>
          <w:b/>
          <w:bCs/>
          <w:w w:val="100"/>
          <w:sz w:val="32"/>
          <w:szCs w:val="32"/>
        </w:rPr>
        <w:t>专家</w:t>
      </w:r>
      <w:r>
        <w:rPr>
          <w:rFonts w:hint="eastAsia" w:ascii="Times New Roman" w:hAnsi="Times New Roman" w:eastAsia="仿宋_GB2312"/>
          <w:b/>
          <w:bCs/>
          <w:w w:val="100"/>
          <w:sz w:val="32"/>
          <w:szCs w:val="32"/>
        </w:rPr>
        <w:t>组组成</w:t>
      </w:r>
    </w:p>
    <w:p w14:paraId="5A46D90A">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专家组由</w:t>
      </w:r>
      <w:r>
        <w:rPr>
          <w:rFonts w:hint="eastAsia" w:ascii="Times New Roman" w:hAnsi="Times New Roman" w:eastAsia="仿宋_GB2312"/>
          <w:w w:val="100"/>
          <w:sz w:val="32"/>
          <w:szCs w:val="32"/>
        </w:rPr>
        <w:t>5</w:t>
      </w:r>
      <w:r>
        <w:rPr>
          <w:rFonts w:ascii="Times New Roman" w:hAnsi="Times New Roman" w:eastAsia="仿宋_GB2312"/>
          <w:w w:val="100"/>
          <w:sz w:val="32"/>
          <w:szCs w:val="32"/>
        </w:rPr>
        <w:t>名区内</w:t>
      </w:r>
      <w:r>
        <w:rPr>
          <w:rFonts w:hint="eastAsia" w:ascii="Times New Roman" w:hAnsi="Times New Roman" w:eastAsia="仿宋_GB2312"/>
          <w:w w:val="100"/>
          <w:sz w:val="32"/>
          <w:szCs w:val="32"/>
        </w:rPr>
        <w:t>外</w:t>
      </w:r>
      <w:r>
        <w:rPr>
          <w:rFonts w:ascii="Times New Roman" w:hAnsi="Times New Roman" w:eastAsia="仿宋_GB2312"/>
          <w:w w:val="100"/>
          <w:sz w:val="32"/>
          <w:szCs w:val="32"/>
        </w:rPr>
        <w:t>投资专家组成。</w:t>
      </w:r>
    </w:p>
    <w:p w14:paraId="0FCA78DF">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ascii="Times New Roman" w:hAnsi="Times New Roman" w:eastAsia="仿宋_GB2312"/>
          <w:b/>
          <w:bCs/>
          <w:w w:val="100"/>
          <w:sz w:val="32"/>
          <w:szCs w:val="32"/>
        </w:rPr>
      </w:pPr>
      <w:r>
        <w:rPr>
          <w:rFonts w:ascii="Times New Roman" w:hAnsi="Times New Roman" w:eastAsia="仿宋_GB2312"/>
          <w:b/>
          <w:bCs/>
          <w:w w:val="100"/>
          <w:sz w:val="32"/>
          <w:szCs w:val="32"/>
        </w:rPr>
        <w:t>2.</w:t>
      </w:r>
      <w:r>
        <w:rPr>
          <w:rFonts w:hint="eastAsia" w:ascii="Times New Roman" w:hAnsi="Times New Roman" w:eastAsia="仿宋_GB2312"/>
          <w:b/>
          <w:bCs/>
          <w:w w:val="100"/>
          <w:sz w:val="32"/>
          <w:szCs w:val="32"/>
          <w:lang w:val="en-US" w:eastAsia="zh-CN"/>
        </w:rPr>
        <w:t xml:space="preserve"> </w:t>
      </w:r>
      <w:r>
        <w:rPr>
          <w:rFonts w:hint="eastAsia" w:ascii="Times New Roman" w:hAnsi="Times New Roman" w:eastAsia="仿宋_GB2312"/>
          <w:b/>
          <w:bCs/>
          <w:w w:val="100"/>
          <w:sz w:val="32"/>
          <w:szCs w:val="32"/>
        </w:rPr>
        <w:t>论证</w:t>
      </w:r>
      <w:r>
        <w:rPr>
          <w:rFonts w:ascii="Times New Roman" w:hAnsi="Times New Roman" w:eastAsia="仿宋_GB2312"/>
          <w:b/>
          <w:bCs/>
          <w:w w:val="100"/>
          <w:sz w:val="32"/>
          <w:szCs w:val="32"/>
        </w:rPr>
        <w:t>过程</w:t>
      </w:r>
      <w:r>
        <w:rPr>
          <w:rFonts w:hint="eastAsia" w:ascii="Times New Roman" w:hAnsi="Times New Roman" w:eastAsia="仿宋_GB2312"/>
          <w:b/>
          <w:bCs/>
          <w:w w:val="100"/>
          <w:sz w:val="32"/>
          <w:szCs w:val="32"/>
        </w:rPr>
        <w:t>及答辩</w:t>
      </w:r>
    </w:p>
    <w:p w14:paraId="3E0FE435">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CESI楷体-GB2312"/>
          <w:bCs/>
          <w:w w:val="100"/>
          <w:kern w:val="0"/>
          <w:sz w:val="32"/>
          <w:szCs w:val="32"/>
        </w:rPr>
        <w:t>（1）</w:t>
      </w:r>
      <w:r>
        <w:rPr>
          <w:rFonts w:ascii="Times New Roman" w:hAnsi="Times New Roman" w:eastAsia="仿宋_GB2312"/>
          <w:w w:val="100"/>
          <w:sz w:val="32"/>
          <w:szCs w:val="32"/>
        </w:rPr>
        <w:t>管理机构介绍</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工作的相关情况和会议程序。</w:t>
      </w:r>
    </w:p>
    <w:p w14:paraId="6884F453">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bCs/>
          <w:w w:val="100"/>
          <w:kern w:val="0"/>
          <w:sz w:val="32"/>
          <w:szCs w:val="32"/>
        </w:rPr>
      </w:pPr>
      <w:r>
        <w:rPr>
          <w:rFonts w:ascii="Times New Roman" w:hAnsi="Times New Roman" w:eastAsia="仿宋_GB2312"/>
          <w:bCs/>
          <w:w w:val="100"/>
          <w:kern w:val="0"/>
          <w:sz w:val="32"/>
          <w:szCs w:val="32"/>
        </w:rPr>
        <w:t>（2）专家组推选组长。</w:t>
      </w:r>
    </w:p>
    <w:p w14:paraId="3D059463">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bCs/>
          <w:w w:val="100"/>
          <w:kern w:val="0"/>
          <w:sz w:val="32"/>
          <w:szCs w:val="32"/>
        </w:rPr>
        <w:t>（3）管理</w:t>
      </w:r>
      <w:r>
        <w:rPr>
          <w:rFonts w:hint="eastAsia" w:ascii="Times New Roman" w:hAnsi="Times New Roman" w:eastAsia="仿宋_GB2312"/>
          <w:bCs/>
          <w:w w:val="100"/>
          <w:kern w:val="0"/>
          <w:sz w:val="32"/>
          <w:szCs w:val="32"/>
        </w:rPr>
        <w:t>机构</w:t>
      </w:r>
      <w:r>
        <w:rPr>
          <w:rFonts w:ascii="Times New Roman" w:hAnsi="Times New Roman" w:eastAsia="仿宋_GB2312"/>
          <w:w w:val="100"/>
          <w:sz w:val="32"/>
          <w:szCs w:val="32"/>
        </w:rPr>
        <w:t>协助专家组有序开展</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工作</w:t>
      </w:r>
      <w:r>
        <w:rPr>
          <w:rFonts w:hint="eastAsia" w:ascii="Times New Roman" w:hAnsi="Times New Roman" w:eastAsia="仿宋_GB2312"/>
          <w:w w:val="100"/>
          <w:sz w:val="32"/>
          <w:szCs w:val="32"/>
        </w:rPr>
        <w:t>，申报机构进行PPT路演（10分钟）及答辩（5分钟）</w:t>
      </w:r>
      <w:r>
        <w:rPr>
          <w:rFonts w:ascii="Times New Roman" w:hAnsi="Times New Roman" w:eastAsia="仿宋_GB2312"/>
          <w:w w:val="100"/>
          <w:sz w:val="32"/>
          <w:szCs w:val="32"/>
        </w:rPr>
        <w:t>。</w:t>
      </w:r>
    </w:p>
    <w:p w14:paraId="47AA2D88">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bCs/>
          <w:w w:val="100"/>
          <w:kern w:val="0"/>
          <w:sz w:val="32"/>
          <w:szCs w:val="32"/>
        </w:rPr>
        <w:t>（4）专家组依据</w:t>
      </w:r>
      <w:r>
        <w:rPr>
          <w:rFonts w:hint="eastAsia" w:ascii="Times New Roman" w:hAnsi="Times New Roman" w:eastAsia="仿宋_GB2312"/>
          <w:bCs/>
          <w:w w:val="100"/>
          <w:kern w:val="0"/>
          <w:sz w:val="32"/>
          <w:szCs w:val="32"/>
        </w:rPr>
        <w:t>论证表（详见附表1）</w:t>
      </w:r>
      <w:r>
        <w:rPr>
          <w:rFonts w:ascii="Times New Roman" w:hAnsi="Times New Roman" w:eastAsia="仿宋_GB2312"/>
          <w:bCs/>
          <w:w w:val="100"/>
          <w:kern w:val="0"/>
          <w:sz w:val="32"/>
          <w:szCs w:val="32"/>
        </w:rPr>
        <w:t>，对</w:t>
      </w:r>
      <w:r>
        <w:rPr>
          <w:rFonts w:hint="eastAsia" w:ascii="Times New Roman" w:hAnsi="Times New Roman" w:eastAsia="仿宋_GB2312"/>
          <w:bCs/>
          <w:w w:val="100"/>
          <w:kern w:val="0"/>
          <w:sz w:val="32"/>
          <w:szCs w:val="32"/>
        </w:rPr>
        <w:t>申报机构</w:t>
      </w:r>
      <w:r>
        <w:rPr>
          <w:rFonts w:ascii="Times New Roman" w:hAnsi="Times New Roman" w:eastAsia="仿宋_GB2312"/>
          <w:w w:val="100"/>
          <w:sz w:val="32"/>
          <w:szCs w:val="32"/>
        </w:rPr>
        <w:t>独立评分，出具专家意见</w:t>
      </w:r>
      <w:r>
        <w:rPr>
          <w:rFonts w:hint="eastAsia" w:ascii="Times New Roman" w:hAnsi="Times New Roman" w:eastAsia="仿宋_GB2312"/>
          <w:w w:val="100"/>
          <w:sz w:val="32"/>
          <w:szCs w:val="32"/>
        </w:rPr>
        <w:t>，</w:t>
      </w:r>
      <w:r>
        <w:rPr>
          <w:rFonts w:ascii="Times New Roman" w:hAnsi="Times New Roman" w:eastAsia="仿宋_GB2312"/>
          <w:bCs/>
          <w:w w:val="100"/>
          <w:kern w:val="0"/>
          <w:sz w:val="32"/>
          <w:szCs w:val="32"/>
        </w:rPr>
        <w:t>形成专家评分汇总表</w:t>
      </w:r>
      <w:r>
        <w:rPr>
          <w:rFonts w:hint="eastAsia" w:ascii="Times New Roman" w:hAnsi="Times New Roman" w:eastAsia="仿宋_GB2312"/>
          <w:bCs/>
          <w:w w:val="100"/>
          <w:kern w:val="0"/>
          <w:sz w:val="32"/>
          <w:szCs w:val="32"/>
        </w:rPr>
        <w:t>（详见附表2）。</w:t>
      </w:r>
    </w:p>
    <w:p w14:paraId="627C34F5">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bCs/>
          <w:w w:val="100"/>
          <w:kern w:val="0"/>
          <w:sz w:val="32"/>
          <w:szCs w:val="32"/>
        </w:rPr>
      </w:pPr>
    </w:p>
    <w:p w14:paraId="27E2734E">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bCs/>
          <w:w w:val="100"/>
          <w:kern w:val="0"/>
          <w:sz w:val="32"/>
          <w:szCs w:val="32"/>
        </w:rPr>
      </w:pPr>
      <w:r>
        <w:rPr>
          <w:rFonts w:hint="eastAsia" w:ascii="Times New Roman" w:hAnsi="Times New Roman" w:eastAsia="仿宋_GB2312"/>
          <w:bCs/>
          <w:w w:val="100"/>
          <w:kern w:val="0"/>
          <w:sz w:val="32"/>
          <w:szCs w:val="32"/>
        </w:rPr>
        <w:t>附表：1.</w:t>
      </w:r>
      <w:r>
        <w:rPr>
          <w:rFonts w:hint="eastAsia" w:ascii="Times New Roman" w:hAnsi="Times New Roman" w:eastAsia="仿宋_GB2312"/>
          <w:bCs/>
          <w:w w:val="100"/>
          <w:kern w:val="0"/>
          <w:sz w:val="32"/>
          <w:szCs w:val="32"/>
          <w:lang w:val="en-US" w:eastAsia="zh-CN"/>
        </w:rPr>
        <w:t xml:space="preserve"> </w:t>
      </w:r>
      <w:r>
        <w:rPr>
          <w:rFonts w:hint="eastAsia" w:ascii="Times New Roman" w:hAnsi="Times New Roman" w:eastAsia="仿宋_GB2312"/>
          <w:bCs/>
          <w:w w:val="100"/>
          <w:kern w:val="0"/>
          <w:sz w:val="32"/>
          <w:szCs w:val="32"/>
        </w:rPr>
        <w:t>广西科技成果转化基金论证表</w:t>
      </w:r>
    </w:p>
    <w:p w14:paraId="1BABAE09">
      <w:pPr>
        <w:keepNext w:val="0"/>
        <w:keepLines w:val="0"/>
        <w:pageBreakBefore w:val="0"/>
        <w:widowControl w:val="0"/>
        <w:kinsoku/>
        <w:wordWrap/>
        <w:overflowPunct/>
        <w:topLinePunct w:val="0"/>
        <w:autoSpaceDE/>
        <w:autoSpaceDN/>
        <w:bidi w:val="0"/>
        <w:adjustRightInd/>
        <w:snapToGrid/>
        <w:spacing w:line="580" w:lineRule="exact"/>
        <w:ind w:firstLine="1600" w:firstLineChars="500"/>
        <w:textAlignment w:val="auto"/>
        <w:rPr>
          <w:rFonts w:ascii="Times New Roman" w:hAnsi="Times New Roman" w:eastAsia="仿宋_GB2312"/>
          <w:bCs/>
          <w:w w:val="100"/>
          <w:kern w:val="0"/>
          <w:sz w:val="32"/>
          <w:szCs w:val="32"/>
        </w:rPr>
      </w:pPr>
      <w:r>
        <w:rPr>
          <w:rFonts w:hint="eastAsia" w:ascii="Times New Roman" w:hAnsi="Times New Roman" w:eastAsia="仿宋_GB2312"/>
          <w:bCs/>
          <w:w w:val="100"/>
          <w:kern w:val="0"/>
          <w:sz w:val="32"/>
          <w:szCs w:val="32"/>
        </w:rPr>
        <w:t>2.</w:t>
      </w:r>
      <w:r>
        <w:rPr>
          <w:rFonts w:hint="eastAsia" w:ascii="Times New Roman" w:hAnsi="Times New Roman" w:eastAsia="仿宋_GB2312"/>
          <w:bCs/>
          <w:w w:val="100"/>
          <w:kern w:val="0"/>
          <w:sz w:val="32"/>
          <w:szCs w:val="32"/>
          <w:lang w:val="en-US" w:eastAsia="zh-CN"/>
        </w:rPr>
        <w:t xml:space="preserve"> </w:t>
      </w:r>
      <w:r>
        <w:rPr>
          <w:rFonts w:hint="eastAsia" w:ascii="Times New Roman" w:hAnsi="Times New Roman" w:eastAsia="仿宋_GB2312"/>
          <w:bCs/>
          <w:w w:val="100"/>
          <w:kern w:val="0"/>
          <w:sz w:val="32"/>
          <w:szCs w:val="32"/>
        </w:rPr>
        <w:t>专家评分汇总表</w:t>
      </w:r>
    </w:p>
    <w:p w14:paraId="7E906571">
      <w:pPr>
        <w:keepNext w:val="0"/>
        <w:keepLines w:val="0"/>
        <w:pageBreakBefore w:val="0"/>
        <w:widowControl w:val="0"/>
        <w:kinsoku/>
        <w:wordWrap/>
        <w:overflowPunct/>
        <w:topLinePunct w:val="0"/>
        <w:autoSpaceDE/>
        <w:autoSpaceDN/>
        <w:bidi w:val="0"/>
        <w:spacing w:line="580" w:lineRule="exact"/>
        <w:ind w:firstLine="640" w:firstLineChars="200"/>
        <w:rPr>
          <w:rFonts w:ascii="Times New Roman" w:hAnsi="Times New Roman" w:eastAsia="仿宋_GB2312"/>
          <w:bCs/>
          <w:w w:val="100"/>
          <w:kern w:val="0"/>
          <w:sz w:val="32"/>
          <w:szCs w:val="32"/>
        </w:rPr>
        <w:sectPr>
          <w:footerReference r:id="rId8" w:type="first"/>
          <w:footerReference r:id="rId7" w:type="default"/>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p>
    <w:p w14:paraId="2E469013">
      <w:pPr>
        <w:keepNext w:val="0"/>
        <w:keepLines w:val="0"/>
        <w:pageBreakBefore w:val="0"/>
        <w:widowControl w:val="0"/>
        <w:numPr>
          <w:ilvl w:val="0"/>
          <w:numId w:val="0"/>
        </w:numPr>
        <w:kinsoku/>
        <w:overflowPunct/>
        <w:topLinePunct w:val="0"/>
        <w:autoSpaceDE/>
        <w:autoSpaceDN/>
        <w:bidi w:val="0"/>
        <w:spacing w:line="580" w:lineRule="exact"/>
        <w:jc w:val="left"/>
        <w:rPr>
          <w:rFonts w:hint="eastAsia"/>
        </w:rPr>
      </w:pPr>
      <w:r>
        <w:rPr>
          <w:rFonts w:hint="default" w:ascii="Times New Roman" w:hAnsi="Times New Roman" w:eastAsia="黑体" w:cs="Times New Roman"/>
          <w:sz w:val="32"/>
          <w:szCs w:val="32"/>
        </w:rPr>
        <w:t>附表1</w:t>
      </w:r>
    </w:p>
    <w:p w14:paraId="5AC9FC93">
      <w:pPr>
        <w:pStyle w:val="7"/>
        <w:keepNext w:val="0"/>
        <w:keepLines w:val="0"/>
        <w:pageBreakBefore w:val="0"/>
        <w:widowControl w:val="0"/>
        <w:kinsoku/>
        <w:overflowPunct/>
        <w:topLinePunct w:val="0"/>
        <w:autoSpaceDE/>
        <w:autoSpaceDN/>
        <w:bidi w:val="0"/>
        <w:spacing w:before="0" w:beforeLines="0" w:after="0" w:afterLines="0" w:line="580" w:lineRule="exact"/>
        <w:rPr>
          <w:rFonts w:hint="default" w:ascii="Times New Roman" w:eastAsia="方正小标宋简体"/>
          <w:b w:val="0"/>
          <w:color w:val="000000"/>
          <w:kern w:val="0"/>
          <w:sz w:val="44"/>
          <w:szCs w:val="44"/>
          <w:lang w:bidi="ar"/>
        </w:rPr>
      </w:pPr>
      <w:r>
        <w:rPr>
          <w:rFonts w:hint="default" w:ascii="Times New Roman" w:eastAsia="方正小标宋简体"/>
          <w:b w:val="0"/>
          <w:color w:val="000000"/>
          <w:kern w:val="0"/>
          <w:sz w:val="44"/>
          <w:szCs w:val="44"/>
          <w:lang w:bidi="ar"/>
        </w:rPr>
        <w:t>广西科技成果转化基金</w:t>
      </w:r>
      <w:r>
        <w:rPr>
          <w:rFonts w:ascii="Times New Roman" w:eastAsia="方正小标宋简体"/>
          <w:b w:val="0"/>
          <w:color w:val="000000"/>
          <w:kern w:val="0"/>
          <w:sz w:val="44"/>
          <w:szCs w:val="44"/>
          <w:lang w:bidi="ar"/>
        </w:rPr>
        <w:t>论证</w:t>
      </w:r>
      <w:r>
        <w:rPr>
          <w:rFonts w:hint="default" w:ascii="Times New Roman" w:eastAsia="方正小标宋简体"/>
          <w:b w:val="0"/>
          <w:color w:val="000000"/>
          <w:kern w:val="0"/>
          <w:sz w:val="44"/>
          <w:szCs w:val="44"/>
          <w:lang w:bidi="ar"/>
        </w:rPr>
        <w:t>表</w:t>
      </w:r>
    </w:p>
    <w:p w14:paraId="0F426891">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rPr>
      </w:pPr>
    </w:p>
    <w:tbl>
      <w:tblPr>
        <w:tblStyle w:val="16"/>
        <w:tblW w:w="96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42"/>
        <w:gridCol w:w="1542"/>
        <w:gridCol w:w="4693"/>
        <w:gridCol w:w="813"/>
        <w:gridCol w:w="826"/>
      </w:tblGrid>
      <w:tr w14:paraId="1C0C20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5" w:hRule="atLeast"/>
          <w:jc w:val="center"/>
        </w:trPr>
        <w:tc>
          <w:tcPr>
            <w:tcW w:w="1742" w:type="dxa"/>
            <w:tcBorders>
              <w:tl2br w:val="nil"/>
              <w:tr2bl w:val="nil"/>
            </w:tcBorders>
            <w:noWrap/>
            <w:vAlign w:val="center"/>
          </w:tcPr>
          <w:p w14:paraId="3F776A4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基金名称</w:t>
            </w:r>
          </w:p>
        </w:tc>
        <w:tc>
          <w:tcPr>
            <w:tcW w:w="7874" w:type="dxa"/>
            <w:gridSpan w:val="4"/>
            <w:tcBorders>
              <w:tl2br w:val="nil"/>
              <w:tr2bl w:val="nil"/>
            </w:tcBorders>
            <w:noWrap w:val="0"/>
            <w:vAlign w:val="center"/>
          </w:tcPr>
          <w:p w14:paraId="5058EF00">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ascii="Times New Roman" w:hAnsi="Times New Roman" w:eastAsia="仿宋_GB2312"/>
                <w:color w:val="000000"/>
                <w:sz w:val="24"/>
              </w:rPr>
            </w:pPr>
          </w:p>
        </w:tc>
      </w:tr>
      <w:tr w14:paraId="45977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1" w:hRule="atLeast"/>
          <w:jc w:val="center"/>
        </w:trPr>
        <w:tc>
          <w:tcPr>
            <w:tcW w:w="1742" w:type="dxa"/>
            <w:tcBorders>
              <w:tl2br w:val="nil"/>
              <w:tr2bl w:val="nil"/>
            </w:tcBorders>
            <w:noWrap/>
            <w:vAlign w:val="center"/>
          </w:tcPr>
          <w:p w14:paraId="2833646F">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基金管理单位</w:t>
            </w:r>
          </w:p>
        </w:tc>
        <w:tc>
          <w:tcPr>
            <w:tcW w:w="7874" w:type="dxa"/>
            <w:gridSpan w:val="4"/>
            <w:tcBorders>
              <w:tl2br w:val="nil"/>
              <w:tr2bl w:val="nil"/>
            </w:tcBorders>
            <w:noWrap w:val="0"/>
            <w:vAlign w:val="center"/>
          </w:tcPr>
          <w:p w14:paraId="3F9319B8">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ascii="Times New Roman" w:hAnsi="Times New Roman" w:eastAsia="仿宋_GB2312"/>
                <w:color w:val="000000"/>
                <w:sz w:val="24"/>
              </w:rPr>
            </w:pPr>
          </w:p>
        </w:tc>
      </w:tr>
      <w:tr w14:paraId="484406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tcBorders>
              <w:tl2br w:val="nil"/>
              <w:tr2bl w:val="nil"/>
            </w:tcBorders>
            <w:noWrap/>
            <w:vAlign w:val="center"/>
          </w:tcPr>
          <w:p w14:paraId="1D993BAB">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一级指标</w:t>
            </w:r>
          </w:p>
        </w:tc>
        <w:tc>
          <w:tcPr>
            <w:tcW w:w="1542" w:type="dxa"/>
            <w:tcBorders>
              <w:tl2br w:val="nil"/>
              <w:tr2bl w:val="nil"/>
            </w:tcBorders>
            <w:noWrap w:val="0"/>
            <w:vAlign w:val="center"/>
          </w:tcPr>
          <w:p w14:paraId="25772FCA">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二级指标</w:t>
            </w:r>
          </w:p>
        </w:tc>
        <w:tc>
          <w:tcPr>
            <w:tcW w:w="4693" w:type="dxa"/>
            <w:tcBorders>
              <w:tl2br w:val="nil"/>
              <w:tr2bl w:val="nil"/>
            </w:tcBorders>
            <w:noWrap w:val="0"/>
            <w:vAlign w:val="center"/>
          </w:tcPr>
          <w:p w14:paraId="6D75853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评分标准</w:t>
            </w:r>
          </w:p>
        </w:tc>
        <w:tc>
          <w:tcPr>
            <w:tcW w:w="813" w:type="dxa"/>
            <w:tcBorders>
              <w:tl2br w:val="nil"/>
              <w:tr2bl w:val="nil"/>
            </w:tcBorders>
            <w:noWrap/>
            <w:vAlign w:val="center"/>
          </w:tcPr>
          <w:p w14:paraId="7122292E">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分值</w:t>
            </w:r>
          </w:p>
        </w:tc>
        <w:tc>
          <w:tcPr>
            <w:tcW w:w="826" w:type="dxa"/>
            <w:tcBorders>
              <w:tl2br w:val="nil"/>
              <w:tr2bl w:val="nil"/>
            </w:tcBorders>
            <w:noWrap/>
            <w:vAlign w:val="center"/>
          </w:tcPr>
          <w:p w14:paraId="68242C7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得分</w:t>
            </w:r>
          </w:p>
        </w:tc>
      </w:tr>
      <w:tr w14:paraId="4C8952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restart"/>
            <w:tcBorders>
              <w:tl2br w:val="nil"/>
              <w:tr2bl w:val="nil"/>
            </w:tcBorders>
            <w:noWrap/>
            <w:vAlign w:val="center"/>
          </w:tcPr>
          <w:p w14:paraId="6A0E4B6B">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基金管理机构</w:t>
            </w:r>
          </w:p>
          <w:p w14:paraId="19060834">
            <w:pPr>
              <w:pStyle w:val="15"/>
              <w:spacing w:line="320" w:lineRule="exact"/>
              <w:ind w:left="0" w:leftChars="0" w:firstLine="0" w:firstLineChars="0"/>
              <w:jc w:val="center"/>
            </w:pPr>
            <w:r>
              <w:rPr>
                <w:rFonts w:hint="eastAsia" w:eastAsia="仿宋_GB2312"/>
                <w:color w:val="000000"/>
              </w:rPr>
              <w:t>（50分）</w:t>
            </w:r>
          </w:p>
        </w:tc>
        <w:tc>
          <w:tcPr>
            <w:tcW w:w="1542" w:type="dxa"/>
            <w:tcBorders>
              <w:tl2br w:val="nil"/>
              <w:tr2bl w:val="nil"/>
            </w:tcBorders>
            <w:noWrap w:val="0"/>
            <w:vAlign w:val="center"/>
          </w:tcPr>
          <w:p w14:paraId="370A1B52">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基本条件</w:t>
            </w:r>
          </w:p>
        </w:tc>
        <w:tc>
          <w:tcPr>
            <w:tcW w:w="4693" w:type="dxa"/>
            <w:tcBorders>
              <w:tl2br w:val="nil"/>
              <w:tr2bl w:val="nil"/>
            </w:tcBorders>
            <w:noWrap w:val="0"/>
            <w:vAlign w:val="center"/>
          </w:tcPr>
          <w:p w14:paraId="6AB5C8A1">
            <w:pPr>
              <w:adjustRightInd w:val="0"/>
              <w:snapToGrid w:val="0"/>
              <w:spacing w:line="320" w:lineRule="exact"/>
              <w:jc w:val="left"/>
              <w:rPr>
                <w:rFonts w:hint="eastAsia" w:ascii="Times New Roman" w:hAnsi="Times New Roman" w:eastAsia="仿宋_GB2312"/>
                <w:color w:val="000000"/>
                <w:sz w:val="24"/>
              </w:rPr>
            </w:pPr>
            <w:r>
              <w:rPr>
                <w:rFonts w:ascii="Times New Roman" w:hAnsi="Times New Roman" w:eastAsia="仿宋_GB2312"/>
                <w:sz w:val="24"/>
              </w:rPr>
              <w:t>符合《广西科技成果转化基金管理办法</w:t>
            </w:r>
            <w:r>
              <w:rPr>
                <w:rFonts w:hint="eastAsia" w:ascii="Times New Roman" w:hAnsi="Times New Roman" w:eastAsia="仿宋_GB2312"/>
                <w:sz w:val="24"/>
              </w:rPr>
              <w:t>（试行）</w:t>
            </w:r>
            <w:r>
              <w:rPr>
                <w:rFonts w:ascii="Times New Roman" w:hAnsi="Times New Roman" w:eastAsia="仿宋_GB2312"/>
                <w:sz w:val="24"/>
              </w:rPr>
              <w:t>》第十</w:t>
            </w:r>
            <w:r>
              <w:rPr>
                <w:rFonts w:hint="eastAsia" w:ascii="Times New Roman" w:hAnsi="Times New Roman" w:eastAsia="仿宋_GB2312"/>
                <w:sz w:val="24"/>
              </w:rPr>
              <w:t>七</w:t>
            </w:r>
            <w:r>
              <w:rPr>
                <w:rFonts w:ascii="Times New Roman" w:hAnsi="Times New Roman" w:eastAsia="仿宋_GB2312"/>
                <w:sz w:val="24"/>
              </w:rPr>
              <w:t>条要求</w:t>
            </w:r>
            <w:r>
              <w:rPr>
                <w:rFonts w:hint="eastAsia" w:ascii="Times New Roman" w:hAnsi="Times New Roman" w:eastAsia="仿宋_GB2312"/>
                <w:sz w:val="24"/>
              </w:rPr>
              <w:t>。</w:t>
            </w:r>
          </w:p>
        </w:tc>
        <w:tc>
          <w:tcPr>
            <w:tcW w:w="813" w:type="dxa"/>
            <w:tcBorders>
              <w:tl2br w:val="nil"/>
              <w:tr2bl w:val="nil"/>
            </w:tcBorders>
            <w:noWrap/>
            <w:vAlign w:val="center"/>
          </w:tcPr>
          <w:p w14:paraId="6AEA49C7">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30</w:t>
            </w:r>
          </w:p>
        </w:tc>
        <w:tc>
          <w:tcPr>
            <w:tcW w:w="826" w:type="dxa"/>
            <w:tcBorders>
              <w:tl2br w:val="nil"/>
              <w:tr2bl w:val="nil"/>
            </w:tcBorders>
            <w:noWrap/>
            <w:vAlign w:val="center"/>
          </w:tcPr>
          <w:p w14:paraId="239579DB">
            <w:pPr>
              <w:adjustRightInd w:val="0"/>
              <w:snapToGrid w:val="0"/>
              <w:spacing w:line="320" w:lineRule="exact"/>
              <w:jc w:val="center"/>
              <w:rPr>
                <w:rFonts w:ascii="Times New Roman" w:hAnsi="Times New Roman" w:eastAsia="仿宋_GB2312"/>
                <w:color w:val="000000"/>
                <w:sz w:val="24"/>
              </w:rPr>
            </w:pPr>
          </w:p>
        </w:tc>
      </w:tr>
      <w:tr w14:paraId="3FBB06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continue"/>
            <w:tcBorders>
              <w:tl2br w:val="nil"/>
              <w:tr2bl w:val="nil"/>
            </w:tcBorders>
            <w:noWrap/>
            <w:vAlign w:val="center"/>
          </w:tcPr>
          <w:p w14:paraId="6579D4E0">
            <w:pPr>
              <w:adjustRightInd w:val="0"/>
              <w:snapToGrid w:val="0"/>
              <w:spacing w:line="320" w:lineRule="exact"/>
              <w:jc w:val="center"/>
              <w:rPr>
                <w:rFonts w:hint="eastAsia" w:ascii="Times New Roman" w:hAnsi="Times New Roman" w:eastAsia="仿宋_GB2312"/>
                <w:color w:val="000000"/>
                <w:sz w:val="24"/>
              </w:rPr>
            </w:pPr>
          </w:p>
        </w:tc>
        <w:tc>
          <w:tcPr>
            <w:tcW w:w="1542" w:type="dxa"/>
            <w:tcBorders>
              <w:tl2br w:val="nil"/>
              <w:tr2bl w:val="nil"/>
            </w:tcBorders>
            <w:noWrap w:val="0"/>
            <w:vAlign w:val="center"/>
          </w:tcPr>
          <w:p w14:paraId="67E712BA">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创立年限及背景</w:t>
            </w:r>
          </w:p>
        </w:tc>
        <w:tc>
          <w:tcPr>
            <w:tcW w:w="4693" w:type="dxa"/>
            <w:tcBorders>
              <w:tl2br w:val="nil"/>
              <w:tr2bl w:val="nil"/>
            </w:tcBorders>
            <w:noWrap w:val="0"/>
            <w:vAlign w:val="center"/>
          </w:tcPr>
          <w:p w14:paraId="18883E1B">
            <w:pPr>
              <w:adjustRightInd w:val="0"/>
              <w:snapToGrid w:val="0"/>
              <w:spacing w:line="320" w:lineRule="exact"/>
              <w:jc w:val="left"/>
              <w:rPr>
                <w:rFonts w:ascii="Times New Roman" w:hAnsi="Times New Roman" w:eastAsia="仿宋_GB2312"/>
                <w:sz w:val="24"/>
              </w:rPr>
            </w:pPr>
            <w:r>
              <w:rPr>
                <w:rFonts w:ascii="Times New Roman" w:hAnsi="Times New Roman" w:eastAsia="仿宋_GB2312"/>
                <w:sz w:val="24"/>
              </w:rPr>
              <w:t>1.创立年限</w:t>
            </w:r>
            <w:r>
              <w:rPr>
                <w:rFonts w:hint="eastAsia" w:ascii="Times New Roman" w:hAnsi="Times New Roman" w:eastAsia="仿宋_GB2312"/>
                <w:sz w:val="24"/>
              </w:rPr>
              <w:t>10</w:t>
            </w:r>
            <w:r>
              <w:rPr>
                <w:rFonts w:ascii="Times New Roman" w:hAnsi="Times New Roman" w:eastAsia="仿宋_GB2312"/>
                <w:sz w:val="24"/>
              </w:rPr>
              <w:t>年</w:t>
            </w:r>
            <w:r>
              <w:rPr>
                <w:rFonts w:hint="eastAsia" w:ascii="Times New Roman" w:hAnsi="Times New Roman" w:eastAsia="仿宋_GB2312"/>
                <w:sz w:val="24"/>
              </w:rPr>
              <w:t>（含）</w:t>
            </w:r>
            <w:r>
              <w:rPr>
                <w:rFonts w:ascii="Times New Roman" w:hAnsi="Times New Roman" w:eastAsia="仿宋_GB2312"/>
                <w:sz w:val="24"/>
              </w:rPr>
              <w:t>以上，</w:t>
            </w:r>
            <w:r>
              <w:rPr>
                <w:rFonts w:hint="eastAsia" w:ascii="Times New Roman" w:hAnsi="Times New Roman" w:eastAsia="仿宋_GB2312"/>
                <w:sz w:val="24"/>
              </w:rPr>
              <w:t>股东</w:t>
            </w:r>
            <w:r>
              <w:rPr>
                <w:rFonts w:ascii="Times New Roman" w:hAnsi="Times New Roman" w:eastAsia="仿宋_GB2312"/>
                <w:sz w:val="24"/>
              </w:rPr>
              <w:t>背景有金融控股公司、大型投资机构或国有资本，得</w:t>
            </w:r>
            <w:r>
              <w:rPr>
                <w:rFonts w:hint="eastAsia" w:ascii="Times New Roman" w:hAnsi="Times New Roman" w:eastAsia="仿宋_GB2312"/>
                <w:sz w:val="24"/>
              </w:rPr>
              <w:t>5</w:t>
            </w:r>
            <w:r>
              <w:rPr>
                <w:rFonts w:ascii="Times New Roman" w:hAnsi="Times New Roman" w:eastAsia="仿宋_GB2312"/>
                <w:sz w:val="24"/>
              </w:rPr>
              <w:t>分；</w:t>
            </w:r>
          </w:p>
          <w:p w14:paraId="1B146DAC">
            <w:pPr>
              <w:adjustRightInd w:val="0"/>
              <w:snapToGrid w:val="0"/>
              <w:spacing w:line="320" w:lineRule="exact"/>
              <w:jc w:val="left"/>
              <w:rPr>
                <w:rFonts w:ascii="Times New Roman" w:hAnsi="Times New Roman" w:eastAsia="仿宋_GB2312"/>
                <w:sz w:val="24"/>
              </w:rPr>
            </w:pPr>
            <w:r>
              <w:rPr>
                <w:rFonts w:ascii="Times New Roman" w:hAnsi="Times New Roman" w:eastAsia="仿宋_GB2312"/>
                <w:sz w:val="24"/>
              </w:rPr>
              <w:t>2.创立年限</w:t>
            </w:r>
            <w:r>
              <w:rPr>
                <w:rFonts w:hint="eastAsia" w:ascii="Times New Roman" w:hAnsi="Times New Roman" w:eastAsia="仿宋_GB2312"/>
                <w:sz w:val="24"/>
              </w:rPr>
              <w:t>5（含）～9</w:t>
            </w:r>
            <w:r>
              <w:rPr>
                <w:rFonts w:ascii="Times New Roman" w:hAnsi="Times New Roman" w:eastAsia="仿宋_GB2312"/>
                <w:sz w:val="24"/>
              </w:rPr>
              <w:t>年</w:t>
            </w:r>
            <w:r>
              <w:rPr>
                <w:rFonts w:hint="eastAsia" w:ascii="Times New Roman" w:hAnsi="Times New Roman" w:eastAsia="仿宋_GB2312"/>
                <w:sz w:val="24"/>
              </w:rPr>
              <w:t>（含）</w:t>
            </w:r>
            <w:r>
              <w:rPr>
                <w:rFonts w:ascii="Times New Roman" w:hAnsi="Times New Roman" w:eastAsia="仿宋_GB2312"/>
                <w:sz w:val="24"/>
              </w:rPr>
              <w:t>，</w:t>
            </w:r>
            <w:r>
              <w:rPr>
                <w:rFonts w:hint="eastAsia" w:ascii="Times New Roman" w:hAnsi="Times New Roman" w:eastAsia="仿宋_GB2312"/>
                <w:sz w:val="24"/>
              </w:rPr>
              <w:t>股东</w:t>
            </w:r>
            <w:r>
              <w:rPr>
                <w:rFonts w:ascii="Times New Roman" w:hAnsi="Times New Roman" w:eastAsia="仿宋_GB2312"/>
                <w:sz w:val="24"/>
              </w:rPr>
              <w:t>背景有金融控股公司、大型投资机构或国有资本，得</w:t>
            </w:r>
            <w:r>
              <w:rPr>
                <w:rFonts w:hint="eastAsia" w:ascii="Times New Roman" w:hAnsi="Times New Roman" w:eastAsia="仿宋_GB2312"/>
                <w:sz w:val="24"/>
              </w:rPr>
              <w:t>3</w:t>
            </w:r>
            <w:r>
              <w:rPr>
                <w:rFonts w:ascii="Times New Roman" w:hAnsi="Times New Roman" w:eastAsia="仿宋_GB2312"/>
                <w:sz w:val="24"/>
              </w:rPr>
              <w:t>分；</w:t>
            </w:r>
          </w:p>
          <w:p w14:paraId="5208EC23">
            <w:pPr>
              <w:adjustRightInd w:val="0"/>
              <w:snapToGrid w:val="0"/>
              <w:spacing w:line="320" w:lineRule="exact"/>
              <w:jc w:val="left"/>
            </w:pPr>
            <w:r>
              <w:rPr>
                <w:rFonts w:ascii="Times New Roman" w:hAnsi="Times New Roman" w:eastAsia="仿宋_GB2312"/>
                <w:sz w:val="24"/>
              </w:rPr>
              <w:t>3.创立年限</w:t>
            </w:r>
            <w:r>
              <w:rPr>
                <w:rFonts w:hint="eastAsia" w:ascii="Times New Roman" w:hAnsi="Times New Roman" w:eastAsia="仿宋_GB2312"/>
                <w:sz w:val="24"/>
              </w:rPr>
              <w:t>5</w:t>
            </w:r>
            <w:r>
              <w:rPr>
                <w:rFonts w:ascii="Times New Roman" w:hAnsi="Times New Roman" w:eastAsia="仿宋_GB2312"/>
                <w:sz w:val="24"/>
              </w:rPr>
              <w:t>年</w:t>
            </w:r>
            <w:r>
              <w:rPr>
                <w:rFonts w:hint="eastAsia" w:ascii="Times New Roman" w:hAnsi="Times New Roman" w:eastAsia="仿宋_GB2312"/>
                <w:sz w:val="24"/>
              </w:rPr>
              <w:t>以下</w:t>
            </w:r>
            <w:r>
              <w:rPr>
                <w:rFonts w:ascii="Times New Roman" w:hAnsi="Times New Roman" w:eastAsia="仿宋_GB2312"/>
                <w:sz w:val="24"/>
              </w:rPr>
              <w:t>，</w:t>
            </w:r>
            <w:r>
              <w:rPr>
                <w:rFonts w:hint="eastAsia" w:ascii="Times New Roman" w:hAnsi="Times New Roman" w:eastAsia="仿宋_GB2312"/>
                <w:sz w:val="24"/>
              </w:rPr>
              <w:t>股东</w:t>
            </w:r>
            <w:r>
              <w:rPr>
                <w:rFonts w:ascii="Times New Roman" w:hAnsi="Times New Roman" w:eastAsia="仿宋_GB2312"/>
                <w:sz w:val="24"/>
              </w:rPr>
              <w:t>背景有国有资本或均为民营</w:t>
            </w:r>
            <w:r>
              <w:rPr>
                <w:rFonts w:hint="eastAsia" w:ascii="Times New Roman" w:hAnsi="Times New Roman" w:eastAsia="仿宋_GB2312"/>
                <w:sz w:val="24"/>
              </w:rPr>
              <w:t>资本</w:t>
            </w:r>
            <w:r>
              <w:rPr>
                <w:rFonts w:ascii="Times New Roman" w:hAnsi="Times New Roman" w:eastAsia="仿宋_GB2312"/>
                <w:sz w:val="24"/>
              </w:rPr>
              <w:t>，</w:t>
            </w:r>
            <w:r>
              <w:rPr>
                <w:rFonts w:hint="eastAsia" w:ascii="Times New Roman" w:hAnsi="Times New Roman" w:eastAsia="仿宋_GB2312"/>
                <w:sz w:val="24"/>
              </w:rPr>
              <w:t>得1</w:t>
            </w:r>
            <w:r>
              <w:rPr>
                <w:rFonts w:ascii="Times New Roman" w:hAnsi="Times New Roman" w:eastAsia="仿宋_GB2312"/>
                <w:sz w:val="24"/>
              </w:rPr>
              <w:t>分。</w:t>
            </w:r>
          </w:p>
        </w:tc>
        <w:tc>
          <w:tcPr>
            <w:tcW w:w="813" w:type="dxa"/>
            <w:tcBorders>
              <w:tl2br w:val="nil"/>
              <w:tr2bl w:val="nil"/>
            </w:tcBorders>
            <w:noWrap/>
            <w:vAlign w:val="center"/>
          </w:tcPr>
          <w:p w14:paraId="19A98ABA">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45917F3A">
            <w:pPr>
              <w:adjustRightInd w:val="0"/>
              <w:snapToGrid w:val="0"/>
              <w:spacing w:line="320" w:lineRule="exact"/>
              <w:jc w:val="center"/>
              <w:rPr>
                <w:rFonts w:ascii="Times New Roman" w:hAnsi="Times New Roman" w:eastAsia="仿宋_GB2312"/>
                <w:color w:val="000000"/>
                <w:sz w:val="24"/>
              </w:rPr>
            </w:pPr>
          </w:p>
        </w:tc>
      </w:tr>
      <w:tr w14:paraId="6952F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continue"/>
            <w:tcBorders>
              <w:tl2br w:val="nil"/>
              <w:tr2bl w:val="nil"/>
            </w:tcBorders>
            <w:noWrap/>
            <w:vAlign w:val="center"/>
          </w:tcPr>
          <w:p w14:paraId="0CE0728A">
            <w:pPr>
              <w:adjustRightInd w:val="0"/>
              <w:snapToGrid w:val="0"/>
              <w:spacing w:line="320" w:lineRule="exact"/>
              <w:jc w:val="center"/>
              <w:rPr>
                <w:rFonts w:hint="eastAsia" w:ascii="Times New Roman" w:hAnsi="Times New Roman" w:eastAsia="仿宋_GB2312"/>
                <w:color w:val="000000"/>
                <w:sz w:val="24"/>
              </w:rPr>
            </w:pPr>
          </w:p>
        </w:tc>
        <w:tc>
          <w:tcPr>
            <w:tcW w:w="1542" w:type="dxa"/>
            <w:tcBorders>
              <w:tl2br w:val="nil"/>
              <w:tr2bl w:val="nil"/>
            </w:tcBorders>
            <w:noWrap w:val="0"/>
            <w:vAlign w:val="center"/>
          </w:tcPr>
          <w:p w14:paraId="5E90BDB4">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基金管理规模</w:t>
            </w:r>
          </w:p>
        </w:tc>
        <w:tc>
          <w:tcPr>
            <w:tcW w:w="4693" w:type="dxa"/>
            <w:tcBorders>
              <w:tl2br w:val="nil"/>
              <w:tr2bl w:val="nil"/>
            </w:tcBorders>
            <w:noWrap w:val="0"/>
            <w:vAlign w:val="center"/>
          </w:tcPr>
          <w:p w14:paraId="72ECCC50">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1.累计认缴基金管理规模10亿元以上（含10亿元），得10分；</w:t>
            </w:r>
          </w:p>
          <w:p w14:paraId="52CDADC6">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2.累计认缴基金管理规模5亿元</w:t>
            </w:r>
            <w:r>
              <w:rPr>
                <w:rFonts w:hint="eastAsia" w:ascii="Times New Roman" w:hAnsi="Times New Roman" w:eastAsia="仿宋_GB2312"/>
                <w:sz w:val="24"/>
              </w:rPr>
              <w:t>～</w:t>
            </w:r>
            <w:r>
              <w:rPr>
                <w:rFonts w:hint="eastAsia" w:ascii="Times New Roman" w:hAnsi="Times New Roman" w:eastAsia="仿宋_GB2312"/>
                <w:color w:val="000000"/>
                <w:sz w:val="24"/>
              </w:rPr>
              <w:t>10亿元（含5亿元），得6分；</w:t>
            </w:r>
          </w:p>
          <w:p w14:paraId="1E63DBFC">
            <w:pPr>
              <w:adjustRightInd w:val="0"/>
              <w:snapToGrid w:val="0"/>
              <w:spacing w:line="320" w:lineRule="exact"/>
              <w:jc w:val="left"/>
              <w:rPr>
                <w:rFonts w:ascii="Times New Roman" w:hAnsi="Times New Roman" w:eastAsia="仿宋_GB2312"/>
                <w:color w:val="000000"/>
                <w:sz w:val="24"/>
              </w:rPr>
            </w:pPr>
            <w:r>
              <w:rPr>
                <w:rFonts w:hint="eastAsia" w:ascii="Times New Roman" w:hAnsi="Times New Roman" w:eastAsia="仿宋_GB2312"/>
                <w:color w:val="000000"/>
                <w:sz w:val="24"/>
              </w:rPr>
              <w:t>3.累计认缴基金管理规模5亿元以下，得3分。</w:t>
            </w:r>
          </w:p>
        </w:tc>
        <w:tc>
          <w:tcPr>
            <w:tcW w:w="813" w:type="dxa"/>
            <w:tcBorders>
              <w:tl2br w:val="nil"/>
              <w:tr2bl w:val="nil"/>
            </w:tcBorders>
            <w:noWrap/>
            <w:vAlign w:val="center"/>
          </w:tcPr>
          <w:p w14:paraId="5B617B9F">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10</w:t>
            </w:r>
          </w:p>
        </w:tc>
        <w:tc>
          <w:tcPr>
            <w:tcW w:w="826" w:type="dxa"/>
            <w:tcBorders>
              <w:tl2br w:val="nil"/>
              <w:tr2bl w:val="nil"/>
            </w:tcBorders>
            <w:noWrap/>
            <w:vAlign w:val="center"/>
          </w:tcPr>
          <w:p w14:paraId="2F6BEF2C">
            <w:pPr>
              <w:adjustRightInd w:val="0"/>
              <w:snapToGrid w:val="0"/>
              <w:spacing w:line="320" w:lineRule="exact"/>
              <w:jc w:val="center"/>
              <w:rPr>
                <w:rFonts w:ascii="Times New Roman" w:hAnsi="Times New Roman" w:eastAsia="仿宋_GB2312"/>
                <w:color w:val="000000"/>
                <w:sz w:val="24"/>
              </w:rPr>
            </w:pPr>
          </w:p>
        </w:tc>
      </w:tr>
      <w:tr w14:paraId="0E852F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continue"/>
            <w:tcBorders>
              <w:tl2br w:val="nil"/>
              <w:tr2bl w:val="nil"/>
            </w:tcBorders>
            <w:noWrap/>
            <w:vAlign w:val="center"/>
          </w:tcPr>
          <w:p w14:paraId="157661C6">
            <w:pPr>
              <w:adjustRightInd w:val="0"/>
              <w:snapToGrid w:val="0"/>
              <w:spacing w:line="320" w:lineRule="exact"/>
              <w:jc w:val="center"/>
              <w:rPr>
                <w:rFonts w:hint="eastAsia" w:ascii="Times New Roman" w:hAnsi="Times New Roman" w:eastAsia="仿宋_GB2312"/>
                <w:color w:val="000000"/>
                <w:sz w:val="24"/>
              </w:rPr>
            </w:pPr>
          </w:p>
        </w:tc>
        <w:tc>
          <w:tcPr>
            <w:tcW w:w="1542" w:type="dxa"/>
            <w:tcBorders>
              <w:tl2br w:val="nil"/>
              <w:tr2bl w:val="nil"/>
            </w:tcBorders>
            <w:noWrap w:val="0"/>
            <w:vAlign w:val="center"/>
          </w:tcPr>
          <w:p w14:paraId="1451A168">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政府引导基金管理经验</w:t>
            </w:r>
          </w:p>
        </w:tc>
        <w:tc>
          <w:tcPr>
            <w:tcW w:w="4693" w:type="dxa"/>
            <w:tcBorders>
              <w:tl2br w:val="nil"/>
              <w:tr2bl w:val="nil"/>
            </w:tcBorders>
            <w:noWrap w:val="0"/>
            <w:vAlign w:val="center"/>
          </w:tcPr>
          <w:p w14:paraId="2FBEF7B5">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1.具有管理3支及以上政府引导基金经验，得5分；</w:t>
            </w:r>
          </w:p>
          <w:p w14:paraId="5BD52406">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2.具有管理2支政府引导基金经验，得3分；</w:t>
            </w:r>
          </w:p>
          <w:p w14:paraId="6C6E085B">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3.具有管理1支政府引导基金经验，得1分；</w:t>
            </w:r>
          </w:p>
          <w:p w14:paraId="1C7E3D27">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4.未有管理政府基金工作经验，得0分。</w:t>
            </w:r>
          </w:p>
        </w:tc>
        <w:tc>
          <w:tcPr>
            <w:tcW w:w="813" w:type="dxa"/>
            <w:tcBorders>
              <w:tl2br w:val="nil"/>
              <w:tr2bl w:val="nil"/>
            </w:tcBorders>
            <w:noWrap/>
            <w:vAlign w:val="center"/>
          </w:tcPr>
          <w:p w14:paraId="2EA6E0CD">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3560C489">
            <w:pPr>
              <w:adjustRightInd w:val="0"/>
              <w:snapToGrid w:val="0"/>
              <w:spacing w:line="320" w:lineRule="exact"/>
              <w:jc w:val="center"/>
              <w:rPr>
                <w:rFonts w:ascii="Times New Roman" w:hAnsi="Times New Roman" w:eastAsia="仿宋_GB2312"/>
                <w:color w:val="000000"/>
                <w:sz w:val="24"/>
              </w:rPr>
            </w:pPr>
          </w:p>
        </w:tc>
      </w:tr>
      <w:tr w14:paraId="538ED0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restart"/>
            <w:tcBorders>
              <w:tl2br w:val="nil"/>
              <w:tr2bl w:val="nil"/>
            </w:tcBorders>
            <w:noWrap/>
            <w:vAlign w:val="center"/>
          </w:tcPr>
          <w:p w14:paraId="21998FF8">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基金方案</w:t>
            </w:r>
          </w:p>
          <w:p w14:paraId="0B7E041A">
            <w:pPr>
              <w:pStyle w:val="15"/>
              <w:spacing w:line="320" w:lineRule="exact"/>
              <w:ind w:left="0" w:leftChars="0" w:firstLine="0" w:firstLineChars="0"/>
              <w:jc w:val="center"/>
              <w:rPr>
                <w:rFonts w:hint="eastAsia"/>
              </w:rPr>
            </w:pPr>
            <w:r>
              <w:rPr>
                <w:rFonts w:hint="eastAsia" w:eastAsia="仿宋_GB2312"/>
                <w:color w:val="000000"/>
              </w:rPr>
              <w:t>（38分）</w:t>
            </w:r>
          </w:p>
        </w:tc>
        <w:tc>
          <w:tcPr>
            <w:tcW w:w="1542" w:type="dxa"/>
            <w:tcBorders>
              <w:tl2br w:val="nil"/>
              <w:tr2bl w:val="nil"/>
            </w:tcBorders>
            <w:noWrap w:val="0"/>
            <w:vAlign w:val="center"/>
          </w:tcPr>
          <w:p w14:paraId="506E7A6D">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基金设立背景及行业分析</w:t>
            </w:r>
          </w:p>
        </w:tc>
        <w:tc>
          <w:tcPr>
            <w:tcW w:w="4693" w:type="dxa"/>
            <w:tcBorders>
              <w:tl2br w:val="nil"/>
              <w:tr2bl w:val="nil"/>
            </w:tcBorders>
            <w:noWrap w:val="0"/>
            <w:vAlign w:val="center"/>
          </w:tcPr>
          <w:p w14:paraId="18A4342D">
            <w:pPr>
              <w:adjustRightInd w:val="0"/>
              <w:snapToGrid w:val="0"/>
              <w:spacing w:line="320" w:lineRule="exact"/>
              <w:jc w:val="left"/>
              <w:rPr>
                <w:rFonts w:ascii="Times New Roman" w:hAnsi="Times New Roman" w:eastAsia="仿宋_GB2312"/>
                <w:color w:val="000000"/>
                <w:sz w:val="24"/>
              </w:rPr>
            </w:pPr>
            <w:r>
              <w:rPr>
                <w:rFonts w:hint="eastAsia" w:ascii="Times New Roman" w:hAnsi="Times New Roman" w:eastAsia="仿宋_GB2312"/>
                <w:color w:val="000000"/>
                <w:sz w:val="24"/>
              </w:rPr>
              <w:t>1.基金设立背景充分，行业分析清晰，投资方向符合广西现代化产业体系的规划和部署，有助于优质企业落户广西，促进广西产业链的强链补链，助力本地企业扩大规模、提升技术水平，推动优质企业走向资本市场，得</w:t>
            </w:r>
            <w:r>
              <w:rPr>
                <w:rFonts w:ascii="Times New Roman" w:hAnsi="Times New Roman" w:eastAsia="仿宋_GB2312"/>
                <w:color w:val="000000"/>
                <w:sz w:val="24"/>
              </w:rPr>
              <w:t>4～5</w:t>
            </w:r>
            <w:r>
              <w:rPr>
                <w:rFonts w:hint="eastAsia" w:ascii="Times New Roman" w:hAnsi="Times New Roman" w:eastAsia="仿宋_GB2312"/>
                <w:color w:val="000000"/>
                <w:sz w:val="24"/>
              </w:rPr>
              <w:t>分；</w:t>
            </w:r>
          </w:p>
          <w:p w14:paraId="5B5E14BB">
            <w:pPr>
              <w:adjustRightInd w:val="0"/>
              <w:snapToGrid w:val="0"/>
              <w:spacing w:line="320" w:lineRule="exact"/>
              <w:jc w:val="left"/>
            </w:pPr>
            <w:r>
              <w:rPr>
                <w:rFonts w:hint="eastAsia" w:ascii="Times New Roman" w:hAnsi="Times New Roman" w:eastAsia="仿宋_GB2312"/>
                <w:color w:val="000000"/>
                <w:sz w:val="24"/>
              </w:rPr>
              <w:t>2.基金设立背景及行业分析比较笼统，与广西现代化产业体系的规划和部署契合度一般，未充分结合广西产业特色，得1～3分。</w:t>
            </w:r>
          </w:p>
        </w:tc>
        <w:tc>
          <w:tcPr>
            <w:tcW w:w="813" w:type="dxa"/>
            <w:tcBorders>
              <w:tl2br w:val="nil"/>
              <w:tr2bl w:val="nil"/>
            </w:tcBorders>
            <w:noWrap/>
            <w:vAlign w:val="center"/>
          </w:tcPr>
          <w:p w14:paraId="59220F4A">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0E003DC7">
            <w:pPr>
              <w:adjustRightInd w:val="0"/>
              <w:snapToGrid w:val="0"/>
              <w:spacing w:line="320" w:lineRule="exact"/>
              <w:jc w:val="center"/>
              <w:rPr>
                <w:rFonts w:ascii="Times New Roman" w:hAnsi="Times New Roman" w:eastAsia="仿宋_GB2312"/>
                <w:color w:val="000000"/>
                <w:sz w:val="24"/>
              </w:rPr>
            </w:pPr>
          </w:p>
        </w:tc>
      </w:tr>
      <w:tr w14:paraId="7CC3C3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42" w:type="dxa"/>
            <w:vMerge w:val="continue"/>
            <w:tcBorders>
              <w:tl2br w:val="nil"/>
              <w:tr2bl w:val="nil"/>
            </w:tcBorders>
            <w:noWrap w:val="0"/>
            <w:vAlign w:val="center"/>
          </w:tcPr>
          <w:p w14:paraId="589F0C63">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0235F43C">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返投比例</w:t>
            </w:r>
          </w:p>
        </w:tc>
        <w:tc>
          <w:tcPr>
            <w:tcW w:w="4693" w:type="dxa"/>
            <w:tcBorders>
              <w:tl2br w:val="nil"/>
              <w:tr2bl w:val="nil"/>
            </w:tcBorders>
            <w:noWrap w:val="0"/>
            <w:vAlign w:val="center"/>
          </w:tcPr>
          <w:p w14:paraId="3F493A20">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1.返投金额达到广西财政出资金额1.5倍</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或以上，得5分；</w:t>
            </w:r>
          </w:p>
          <w:p w14:paraId="45517E31">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2.返投金额达到广西财政出资金额1.2</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sz w:val="24"/>
              </w:rPr>
              <w:t>～</w:t>
            </w:r>
            <w:r>
              <w:rPr>
                <w:rFonts w:hint="eastAsia" w:ascii="Times New Roman" w:hAnsi="Times New Roman" w:eastAsia="仿宋_GB2312"/>
                <w:color w:val="000000"/>
                <w:sz w:val="24"/>
              </w:rPr>
              <w:t>1.5倍，得3分；</w:t>
            </w:r>
          </w:p>
          <w:p w14:paraId="0723BE59">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3.返投金额达到广西财政出资金额1.2倍以下，得1分。</w:t>
            </w:r>
          </w:p>
        </w:tc>
        <w:tc>
          <w:tcPr>
            <w:tcW w:w="813" w:type="dxa"/>
            <w:tcBorders>
              <w:tl2br w:val="nil"/>
              <w:tr2bl w:val="nil"/>
            </w:tcBorders>
            <w:noWrap/>
            <w:vAlign w:val="center"/>
          </w:tcPr>
          <w:p w14:paraId="1BAA4371">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735BBF94">
            <w:pPr>
              <w:adjustRightInd w:val="0"/>
              <w:snapToGrid w:val="0"/>
              <w:spacing w:line="320" w:lineRule="exact"/>
              <w:jc w:val="center"/>
              <w:rPr>
                <w:rFonts w:ascii="Times New Roman" w:hAnsi="Times New Roman" w:eastAsia="仿宋_GB2312"/>
                <w:color w:val="000000"/>
                <w:sz w:val="24"/>
              </w:rPr>
            </w:pPr>
          </w:p>
        </w:tc>
      </w:tr>
      <w:tr w14:paraId="2BC11A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0" w:hRule="atLeast"/>
          <w:jc w:val="center"/>
        </w:trPr>
        <w:tc>
          <w:tcPr>
            <w:tcW w:w="1742" w:type="dxa"/>
            <w:vMerge w:val="continue"/>
            <w:tcBorders>
              <w:tl2br w:val="nil"/>
              <w:tr2bl w:val="nil"/>
            </w:tcBorders>
            <w:noWrap w:val="0"/>
            <w:vAlign w:val="center"/>
          </w:tcPr>
          <w:p w14:paraId="37E2D629">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32414235">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社会资本募资</w:t>
            </w:r>
          </w:p>
        </w:tc>
        <w:tc>
          <w:tcPr>
            <w:tcW w:w="4693" w:type="dxa"/>
            <w:tcBorders>
              <w:tl2br w:val="nil"/>
              <w:tr2bl w:val="nil"/>
            </w:tcBorders>
            <w:noWrap w:val="0"/>
            <w:vAlign w:val="center"/>
          </w:tcPr>
          <w:p w14:paraId="75B53F2C">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1.40%≤社会资本募资比例，得10分</w:t>
            </w:r>
            <w:r>
              <w:rPr>
                <w:rFonts w:hint="eastAsia" w:ascii="Times New Roman" w:hAnsi="Times New Roman" w:eastAsia="仿宋_GB2312"/>
                <w:color w:val="000000"/>
                <w:sz w:val="24"/>
                <w:lang w:eastAsia="zh-CN"/>
              </w:rPr>
              <w:t>；</w:t>
            </w:r>
          </w:p>
          <w:p w14:paraId="6BCBE670">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2.30%≤社会资本募资比例＜40%，得6分</w:t>
            </w:r>
            <w:r>
              <w:rPr>
                <w:rFonts w:hint="eastAsia" w:ascii="Times New Roman" w:hAnsi="Times New Roman" w:eastAsia="仿宋_GB2312"/>
                <w:color w:val="000000"/>
                <w:sz w:val="24"/>
                <w:lang w:eastAsia="zh-CN"/>
              </w:rPr>
              <w:t>；</w:t>
            </w:r>
          </w:p>
          <w:p w14:paraId="0FD89ABF">
            <w:pPr>
              <w:adjustRightInd w:val="0"/>
              <w:snapToGrid w:val="0"/>
              <w:spacing w:line="320" w:lineRule="exact"/>
            </w:pPr>
            <w:r>
              <w:rPr>
                <w:rFonts w:hint="eastAsia" w:ascii="Times New Roman" w:hAnsi="Times New Roman" w:eastAsia="仿宋_GB2312"/>
                <w:color w:val="000000"/>
                <w:sz w:val="24"/>
              </w:rPr>
              <w:t>3.20%≤社会资本募资比例＜30%，得3分。</w:t>
            </w:r>
          </w:p>
        </w:tc>
        <w:tc>
          <w:tcPr>
            <w:tcW w:w="813" w:type="dxa"/>
            <w:tcBorders>
              <w:tl2br w:val="nil"/>
              <w:tr2bl w:val="nil"/>
            </w:tcBorders>
            <w:noWrap/>
            <w:vAlign w:val="center"/>
          </w:tcPr>
          <w:p w14:paraId="157E6C6E">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10</w:t>
            </w:r>
          </w:p>
        </w:tc>
        <w:tc>
          <w:tcPr>
            <w:tcW w:w="826" w:type="dxa"/>
            <w:tcBorders>
              <w:tl2br w:val="nil"/>
              <w:tr2bl w:val="nil"/>
            </w:tcBorders>
            <w:noWrap/>
            <w:vAlign w:val="center"/>
          </w:tcPr>
          <w:p w14:paraId="3D65D845">
            <w:pPr>
              <w:adjustRightInd w:val="0"/>
              <w:snapToGrid w:val="0"/>
              <w:spacing w:line="320" w:lineRule="exact"/>
              <w:jc w:val="center"/>
              <w:rPr>
                <w:rFonts w:ascii="Times New Roman" w:hAnsi="Times New Roman" w:eastAsia="仿宋_GB2312"/>
                <w:color w:val="000000"/>
                <w:sz w:val="24"/>
              </w:rPr>
            </w:pPr>
          </w:p>
        </w:tc>
      </w:tr>
      <w:tr w14:paraId="28AC3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40" w:hRule="atLeast"/>
          <w:jc w:val="center"/>
        </w:trPr>
        <w:tc>
          <w:tcPr>
            <w:tcW w:w="1742" w:type="dxa"/>
            <w:vMerge w:val="continue"/>
            <w:tcBorders>
              <w:tl2br w:val="nil"/>
              <w:tr2bl w:val="nil"/>
            </w:tcBorders>
            <w:noWrap w:val="0"/>
            <w:vAlign w:val="center"/>
          </w:tcPr>
          <w:p w14:paraId="39075B75">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4D58F4F2">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基金管理团队</w:t>
            </w:r>
          </w:p>
        </w:tc>
        <w:tc>
          <w:tcPr>
            <w:tcW w:w="4693" w:type="dxa"/>
            <w:tcBorders>
              <w:tl2br w:val="nil"/>
              <w:tr2bl w:val="nil"/>
            </w:tcBorders>
            <w:noWrap w:val="0"/>
            <w:vAlign w:val="center"/>
          </w:tcPr>
          <w:p w14:paraId="6D6E7E4E">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1.核心管理团队人数3人以上，且具备5年以上投资经验及有5个投资项目退出的，得8分；</w:t>
            </w:r>
          </w:p>
          <w:p w14:paraId="575611CD">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2.核心管理团队人数3人以上，且具备3～5年投资经验及3个项目退出的，得6分；</w:t>
            </w:r>
          </w:p>
          <w:p w14:paraId="79171A53">
            <w:pPr>
              <w:adjustRightInd w:val="0"/>
              <w:snapToGrid w:val="0"/>
              <w:spacing w:line="320" w:lineRule="exact"/>
              <w:jc w:val="left"/>
            </w:pPr>
            <w:r>
              <w:rPr>
                <w:rFonts w:hint="eastAsia" w:ascii="Times New Roman" w:hAnsi="Times New Roman" w:eastAsia="仿宋_GB2312"/>
                <w:color w:val="000000"/>
                <w:sz w:val="24"/>
              </w:rPr>
              <w:t>3.核心管理团队人数3人以上，且具备3年以下投资经验，得3分。</w:t>
            </w:r>
          </w:p>
        </w:tc>
        <w:tc>
          <w:tcPr>
            <w:tcW w:w="813" w:type="dxa"/>
            <w:tcBorders>
              <w:tl2br w:val="nil"/>
              <w:tr2bl w:val="nil"/>
            </w:tcBorders>
            <w:noWrap/>
            <w:vAlign w:val="center"/>
          </w:tcPr>
          <w:p w14:paraId="56476E3C">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8</w:t>
            </w:r>
          </w:p>
        </w:tc>
        <w:tc>
          <w:tcPr>
            <w:tcW w:w="826" w:type="dxa"/>
            <w:tcBorders>
              <w:tl2br w:val="nil"/>
              <w:tr2bl w:val="nil"/>
            </w:tcBorders>
            <w:noWrap/>
            <w:vAlign w:val="center"/>
          </w:tcPr>
          <w:p w14:paraId="1CBD301C">
            <w:pPr>
              <w:adjustRightInd w:val="0"/>
              <w:snapToGrid w:val="0"/>
              <w:spacing w:line="320" w:lineRule="exact"/>
              <w:jc w:val="center"/>
              <w:rPr>
                <w:rFonts w:ascii="Times New Roman" w:hAnsi="Times New Roman" w:eastAsia="仿宋_GB2312"/>
                <w:color w:val="000000"/>
                <w:sz w:val="24"/>
              </w:rPr>
            </w:pPr>
          </w:p>
        </w:tc>
      </w:tr>
      <w:tr w14:paraId="390A7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17" w:hRule="atLeast"/>
          <w:jc w:val="center"/>
        </w:trPr>
        <w:tc>
          <w:tcPr>
            <w:tcW w:w="1742" w:type="dxa"/>
            <w:vMerge w:val="continue"/>
            <w:tcBorders>
              <w:tl2br w:val="nil"/>
              <w:tr2bl w:val="nil"/>
            </w:tcBorders>
            <w:noWrap w:val="0"/>
            <w:vAlign w:val="center"/>
          </w:tcPr>
          <w:p w14:paraId="56A2B503">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2126A446">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储备项目</w:t>
            </w:r>
          </w:p>
        </w:tc>
        <w:tc>
          <w:tcPr>
            <w:tcW w:w="4693" w:type="dxa"/>
            <w:tcBorders>
              <w:tl2br w:val="nil"/>
              <w:tr2bl w:val="nil"/>
            </w:tcBorders>
            <w:noWrap w:val="0"/>
            <w:vAlign w:val="center"/>
          </w:tcPr>
          <w:p w14:paraId="1F887D83">
            <w:pPr>
              <w:adjustRightInd w:val="0"/>
              <w:snapToGrid w:val="0"/>
              <w:spacing w:line="320" w:lineRule="exact"/>
            </w:pPr>
            <w:r>
              <w:rPr>
                <w:rFonts w:hint="eastAsia" w:ascii="Times New Roman" w:hAnsi="Times New Roman" w:eastAsia="仿宋_GB2312"/>
                <w:color w:val="000000"/>
                <w:sz w:val="24"/>
              </w:rPr>
              <w:t>项目符合广西科技成果转化基金管理办法（试行）第二十三条的项目规定，</w:t>
            </w:r>
          </w:p>
          <w:p w14:paraId="12F616BC">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1.具备5个以上储备项目，得10分；</w:t>
            </w:r>
          </w:p>
          <w:p w14:paraId="5812CC32">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2.具备3～5个储备项目，得6分；</w:t>
            </w:r>
          </w:p>
          <w:p w14:paraId="34AAE0BD">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3.具备3个以下备投项目，得3分；</w:t>
            </w:r>
          </w:p>
          <w:p w14:paraId="54510EA9">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4.未提供备投项目，得0分。</w:t>
            </w:r>
          </w:p>
        </w:tc>
        <w:tc>
          <w:tcPr>
            <w:tcW w:w="813" w:type="dxa"/>
            <w:tcBorders>
              <w:tl2br w:val="nil"/>
              <w:tr2bl w:val="nil"/>
            </w:tcBorders>
            <w:noWrap/>
            <w:vAlign w:val="center"/>
          </w:tcPr>
          <w:p w14:paraId="3229A8E5">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10</w:t>
            </w:r>
          </w:p>
        </w:tc>
        <w:tc>
          <w:tcPr>
            <w:tcW w:w="826" w:type="dxa"/>
            <w:tcBorders>
              <w:tl2br w:val="nil"/>
              <w:tr2bl w:val="nil"/>
            </w:tcBorders>
            <w:noWrap/>
            <w:vAlign w:val="center"/>
          </w:tcPr>
          <w:p w14:paraId="5D0DAAC6">
            <w:pPr>
              <w:adjustRightInd w:val="0"/>
              <w:snapToGrid w:val="0"/>
              <w:spacing w:line="320" w:lineRule="exact"/>
              <w:jc w:val="center"/>
              <w:rPr>
                <w:rFonts w:ascii="Times New Roman" w:hAnsi="Times New Roman" w:eastAsia="仿宋_GB2312"/>
                <w:color w:val="000000"/>
                <w:sz w:val="24"/>
              </w:rPr>
            </w:pPr>
          </w:p>
        </w:tc>
      </w:tr>
      <w:tr w14:paraId="4D0C6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1742" w:type="dxa"/>
            <w:tcBorders>
              <w:tl2br w:val="nil"/>
              <w:tr2bl w:val="nil"/>
            </w:tcBorders>
            <w:noWrap w:val="0"/>
            <w:vAlign w:val="center"/>
          </w:tcPr>
          <w:p w14:paraId="5F817CCF">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其他</w:t>
            </w:r>
          </w:p>
          <w:p w14:paraId="7EF1008A">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（12分）</w:t>
            </w:r>
          </w:p>
        </w:tc>
        <w:tc>
          <w:tcPr>
            <w:tcW w:w="1542" w:type="dxa"/>
            <w:tcBorders>
              <w:tl2br w:val="nil"/>
              <w:tr2bl w:val="nil"/>
            </w:tcBorders>
            <w:noWrap w:val="0"/>
            <w:vAlign w:val="center"/>
          </w:tcPr>
          <w:p w14:paraId="209735B1">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其他指标</w:t>
            </w:r>
          </w:p>
        </w:tc>
        <w:tc>
          <w:tcPr>
            <w:tcW w:w="4693" w:type="dxa"/>
            <w:tcBorders>
              <w:tl2br w:val="nil"/>
              <w:tr2bl w:val="nil"/>
            </w:tcBorders>
            <w:noWrap w:val="0"/>
            <w:vAlign w:val="center"/>
          </w:tcPr>
          <w:p w14:paraId="53353493">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1.在广西设立有本地化团队的，得3分；</w:t>
            </w:r>
          </w:p>
          <w:p w14:paraId="57DF3D8A">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2.基金注册地在广西的，得3分；</w:t>
            </w:r>
          </w:p>
          <w:p w14:paraId="326E0EEC">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3.被列入过清科、投中等榜单或近三年发布的相关行业或综合排名在前50名（含）以内的，得3分；</w:t>
            </w:r>
          </w:p>
          <w:p w14:paraId="555A8EDC">
            <w:pPr>
              <w:adjustRightInd w:val="0"/>
              <w:snapToGrid w:val="0"/>
              <w:spacing w:line="320" w:lineRule="exact"/>
              <w:rPr>
                <w:rFonts w:hint="eastAsia" w:eastAsia="仿宋_GB2312"/>
                <w:color w:val="000000"/>
                <w:sz w:val="24"/>
              </w:rPr>
            </w:pPr>
            <w:r>
              <w:rPr>
                <w:rFonts w:hint="eastAsia" w:ascii="Times New Roman" w:hAnsi="Times New Roman" w:eastAsia="仿宋_GB2312"/>
                <w:color w:val="000000"/>
                <w:sz w:val="24"/>
              </w:rPr>
              <w:t>4.股东背景有高校、科研院所的，得3分。</w:t>
            </w:r>
          </w:p>
        </w:tc>
        <w:tc>
          <w:tcPr>
            <w:tcW w:w="813" w:type="dxa"/>
            <w:tcBorders>
              <w:tl2br w:val="nil"/>
              <w:tr2bl w:val="nil"/>
            </w:tcBorders>
            <w:noWrap/>
            <w:vAlign w:val="center"/>
          </w:tcPr>
          <w:p w14:paraId="2BFBB725">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12</w:t>
            </w:r>
          </w:p>
        </w:tc>
        <w:tc>
          <w:tcPr>
            <w:tcW w:w="826" w:type="dxa"/>
            <w:tcBorders>
              <w:tl2br w:val="nil"/>
              <w:tr2bl w:val="nil"/>
            </w:tcBorders>
            <w:noWrap/>
            <w:vAlign w:val="center"/>
          </w:tcPr>
          <w:p w14:paraId="74082638">
            <w:pPr>
              <w:adjustRightInd w:val="0"/>
              <w:snapToGrid w:val="0"/>
              <w:spacing w:line="320" w:lineRule="exact"/>
              <w:jc w:val="center"/>
              <w:rPr>
                <w:rFonts w:ascii="Times New Roman" w:hAnsi="Times New Roman" w:eastAsia="仿宋_GB2312"/>
                <w:color w:val="000000"/>
                <w:sz w:val="24"/>
              </w:rPr>
            </w:pPr>
          </w:p>
        </w:tc>
      </w:tr>
      <w:tr w14:paraId="33CF06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9" w:hRule="atLeast"/>
          <w:jc w:val="center"/>
        </w:trPr>
        <w:tc>
          <w:tcPr>
            <w:tcW w:w="1742" w:type="dxa"/>
            <w:tcBorders>
              <w:tl2br w:val="nil"/>
              <w:tr2bl w:val="nil"/>
            </w:tcBorders>
            <w:noWrap/>
            <w:vAlign w:val="center"/>
          </w:tcPr>
          <w:p w14:paraId="6A581917">
            <w:pPr>
              <w:adjustRightInd w:val="0"/>
              <w:snapToGrid w:val="0"/>
              <w:spacing w:line="360" w:lineRule="exact"/>
              <w:jc w:val="center"/>
              <w:rPr>
                <w:rFonts w:ascii="Times New Roman" w:hAnsi="Times New Roman" w:eastAsia="仿宋_GB2312"/>
                <w:color w:val="000000"/>
                <w:sz w:val="24"/>
              </w:rPr>
            </w:pPr>
          </w:p>
        </w:tc>
        <w:tc>
          <w:tcPr>
            <w:tcW w:w="6235" w:type="dxa"/>
            <w:gridSpan w:val="2"/>
            <w:tcBorders>
              <w:tl2br w:val="nil"/>
              <w:tr2bl w:val="nil"/>
            </w:tcBorders>
            <w:noWrap/>
            <w:vAlign w:val="center"/>
          </w:tcPr>
          <w:p w14:paraId="655F6110">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合计</w:t>
            </w:r>
          </w:p>
        </w:tc>
        <w:tc>
          <w:tcPr>
            <w:tcW w:w="813" w:type="dxa"/>
            <w:tcBorders>
              <w:tl2br w:val="nil"/>
              <w:tr2bl w:val="nil"/>
            </w:tcBorders>
            <w:noWrap w:val="0"/>
            <w:vAlign w:val="center"/>
          </w:tcPr>
          <w:p w14:paraId="7CF4D1FB">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100</w:t>
            </w:r>
          </w:p>
        </w:tc>
        <w:tc>
          <w:tcPr>
            <w:tcW w:w="826" w:type="dxa"/>
            <w:tcBorders>
              <w:tl2br w:val="nil"/>
              <w:tr2bl w:val="nil"/>
            </w:tcBorders>
            <w:noWrap w:val="0"/>
            <w:vAlign w:val="center"/>
          </w:tcPr>
          <w:p w14:paraId="1FAC4253">
            <w:pPr>
              <w:adjustRightInd w:val="0"/>
              <w:snapToGrid w:val="0"/>
              <w:spacing w:line="360" w:lineRule="exact"/>
              <w:jc w:val="center"/>
              <w:rPr>
                <w:rFonts w:ascii="Times New Roman" w:hAnsi="Times New Roman" w:eastAsia="仿宋_GB2312"/>
                <w:color w:val="000000"/>
                <w:sz w:val="24"/>
              </w:rPr>
            </w:pPr>
          </w:p>
        </w:tc>
      </w:tr>
      <w:tr w14:paraId="3F747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15" w:hRule="atLeast"/>
          <w:jc w:val="center"/>
        </w:trPr>
        <w:tc>
          <w:tcPr>
            <w:tcW w:w="1742" w:type="dxa"/>
            <w:tcBorders>
              <w:tl2br w:val="nil"/>
              <w:tr2bl w:val="nil"/>
            </w:tcBorders>
            <w:noWrap w:val="0"/>
            <w:vAlign w:val="center"/>
          </w:tcPr>
          <w:p w14:paraId="7B7E9119">
            <w:pPr>
              <w:adjustRightInd w:val="0"/>
              <w:snapToGrid w:val="0"/>
              <w:spacing w:line="360" w:lineRule="exact"/>
              <w:rPr>
                <w:rFonts w:ascii="Times New Roman" w:hAnsi="Times New Roman" w:eastAsia="仿宋_GB2312"/>
                <w:color w:val="000000"/>
                <w:sz w:val="24"/>
              </w:rPr>
            </w:pPr>
            <w:r>
              <w:rPr>
                <w:rFonts w:hint="eastAsia" w:ascii="Times New Roman" w:hAnsi="Times New Roman" w:eastAsia="仿宋_GB2312"/>
                <w:color w:val="000000"/>
                <w:sz w:val="24"/>
              </w:rPr>
              <w:t>论证</w:t>
            </w:r>
            <w:r>
              <w:rPr>
                <w:rFonts w:ascii="Times New Roman" w:hAnsi="Times New Roman" w:eastAsia="仿宋_GB2312"/>
                <w:color w:val="000000"/>
                <w:sz w:val="24"/>
              </w:rPr>
              <w:t>意见：</w:t>
            </w:r>
          </w:p>
          <w:p w14:paraId="6AC45B2A">
            <w:pPr>
              <w:adjustRightInd w:val="0"/>
              <w:snapToGrid w:val="0"/>
              <w:spacing w:line="360" w:lineRule="exact"/>
              <w:rPr>
                <w:rFonts w:ascii="Times New Roman" w:hAnsi="Times New Roman" w:eastAsia="仿宋_GB2312"/>
                <w:color w:val="000000"/>
                <w:sz w:val="24"/>
              </w:rPr>
            </w:pPr>
            <w:r>
              <w:rPr>
                <w:rFonts w:ascii="Times New Roman" w:hAnsi="Times New Roman" w:eastAsia="仿宋_GB2312"/>
                <w:color w:val="000000"/>
                <w:sz w:val="24"/>
              </w:rPr>
              <w:t>（优势、存在问题及改进建议）</w:t>
            </w:r>
          </w:p>
        </w:tc>
        <w:tc>
          <w:tcPr>
            <w:tcW w:w="7874" w:type="dxa"/>
            <w:gridSpan w:val="4"/>
            <w:tcBorders>
              <w:tl2br w:val="nil"/>
              <w:tr2bl w:val="nil"/>
            </w:tcBorders>
            <w:noWrap w:val="0"/>
            <w:vAlign w:val="top"/>
          </w:tcPr>
          <w:p w14:paraId="2255EB48">
            <w:pPr>
              <w:adjustRightInd w:val="0"/>
              <w:snapToGrid w:val="0"/>
              <w:spacing w:line="360" w:lineRule="exact"/>
              <w:jc w:val="center"/>
              <w:rPr>
                <w:rFonts w:ascii="Times New Roman" w:hAnsi="Times New Roman" w:eastAsia="仿宋_GB2312"/>
                <w:color w:val="000000"/>
                <w:sz w:val="24"/>
              </w:rPr>
            </w:pPr>
          </w:p>
        </w:tc>
      </w:tr>
      <w:tr w14:paraId="07CEC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6" w:hRule="atLeast"/>
          <w:jc w:val="center"/>
        </w:trPr>
        <w:tc>
          <w:tcPr>
            <w:tcW w:w="1742" w:type="dxa"/>
            <w:vMerge w:val="restart"/>
            <w:tcBorders>
              <w:tl2br w:val="nil"/>
              <w:tr2bl w:val="nil"/>
            </w:tcBorders>
            <w:noWrap/>
            <w:vAlign w:val="center"/>
          </w:tcPr>
          <w:p w14:paraId="4D261326">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专家</w:t>
            </w:r>
          </w:p>
        </w:tc>
        <w:tc>
          <w:tcPr>
            <w:tcW w:w="6235" w:type="dxa"/>
            <w:gridSpan w:val="2"/>
            <w:vMerge w:val="restart"/>
            <w:tcBorders>
              <w:tl2br w:val="nil"/>
              <w:tr2bl w:val="nil"/>
            </w:tcBorders>
            <w:noWrap w:val="0"/>
            <w:vAlign w:val="top"/>
          </w:tcPr>
          <w:p w14:paraId="7C320211">
            <w:pPr>
              <w:rPr>
                <w:rFonts w:hint="eastAsia" w:ascii="Times New Roman" w:hAnsi="Times New Roman" w:eastAsia="仿宋_GB2312"/>
                <w:color w:val="000000"/>
                <w:sz w:val="24"/>
              </w:rPr>
            </w:pPr>
            <w:r>
              <w:rPr>
                <w:rFonts w:ascii="Times New Roman" w:hAnsi="Times New Roman" w:eastAsia="仿宋_GB2312"/>
                <w:color w:val="000000"/>
                <w:sz w:val="24"/>
              </w:rPr>
              <w:t>组长</w:t>
            </w:r>
            <w:r>
              <w:rPr>
                <w:rFonts w:hint="eastAsia" w:ascii="Times New Roman" w:hAnsi="Times New Roman" w:eastAsia="仿宋_GB2312"/>
                <w:color w:val="000000"/>
                <w:sz w:val="24"/>
              </w:rPr>
              <w:t>：</w:t>
            </w:r>
          </w:p>
          <w:p w14:paraId="34DCC979">
            <w:pPr>
              <w:rPr>
                <w:rFonts w:ascii="Times New Roman" w:hAnsi="Times New Roman" w:eastAsia="仿宋_GB2312"/>
                <w:color w:val="000000"/>
                <w:sz w:val="24"/>
              </w:rPr>
            </w:pPr>
            <w:r>
              <w:rPr>
                <w:rFonts w:ascii="Times New Roman" w:hAnsi="Times New Roman" w:eastAsia="仿宋_GB2312"/>
                <w:color w:val="000000"/>
                <w:sz w:val="24"/>
              </w:rPr>
              <w:t xml:space="preserve">                                                                       </w:t>
            </w:r>
            <w:r>
              <w:rPr>
                <w:rFonts w:ascii="Times New Roman" w:hAnsi="Times New Roman" w:eastAsia="仿宋_GB2312"/>
                <w:color w:val="000000"/>
                <w:sz w:val="24"/>
              </w:rPr>
              <w:br w:type="textWrapping"/>
            </w:r>
            <w:r>
              <w:rPr>
                <w:rFonts w:ascii="Times New Roman" w:hAnsi="Times New Roman" w:eastAsia="仿宋_GB2312"/>
                <w:color w:val="000000"/>
                <w:sz w:val="24"/>
              </w:rPr>
              <w:t>组员：</w:t>
            </w:r>
          </w:p>
        </w:tc>
        <w:tc>
          <w:tcPr>
            <w:tcW w:w="1639" w:type="dxa"/>
            <w:gridSpan w:val="2"/>
            <w:tcBorders>
              <w:tl2br w:val="nil"/>
              <w:tr2bl w:val="nil"/>
            </w:tcBorders>
            <w:noWrap w:val="0"/>
            <w:vAlign w:val="center"/>
          </w:tcPr>
          <w:p w14:paraId="047810CF">
            <w:pPr>
              <w:adjustRightInd w:val="0"/>
              <w:snapToGrid w:val="0"/>
              <w:spacing w:line="36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论证</w:t>
            </w:r>
            <w:r>
              <w:rPr>
                <w:rFonts w:ascii="Times New Roman" w:hAnsi="Times New Roman" w:eastAsia="仿宋_GB2312"/>
                <w:color w:val="000000"/>
                <w:sz w:val="24"/>
              </w:rPr>
              <w:t>日期</w:t>
            </w:r>
          </w:p>
        </w:tc>
      </w:tr>
      <w:tr w14:paraId="3CFE86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4" w:hRule="atLeast"/>
          <w:jc w:val="center"/>
        </w:trPr>
        <w:tc>
          <w:tcPr>
            <w:tcW w:w="1742" w:type="dxa"/>
            <w:vMerge w:val="continue"/>
            <w:tcBorders>
              <w:tl2br w:val="nil"/>
              <w:tr2bl w:val="nil"/>
            </w:tcBorders>
            <w:noWrap/>
            <w:vAlign w:val="center"/>
          </w:tcPr>
          <w:p w14:paraId="698ED62D">
            <w:pPr>
              <w:spacing w:line="360" w:lineRule="exact"/>
              <w:jc w:val="center"/>
              <w:rPr>
                <w:rFonts w:ascii="Times New Roman" w:hAnsi="Times New Roman"/>
                <w:color w:val="000000"/>
                <w:sz w:val="24"/>
              </w:rPr>
            </w:pPr>
          </w:p>
        </w:tc>
        <w:tc>
          <w:tcPr>
            <w:tcW w:w="6235" w:type="dxa"/>
            <w:gridSpan w:val="2"/>
            <w:vMerge w:val="continue"/>
            <w:tcBorders>
              <w:tl2br w:val="nil"/>
              <w:tr2bl w:val="nil"/>
            </w:tcBorders>
            <w:noWrap w:val="0"/>
            <w:vAlign w:val="top"/>
          </w:tcPr>
          <w:p w14:paraId="63680DED">
            <w:pPr>
              <w:spacing w:line="360" w:lineRule="exact"/>
              <w:rPr>
                <w:rFonts w:ascii="Times New Roman" w:hAnsi="Times New Roman"/>
                <w:color w:val="000000"/>
                <w:sz w:val="24"/>
              </w:rPr>
            </w:pPr>
          </w:p>
        </w:tc>
        <w:tc>
          <w:tcPr>
            <w:tcW w:w="1639" w:type="dxa"/>
            <w:gridSpan w:val="2"/>
            <w:tcBorders>
              <w:tl2br w:val="nil"/>
              <w:tr2bl w:val="nil"/>
            </w:tcBorders>
            <w:noWrap/>
            <w:vAlign w:val="center"/>
          </w:tcPr>
          <w:p w14:paraId="58B94E84">
            <w:pPr>
              <w:adjustRightInd w:val="0"/>
              <w:snapToGrid w:val="0"/>
              <w:spacing w:line="360" w:lineRule="exact"/>
              <w:jc w:val="center"/>
              <w:rPr>
                <w:rFonts w:ascii="Times New Roman" w:hAnsi="Times New Roman" w:eastAsia="仿宋_GB2312"/>
                <w:color w:val="000000"/>
                <w:sz w:val="24"/>
              </w:rPr>
            </w:pPr>
          </w:p>
        </w:tc>
      </w:tr>
    </w:tbl>
    <w:p w14:paraId="25332F3F">
      <w:pPr>
        <w:adjustRightInd w:val="0"/>
        <w:snapToGrid w:val="0"/>
        <w:spacing w:line="360" w:lineRule="exact"/>
        <w:jc w:val="left"/>
        <w:rPr>
          <w:rFonts w:hint="eastAsia" w:ascii="Times New Roman" w:hAnsi="Times New Roman" w:eastAsia="仿宋_GB2312"/>
          <w:color w:val="000000"/>
          <w:sz w:val="24"/>
          <w:lang w:eastAsia="zh-CN"/>
        </w:rPr>
        <w:sectPr>
          <w:headerReference r:id="rId9" w:type="default"/>
          <w:footerReference r:id="rId10" w:type="default"/>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r>
        <w:rPr>
          <w:rFonts w:hint="eastAsia" w:ascii="Times New Roman" w:hAnsi="Times New Roman" w:eastAsia="仿宋_GB2312"/>
          <w:color w:val="000000"/>
          <w:sz w:val="24"/>
          <w:lang w:eastAsia="zh-CN"/>
        </w:rPr>
        <w:t>备注：表格可根据实际实施情况进行调整。</w:t>
      </w:r>
    </w:p>
    <w:p w14:paraId="3306B6F8">
      <w:pPr>
        <w:keepNext w:val="0"/>
        <w:keepLines w:val="0"/>
        <w:pageBreakBefore w:val="0"/>
        <w:widowControl w:val="0"/>
        <w:numPr>
          <w:ilvl w:val="0"/>
          <w:numId w:val="0"/>
        </w:numPr>
        <w:kinsoku/>
        <w:wordWrap/>
        <w:overflowPunct/>
        <w:topLinePunct w:val="0"/>
        <w:autoSpaceDE/>
        <w:autoSpaceDN/>
        <w:bidi w:val="0"/>
        <w:adjustRightInd/>
        <w:snapToGrid/>
        <w:spacing w:line="580" w:lineRule="exact"/>
        <w:jc w:val="left"/>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附表2</w:t>
      </w:r>
    </w:p>
    <w:p w14:paraId="13E8A799">
      <w:pPr>
        <w:pStyle w:val="15"/>
        <w:keepNext w:val="0"/>
        <w:keepLines w:val="0"/>
        <w:pageBreakBefore w:val="0"/>
        <w:widowControl w:val="0"/>
        <w:kinsoku/>
        <w:wordWrap/>
        <w:overflowPunct/>
        <w:topLinePunct w:val="0"/>
        <w:autoSpaceDE/>
        <w:autoSpaceDN/>
        <w:bidi w:val="0"/>
        <w:adjustRightInd/>
        <w:snapToGrid/>
        <w:spacing w:after="0" w:line="580" w:lineRule="exact"/>
        <w:ind w:left="0" w:leftChars="0" w:firstLine="0" w:firstLineChars="0"/>
        <w:textAlignment w:val="auto"/>
        <w:rPr>
          <w:rFonts w:hint="eastAsia"/>
        </w:rPr>
      </w:pPr>
    </w:p>
    <w:p w14:paraId="79F73716">
      <w:pPr>
        <w:pStyle w:val="7"/>
        <w:keepNext w:val="0"/>
        <w:keepLines w:val="0"/>
        <w:pageBreakBefore w:val="0"/>
        <w:widowControl w:val="0"/>
        <w:kinsoku/>
        <w:wordWrap/>
        <w:overflowPunct/>
        <w:topLinePunct w:val="0"/>
        <w:autoSpaceDE/>
        <w:autoSpaceDN/>
        <w:bidi w:val="0"/>
        <w:adjustRightInd/>
        <w:snapToGrid/>
        <w:spacing w:before="0" w:beforeLines="0" w:after="0" w:afterLines="0" w:line="580" w:lineRule="exact"/>
        <w:textAlignment w:val="auto"/>
        <w:rPr>
          <w:rFonts w:ascii="Times New Roman" w:eastAsia="方正小标宋简体"/>
          <w:b w:val="0"/>
          <w:color w:val="000000"/>
          <w:kern w:val="0"/>
          <w:sz w:val="44"/>
          <w:szCs w:val="44"/>
          <w:lang w:bidi="ar"/>
        </w:rPr>
      </w:pPr>
      <w:r>
        <w:rPr>
          <w:rFonts w:ascii="Times New Roman" w:eastAsia="方正小标宋简体"/>
          <w:b w:val="0"/>
          <w:color w:val="000000"/>
          <w:kern w:val="0"/>
          <w:sz w:val="44"/>
          <w:szCs w:val="44"/>
          <w:lang w:bidi="ar"/>
        </w:rPr>
        <w:t>专家评分汇总表</w:t>
      </w:r>
    </w:p>
    <w:p w14:paraId="6F6CF6ED">
      <w:pPr>
        <w:keepNext w:val="0"/>
        <w:keepLines w:val="0"/>
        <w:pageBreakBefore w:val="0"/>
        <w:widowControl w:val="0"/>
        <w:kinsoku/>
        <w:wordWrap/>
        <w:overflowPunct/>
        <w:topLinePunct w:val="0"/>
        <w:autoSpaceDE/>
        <w:autoSpaceDN/>
        <w:bidi w:val="0"/>
        <w:adjustRightInd/>
        <w:snapToGrid/>
        <w:spacing w:line="580" w:lineRule="exact"/>
        <w:textAlignment w:val="auto"/>
        <w:rPr>
          <w:rFonts w:hint="default"/>
        </w:rPr>
      </w:pPr>
    </w:p>
    <w:tbl>
      <w:tblPr>
        <w:tblStyle w:val="16"/>
        <w:tblW w:w="48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661"/>
        <w:gridCol w:w="2029"/>
        <w:gridCol w:w="2372"/>
        <w:gridCol w:w="1382"/>
        <w:gridCol w:w="1458"/>
      </w:tblGrid>
      <w:tr w14:paraId="1B59F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23B2F794">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编号</w:t>
            </w:r>
          </w:p>
        </w:tc>
        <w:tc>
          <w:tcPr>
            <w:tcW w:w="1522" w:type="pct"/>
            <w:gridSpan w:val="2"/>
            <w:noWrap w:val="0"/>
            <w:vAlign w:val="center"/>
          </w:tcPr>
          <w:p w14:paraId="05417C60">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基金名称</w:t>
            </w:r>
          </w:p>
        </w:tc>
        <w:tc>
          <w:tcPr>
            <w:tcW w:w="1342" w:type="pct"/>
            <w:noWrap w:val="0"/>
            <w:vAlign w:val="center"/>
          </w:tcPr>
          <w:p w14:paraId="0EA04496">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基金管理单位</w:t>
            </w:r>
          </w:p>
        </w:tc>
        <w:tc>
          <w:tcPr>
            <w:tcW w:w="781" w:type="pct"/>
            <w:noWrap w:val="0"/>
            <w:vAlign w:val="center"/>
          </w:tcPr>
          <w:p w14:paraId="461AC7D0">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综合评分</w:t>
            </w:r>
          </w:p>
        </w:tc>
        <w:tc>
          <w:tcPr>
            <w:tcW w:w="824" w:type="pct"/>
            <w:noWrap w:val="0"/>
            <w:vAlign w:val="center"/>
          </w:tcPr>
          <w:p w14:paraId="590069CF">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排名</w:t>
            </w:r>
          </w:p>
        </w:tc>
      </w:tr>
      <w:tr w14:paraId="5004E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607E5DE6">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1</w:t>
            </w:r>
          </w:p>
        </w:tc>
        <w:tc>
          <w:tcPr>
            <w:tcW w:w="1522" w:type="pct"/>
            <w:gridSpan w:val="2"/>
            <w:noWrap w:val="0"/>
            <w:vAlign w:val="center"/>
          </w:tcPr>
          <w:p w14:paraId="226B0C95">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2008FE8D">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30BCDC2F">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49B98174">
            <w:pPr>
              <w:widowControl/>
              <w:spacing w:line="240" w:lineRule="exact"/>
              <w:jc w:val="left"/>
              <w:rPr>
                <w:rFonts w:hint="default" w:ascii="Times New Roman" w:hAnsi="Times New Roman" w:eastAsia="仿宋_GB2312" w:cs="Times New Roman"/>
                <w:b w:val="0"/>
                <w:bCs/>
                <w:color w:val="000000"/>
                <w:sz w:val="24"/>
                <w:szCs w:val="24"/>
              </w:rPr>
            </w:pPr>
          </w:p>
        </w:tc>
      </w:tr>
      <w:tr w14:paraId="57DDE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2408A629">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2</w:t>
            </w:r>
          </w:p>
        </w:tc>
        <w:tc>
          <w:tcPr>
            <w:tcW w:w="1522" w:type="pct"/>
            <w:gridSpan w:val="2"/>
            <w:noWrap w:val="0"/>
            <w:vAlign w:val="center"/>
          </w:tcPr>
          <w:p w14:paraId="42C5DA0F">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1E206883">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1EC15C83">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30EEA9B3">
            <w:pPr>
              <w:widowControl/>
              <w:spacing w:line="240" w:lineRule="exact"/>
              <w:jc w:val="left"/>
              <w:rPr>
                <w:rFonts w:hint="default" w:ascii="Times New Roman" w:hAnsi="Times New Roman" w:eastAsia="仿宋_GB2312" w:cs="Times New Roman"/>
                <w:b w:val="0"/>
                <w:bCs/>
                <w:color w:val="000000"/>
                <w:sz w:val="24"/>
                <w:szCs w:val="24"/>
              </w:rPr>
            </w:pPr>
          </w:p>
        </w:tc>
      </w:tr>
      <w:tr w14:paraId="09F1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3C5DE20C">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3</w:t>
            </w:r>
          </w:p>
        </w:tc>
        <w:tc>
          <w:tcPr>
            <w:tcW w:w="1522" w:type="pct"/>
            <w:gridSpan w:val="2"/>
            <w:noWrap w:val="0"/>
            <w:vAlign w:val="center"/>
          </w:tcPr>
          <w:p w14:paraId="7DE19C96">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563C7C62">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10302599">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57D277C4">
            <w:pPr>
              <w:widowControl/>
              <w:spacing w:line="240" w:lineRule="exact"/>
              <w:jc w:val="left"/>
              <w:rPr>
                <w:rFonts w:hint="default" w:ascii="Times New Roman" w:hAnsi="Times New Roman" w:eastAsia="仿宋_GB2312" w:cs="Times New Roman"/>
                <w:b w:val="0"/>
                <w:bCs/>
                <w:color w:val="000000"/>
                <w:sz w:val="24"/>
                <w:szCs w:val="24"/>
              </w:rPr>
            </w:pPr>
          </w:p>
        </w:tc>
      </w:tr>
      <w:tr w14:paraId="33C97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4BEEB572">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4</w:t>
            </w:r>
          </w:p>
        </w:tc>
        <w:tc>
          <w:tcPr>
            <w:tcW w:w="1522" w:type="pct"/>
            <w:gridSpan w:val="2"/>
            <w:noWrap w:val="0"/>
            <w:vAlign w:val="center"/>
          </w:tcPr>
          <w:p w14:paraId="66ABB720">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4FBF0950">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7BC528B7">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0BC5D1E6">
            <w:pPr>
              <w:widowControl/>
              <w:spacing w:line="240" w:lineRule="exact"/>
              <w:jc w:val="left"/>
              <w:rPr>
                <w:rFonts w:hint="default" w:ascii="Times New Roman" w:hAnsi="Times New Roman" w:eastAsia="仿宋_GB2312" w:cs="Times New Roman"/>
                <w:b w:val="0"/>
                <w:bCs/>
                <w:color w:val="000000"/>
                <w:sz w:val="24"/>
                <w:szCs w:val="24"/>
              </w:rPr>
            </w:pPr>
          </w:p>
        </w:tc>
      </w:tr>
      <w:tr w14:paraId="4D2C0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25154FCB">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5</w:t>
            </w:r>
          </w:p>
        </w:tc>
        <w:tc>
          <w:tcPr>
            <w:tcW w:w="1522" w:type="pct"/>
            <w:gridSpan w:val="2"/>
            <w:noWrap w:val="0"/>
            <w:vAlign w:val="center"/>
          </w:tcPr>
          <w:p w14:paraId="311C9E72">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33928359">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6040D1B0">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5BB23E5B">
            <w:pPr>
              <w:widowControl/>
              <w:spacing w:line="240" w:lineRule="exact"/>
              <w:jc w:val="left"/>
              <w:rPr>
                <w:rFonts w:hint="default" w:ascii="Times New Roman" w:hAnsi="Times New Roman" w:eastAsia="仿宋_GB2312" w:cs="Times New Roman"/>
                <w:b w:val="0"/>
                <w:bCs/>
                <w:color w:val="000000"/>
                <w:sz w:val="24"/>
                <w:szCs w:val="24"/>
              </w:rPr>
            </w:pPr>
          </w:p>
        </w:tc>
      </w:tr>
      <w:tr w14:paraId="24325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4F7B4E99">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6</w:t>
            </w:r>
          </w:p>
        </w:tc>
        <w:tc>
          <w:tcPr>
            <w:tcW w:w="1522" w:type="pct"/>
            <w:gridSpan w:val="2"/>
            <w:noWrap w:val="0"/>
            <w:vAlign w:val="center"/>
          </w:tcPr>
          <w:p w14:paraId="6ECE40C7">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4E671EB6">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11B453E5">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12D3482F">
            <w:pPr>
              <w:widowControl/>
              <w:spacing w:line="240" w:lineRule="exact"/>
              <w:jc w:val="left"/>
              <w:rPr>
                <w:rFonts w:hint="default" w:ascii="Times New Roman" w:hAnsi="Times New Roman" w:eastAsia="仿宋_GB2312" w:cs="Times New Roman"/>
                <w:b w:val="0"/>
                <w:bCs/>
                <w:color w:val="000000"/>
                <w:sz w:val="24"/>
                <w:szCs w:val="24"/>
              </w:rPr>
            </w:pPr>
          </w:p>
        </w:tc>
      </w:tr>
      <w:tr w14:paraId="43A84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902" w:type="pct"/>
            <w:gridSpan w:val="2"/>
            <w:vMerge w:val="restart"/>
            <w:noWrap w:val="0"/>
            <w:vAlign w:val="center"/>
          </w:tcPr>
          <w:p w14:paraId="1120AFE4">
            <w:pPr>
              <w:jc w:val="center"/>
              <w:rPr>
                <w:rFonts w:hint="default" w:ascii="Times New Roman" w:hAnsi="Times New Roman" w:eastAsia="仿宋_GB2312" w:cs="Times New Roman"/>
                <w:b/>
                <w:color w:val="000000"/>
                <w:szCs w:val="21"/>
              </w:rPr>
            </w:pPr>
            <w:r>
              <w:rPr>
                <w:rFonts w:hint="default" w:ascii="Times New Roman" w:hAnsi="Times New Roman" w:eastAsia="仿宋_GB2312" w:cs="Times New Roman"/>
                <w:color w:val="000000"/>
                <w:sz w:val="24"/>
              </w:rPr>
              <w:t>专家</w:t>
            </w:r>
          </w:p>
        </w:tc>
        <w:tc>
          <w:tcPr>
            <w:tcW w:w="3272" w:type="pct"/>
            <w:gridSpan w:val="3"/>
            <w:vMerge w:val="restart"/>
            <w:noWrap w:val="0"/>
            <w:vAlign w:val="center"/>
          </w:tcPr>
          <w:p w14:paraId="1C7296D4">
            <w:pPr>
              <w:rPr>
                <w:rFonts w:hint="default" w:ascii="Times New Roman" w:hAnsi="Times New Roman" w:eastAsia="仿宋_GB2312" w:cs="Times New Roman"/>
                <w:color w:val="000000"/>
                <w:sz w:val="24"/>
              </w:rPr>
            </w:pPr>
            <w:r>
              <w:rPr>
                <w:rFonts w:hint="default" w:ascii="Times New Roman" w:hAnsi="Times New Roman" w:eastAsia="仿宋_GB2312" w:cs="Times New Roman"/>
                <w:color w:val="000000"/>
                <w:sz w:val="24"/>
              </w:rPr>
              <w:t>组长：</w:t>
            </w:r>
          </w:p>
          <w:p w14:paraId="0191E1C0">
            <w:pPr>
              <w:rPr>
                <w:rFonts w:hint="default" w:ascii="Times New Roman" w:hAnsi="Times New Roman" w:eastAsia="仿宋_GB2312" w:cs="Times New Roman"/>
                <w:color w:val="000000"/>
                <w:sz w:val="24"/>
              </w:rPr>
            </w:pPr>
            <w:r>
              <w:rPr>
                <w:rFonts w:hint="default" w:ascii="Times New Roman" w:hAnsi="Times New Roman" w:eastAsia="仿宋_GB2312" w:cs="Times New Roman"/>
                <w:color w:val="000000"/>
                <w:sz w:val="24"/>
              </w:rPr>
              <w:t xml:space="preserve">                                                                     </w:t>
            </w:r>
            <w:r>
              <w:rPr>
                <w:rFonts w:hint="default" w:ascii="Times New Roman" w:hAnsi="Times New Roman" w:eastAsia="仿宋_GB2312" w:cs="Times New Roman"/>
                <w:color w:val="000000"/>
                <w:sz w:val="24"/>
              </w:rPr>
              <w:br w:type="textWrapping"/>
            </w:r>
            <w:r>
              <w:rPr>
                <w:rFonts w:hint="default" w:ascii="Times New Roman" w:hAnsi="Times New Roman" w:eastAsia="仿宋_GB2312" w:cs="Times New Roman"/>
                <w:color w:val="000000"/>
                <w:sz w:val="24"/>
              </w:rPr>
              <w:t>组员：</w:t>
            </w:r>
          </w:p>
        </w:tc>
        <w:tc>
          <w:tcPr>
            <w:tcW w:w="824" w:type="pct"/>
            <w:noWrap w:val="0"/>
            <w:vAlign w:val="center"/>
          </w:tcPr>
          <w:p w14:paraId="177CE35E">
            <w:pPr>
              <w:jc w:val="center"/>
              <w:rPr>
                <w:rFonts w:hint="default" w:ascii="Times New Roman" w:hAnsi="Times New Roman" w:eastAsia="仿宋_GB2312" w:cs="Times New Roman"/>
                <w:b/>
                <w:color w:val="000000"/>
                <w:szCs w:val="21"/>
              </w:rPr>
            </w:pPr>
            <w:r>
              <w:rPr>
                <w:rFonts w:hint="default" w:ascii="Times New Roman" w:hAnsi="Times New Roman" w:eastAsia="仿宋_GB2312" w:cs="Times New Roman"/>
                <w:color w:val="000000"/>
                <w:sz w:val="24"/>
              </w:rPr>
              <w:t>论证日期</w:t>
            </w:r>
          </w:p>
        </w:tc>
      </w:tr>
      <w:tr w14:paraId="40E6A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902" w:type="pct"/>
            <w:gridSpan w:val="2"/>
            <w:vMerge w:val="continue"/>
            <w:noWrap w:val="0"/>
            <w:vAlign w:val="center"/>
          </w:tcPr>
          <w:p w14:paraId="147540EC">
            <w:pPr>
              <w:rPr>
                <w:rFonts w:hint="default" w:ascii="Times New Roman" w:hAnsi="Times New Roman" w:eastAsia="仿宋_GB2312" w:cs="Times New Roman"/>
                <w:color w:val="000000"/>
                <w:sz w:val="24"/>
              </w:rPr>
            </w:pPr>
          </w:p>
        </w:tc>
        <w:tc>
          <w:tcPr>
            <w:tcW w:w="3272" w:type="pct"/>
            <w:gridSpan w:val="3"/>
            <w:vMerge w:val="continue"/>
            <w:noWrap w:val="0"/>
            <w:vAlign w:val="center"/>
          </w:tcPr>
          <w:p w14:paraId="369B5774">
            <w:pPr>
              <w:rPr>
                <w:rFonts w:hint="default" w:ascii="Times New Roman" w:hAnsi="Times New Roman" w:eastAsia="仿宋_GB2312" w:cs="Times New Roman"/>
                <w:color w:val="000000"/>
                <w:sz w:val="24"/>
              </w:rPr>
            </w:pPr>
          </w:p>
        </w:tc>
        <w:tc>
          <w:tcPr>
            <w:tcW w:w="824" w:type="pct"/>
            <w:noWrap w:val="0"/>
            <w:vAlign w:val="center"/>
          </w:tcPr>
          <w:p w14:paraId="7FB325D2">
            <w:pPr>
              <w:rPr>
                <w:rFonts w:hint="default" w:ascii="Times New Roman" w:hAnsi="Times New Roman" w:eastAsia="仿宋_GB2312" w:cs="Times New Roman"/>
                <w:b/>
                <w:color w:val="000000"/>
                <w:szCs w:val="21"/>
              </w:rPr>
            </w:pPr>
          </w:p>
        </w:tc>
      </w:tr>
    </w:tbl>
    <w:p w14:paraId="3096E1E7">
      <w:pPr>
        <w:pStyle w:val="7"/>
        <w:tabs>
          <w:tab w:val="left" w:pos="365"/>
        </w:tabs>
        <w:jc w:val="left"/>
      </w:pPr>
      <w:r>
        <w:tab/>
      </w:r>
    </w:p>
    <w:p w14:paraId="3D3890F3">
      <w:pPr>
        <w:pStyle w:val="7"/>
        <w:tabs>
          <w:tab w:val="left" w:pos="365"/>
        </w:tabs>
        <w:jc w:val="left"/>
        <w:sectPr>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p>
    <w:p w14:paraId="18673D60">
      <w:pPr>
        <w:rPr>
          <w:rFonts w:hint="eastAsia"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 w:eastAsia="zh-CN"/>
        </w:rPr>
        <w:t>附件</w:t>
      </w:r>
      <w:r>
        <w:rPr>
          <w:rFonts w:hint="eastAsia" w:ascii="Times New Roman" w:hAnsi="Times New Roman" w:eastAsia="黑体" w:cs="Times New Roman"/>
          <w:sz w:val="32"/>
          <w:szCs w:val="32"/>
          <w:lang w:val="en-US" w:eastAsia="zh-CN"/>
        </w:rPr>
        <w:t>3</w:t>
      </w:r>
    </w:p>
    <w:p w14:paraId="5F3EDB93">
      <w:pPr>
        <w:pStyle w:val="7"/>
        <w:keepNext w:val="0"/>
        <w:keepLines w:val="0"/>
        <w:pageBreakBefore w:val="0"/>
        <w:widowControl w:val="0"/>
        <w:tabs>
          <w:tab w:val="left" w:pos="365"/>
        </w:tabs>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rPr>
        <w:t>广西科技成果转化基金管理操作指引</w:t>
      </w:r>
      <w:r>
        <w:rPr>
          <w:rFonts w:hint="eastAsia" w:ascii="方正小标宋简体" w:hAnsi="方正小标宋简体" w:eastAsia="方正小标宋简体" w:cs="方正小标宋简体"/>
          <w:b w:val="0"/>
          <w:bCs/>
          <w:sz w:val="44"/>
          <w:szCs w:val="44"/>
          <w:lang w:val="en-US" w:eastAsia="zh-CN"/>
        </w:rPr>
        <w:t>流程图</w:t>
      </w:r>
    </w:p>
    <w:p w14:paraId="0F94D28D">
      <w:pPr>
        <w:pStyle w:val="4"/>
        <w:rPr>
          <w:rFonts w:hint="default"/>
          <w:lang w:val="en-US" w:eastAsia="zh-CN"/>
        </w:rPr>
      </w:pPr>
    </w:p>
    <w:p w14:paraId="170E7BF6">
      <w:pPr>
        <w:pStyle w:val="7"/>
        <w:keepNext w:val="0"/>
        <w:keepLines w:val="0"/>
        <w:pageBreakBefore w:val="0"/>
        <w:widowControl w:val="0"/>
        <w:tabs>
          <w:tab w:val="left" w:pos="365"/>
        </w:tabs>
        <w:kinsoku/>
        <w:wordWrap/>
        <w:overflowPunct/>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基金设立前期工作流程</w:t>
      </w:r>
    </w:p>
    <w:p w14:paraId="226197D4">
      <w:pPr>
        <w:rPr>
          <w:rFonts w:hint="default"/>
          <w:lang w:val="en-US" w:eastAsia="zh-CN"/>
        </w:rPr>
        <w:sectPr>
          <w:pgSz w:w="16838" w:h="11906" w:orient="landscape"/>
          <w:pgMar w:top="1531" w:right="2098" w:bottom="1531" w:left="1701" w:header="851" w:footer="1417" w:gutter="0"/>
          <w:paperSrc/>
          <w:pgBorders>
            <w:top w:val="none" w:sz="0" w:space="0"/>
            <w:left w:val="none" w:sz="0" w:space="0"/>
            <w:bottom w:val="none" w:sz="0" w:space="0"/>
            <w:right w:val="none" w:sz="0" w:space="0"/>
          </w:pgBorders>
          <w:pgNumType w:fmt="decimal"/>
          <w:cols w:space="720" w:num="1"/>
          <w:titlePg/>
          <w:rtlGutter w:val="0"/>
          <w:docGrid w:type="lines" w:linePitch="315" w:charSpace="0"/>
        </w:sectPr>
      </w:pPr>
      <w:r>
        <w:rPr>
          <w:rFonts w:hint="default"/>
          <w:lang w:val="en-US" w:eastAsia="zh-CN"/>
        </w:rPr>
        <w:drawing>
          <wp:inline distT="0" distB="0" distL="114300" distR="114300">
            <wp:extent cx="8277225" cy="3415030"/>
            <wp:effectExtent l="0" t="0" r="0" b="0"/>
            <wp:docPr id="3"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图片1"/>
                    <pic:cNvPicPr>
                      <a:picLocks noChangeAspect="1"/>
                    </pic:cNvPicPr>
                  </pic:nvPicPr>
                  <pic:blipFill>
                    <a:blip r:embed="rId17"/>
                    <a:stretch>
                      <a:fillRect/>
                    </a:stretch>
                  </pic:blipFill>
                  <pic:spPr>
                    <a:xfrm>
                      <a:off x="0" y="0"/>
                      <a:ext cx="8277225" cy="3415030"/>
                    </a:xfrm>
                    <a:prstGeom prst="rect">
                      <a:avLst/>
                    </a:prstGeom>
                    <a:noFill/>
                    <a:ln>
                      <a:noFill/>
                    </a:ln>
                  </pic:spPr>
                </pic:pic>
              </a:graphicData>
            </a:graphic>
          </wp:inline>
        </w:drawing>
      </w:r>
    </w:p>
    <w:p w14:paraId="12236855">
      <w:pPr>
        <w:pStyle w:val="7"/>
        <w:keepNext w:val="0"/>
        <w:keepLines w:val="0"/>
        <w:pageBreakBefore w:val="0"/>
        <w:widowControl w:val="0"/>
        <w:tabs>
          <w:tab w:val="left" w:pos="365"/>
        </w:tabs>
        <w:kinsoku/>
        <w:wordWrap/>
        <w:overflowPunct/>
        <w:topLinePunct w:val="0"/>
        <w:autoSpaceDE/>
        <w:autoSpaceDN/>
        <w:bidi w:val="0"/>
        <w:adjustRightInd/>
        <w:snapToGrid/>
        <w:spacing w:before="0" w:after="0" w:line="560" w:lineRule="exact"/>
        <w:jc w:val="both"/>
        <w:textAlignment w:val="auto"/>
        <w:rPr>
          <w:rFonts w:hint="eastAsia" w:ascii="仿宋_GB2312" w:hAnsi="仿宋_GB2312" w:eastAsia="仿宋_GB2312" w:cs="仿宋_GB2312"/>
          <w:b/>
          <w:bCs w:val="0"/>
          <w:sz w:val="32"/>
          <w:szCs w:val="32"/>
          <w:lang w:val="en-US" w:eastAsia="zh-CN"/>
        </w:rPr>
      </w:pPr>
    </w:p>
    <w:p w14:paraId="1CFF2CE7">
      <w:pPr>
        <w:rPr>
          <w:rFonts w:hint="default"/>
          <w:b/>
          <w:bCs/>
          <w:lang w:val="en" w:eastAsia="zh-CN"/>
        </w:rPr>
      </w:pPr>
    </w:p>
    <w:p w14:paraId="4ADEB865">
      <w:pPr>
        <w:jc w:val="center"/>
        <w:rPr>
          <w:rFonts w:hint="default" w:ascii="仿宋_GB2312" w:hAnsi="仿宋_GB2312" w:eastAsia="仿宋_GB2312" w:cs="仿宋_GB2312"/>
          <w:b/>
          <w:bCs/>
          <w:sz w:val="32"/>
          <w:szCs w:val="32"/>
          <w:lang w:val="en"/>
        </w:rPr>
        <w:sectPr>
          <w:headerReference r:id="rId11" w:type="first"/>
          <w:pgSz w:w="16838" w:h="11906" w:orient="landscape"/>
          <w:pgMar w:top="2098" w:right="1531" w:bottom="1701" w:left="1531" w:header="851" w:footer="850" w:gutter="0"/>
          <w:paperSrc/>
          <w:pgBorders>
            <w:top w:val="none" w:sz="0" w:space="0"/>
            <w:left w:val="none" w:sz="0" w:space="0"/>
            <w:bottom w:val="none" w:sz="0" w:space="0"/>
            <w:right w:val="none" w:sz="0" w:space="0"/>
          </w:pgBorders>
          <w:pgNumType w:fmt="decimal"/>
          <w:cols w:space="720" w:num="1"/>
          <w:titlePg/>
          <w:rtlGutter w:val="0"/>
          <w:docGrid w:type="lines" w:linePitch="315" w:charSpace="0"/>
        </w:sectPr>
      </w:pPr>
      <w:r>
        <w:rPr>
          <w:rFonts w:hint="eastAsia" w:ascii="方正小标宋简体" w:hAnsi="方正小标宋简体" w:eastAsia="方正小标宋简体" w:cs="方正小标宋简体"/>
          <w:b/>
          <w:bCs/>
          <w:sz w:val="44"/>
          <w:szCs w:val="44"/>
          <w:lang w:val="en-US" w:eastAsia="zh-CN"/>
        </w:rPr>
        <w:drawing>
          <wp:anchor distT="0" distB="0" distL="114300" distR="114300" simplePos="0" relativeHeight="251662336" behindDoc="1" locked="0" layoutInCell="1" allowOverlap="1">
            <wp:simplePos x="0" y="0"/>
            <wp:positionH relativeFrom="column">
              <wp:posOffset>198120</wp:posOffset>
            </wp:positionH>
            <wp:positionV relativeFrom="paragraph">
              <wp:posOffset>516890</wp:posOffset>
            </wp:positionV>
            <wp:extent cx="7917180" cy="4320540"/>
            <wp:effectExtent l="0" t="0" r="0" b="0"/>
            <wp:wrapTight wrapText="bothSides">
              <wp:wrapPolygon>
                <wp:start x="21592" y="-2"/>
                <wp:lineTo x="0" y="0"/>
                <wp:lineTo x="0" y="21600"/>
                <wp:lineTo x="21592" y="21602"/>
                <wp:lineTo x="8" y="21602"/>
                <wp:lineTo x="21600" y="21600"/>
                <wp:lineTo x="21600" y="0"/>
                <wp:lineTo x="8" y="-2"/>
                <wp:lineTo x="21592" y="-2"/>
              </wp:wrapPolygon>
            </wp:wrapTight>
            <wp:docPr id="2" name="图片 2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5" descr="图片2"/>
                    <pic:cNvPicPr>
                      <a:picLocks noChangeAspect="1"/>
                    </pic:cNvPicPr>
                  </pic:nvPicPr>
                  <pic:blipFill>
                    <a:blip r:embed="rId18"/>
                    <a:stretch>
                      <a:fillRect/>
                    </a:stretch>
                  </pic:blipFill>
                  <pic:spPr>
                    <a:xfrm>
                      <a:off x="0" y="0"/>
                      <a:ext cx="7917180" cy="4320540"/>
                    </a:xfrm>
                    <a:prstGeom prst="rect">
                      <a:avLst/>
                    </a:prstGeom>
                    <a:noFill/>
                    <a:ln>
                      <a:noFill/>
                    </a:ln>
                  </pic:spPr>
                </pic:pic>
              </a:graphicData>
            </a:graphic>
          </wp:anchor>
        </w:drawing>
      </w:r>
      <w:r>
        <w:rPr>
          <w:rFonts w:hint="eastAsia" w:ascii="仿宋_GB2312" w:hAnsi="仿宋_GB2312" w:eastAsia="仿宋_GB2312" w:cs="仿宋_GB2312"/>
          <w:b/>
          <w:bCs/>
          <w:sz w:val="32"/>
          <w:szCs w:val="32"/>
          <w:lang w:val="en-US" w:eastAsia="zh-CN"/>
        </w:rPr>
        <w:t>基金设立后管理</w:t>
      </w:r>
      <w:r>
        <w:rPr>
          <w:rFonts w:hint="eastAsia" w:ascii="方正小标宋简体" w:hAnsi="方正小标宋简体" w:eastAsia="方正小标宋简体" w:cs="方正小标宋简体"/>
          <w:b w:val="0"/>
          <w:bCs/>
          <w:sz w:val="44"/>
          <w:szCs w:val="44"/>
          <w:lang w:val="en-US" w:eastAsia="zh-CN"/>
        </w:rPr>
        <w:br w:type="page"/>
      </w:r>
      <w:r>
        <w:rPr>
          <w:rFonts w:hint="eastAsia" w:ascii="仿宋_GB2312" w:hAnsi="仿宋_GB2312" w:eastAsia="仿宋_GB2312" w:cs="仿宋_GB2312"/>
          <w:b/>
          <w:bCs/>
          <w:sz w:val="32"/>
          <w:szCs w:val="32"/>
        </w:rPr>
        <w:t>监督管理工作程序</w:t>
      </w:r>
      <w:r>
        <w:rPr>
          <w:rFonts w:hint="default" w:ascii="仿宋_GB2312" w:hAnsi="仿宋_GB2312" w:eastAsia="仿宋_GB2312" w:cs="仿宋_GB2312"/>
          <w:b/>
          <w:bCs/>
          <w:sz w:val="32"/>
          <w:szCs w:val="32"/>
          <w:lang w:val="en"/>
        </w:rPr>
        <w:drawing>
          <wp:inline distT="0" distB="0" distL="114300" distR="114300">
            <wp:extent cx="8732520" cy="4401820"/>
            <wp:effectExtent l="0" t="0" r="0" b="0"/>
            <wp:docPr id="4" name="图片 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3"/>
                    <pic:cNvPicPr>
                      <a:picLocks noChangeAspect="1"/>
                    </pic:cNvPicPr>
                  </pic:nvPicPr>
                  <pic:blipFill>
                    <a:blip r:embed="rId19"/>
                    <a:stretch>
                      <a:fillRect/>
                    </a:stretch>
                  </pic:blipFill>
                  <pic:spPr>
                    <a:xfrm>
                      <a:off x="0" y="0"/>
                      <a:ext cx="8732520" cy="4401820"/>
                    </a:xfrm>
                    <a:prstGeom prst="rect">
                      <a:avLst/>
                    </a:prstGeom>
                    <a:noFill/>
                    <a:ln>
                      <a:noFill/>
                    </a:ln>
                  </pic:spPr>
                </pic:pic>
              </a:graphicData>
            </a:graphic>
          </wp:inline>
        </w:drawing>
      </w:r>
    </w:p>
    <w:p w14:paraId="19B61D2E">
      <w:pPr>
        <w:keepNext w:val="0"/>
        <w:keepLines w:val="0"/>
        <w:pageBreakBefore w:val="0"/>
        <w:widowControl w:val="0"/>
        <w:numPr>
          <w:ilvl w:val="0"/>
          <w:numId w:val="0"/>
        </w:numPr>
        <w:kinsoku/>
        <w:wordWrap/>
        <w:overflowPunct/>
        <w:topLinePunct w:val="0"/>
        <w:autoSpaceDE/>
        <w:autoSpaceDN/>
        <w:bidi w:val="0"/>
        <w:adjustRightInd/>
        <w:snapToGrid/>
        <w:spacing w:line="580" w:lineRule="exact"/>
        <w:jc w:val="both"/>
        <w:textAlignment w:val="auto"/>
        <w:rPr>
          <w:rFonts w:hint="default" w:ascii="Times New Roman" w:hAnsi="Times New Roman" w:eastAsia="仿宋_GB2312" w:cs="Times New Roman"/>
          <w:color w:val="000000"/>
          <w:kern w:val="0"/>
          <w:sz w:val="32"/>
          <w:szCs w:val="32"/>
          <w:lang w:val="en-US" w:eastAsia="zh-CN"/>
        </w:rPr>
      </w:pPr>
      <w:bookmarkStart w:id="0" w:name="_GoBack"/>
      <w:bookmarkEnd w:id="0"/>
      <w:r>
        <w:rPr>
          <w:rFonts w:hint="eastAsia" w:ascii="仿宋_GB2312" w:hAnsi="仿宋_GB2312" w:eastAsia="仿宋_GB2312" w:cs="仿宋_GB2312"/>
          <w:sz w:val="32"/>
          <w:szCs w:val="32"/>
        </w:rPr>
        <mc:AlternateContent>
          <mc:Choice Requires="wps">
            <w:drawing>
              <wp:anchor distT="0" distB="0" distL="114300" distR="114300" simplePos="0" relativeHeight="251661312" behindDoc="1" locked="0" layoutInCell="1" allowOverlap="1">
                <wp:simplePos x="0" y="0"/>
                <wp:positionH relativeFrom="column">
                  <wp:posOffset>683895</wp:posOffset>
                </wp:positionH>
                <wp:positionV relativeFrom="paragraph">
                  <wp:posOffset>370840</wp:posOffset>
                </wp:positionV>
                <wp:extent cx="7312660" cy="4716780"/>
                <wp:effectExtent l="0" t="0" r="0" b="0"/>
                <wp:wrapNone/>
                <wp:docPr id="1" name="图片 22" descr="C:/Users/Administrator/Desktop/流程图.png流程图"/>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2660" cy="4716780"/>
                        </a:xfrm>
                        <a:prstGeom prst="rect">
                          <a:avLst/>
                        </a:prstGeom>
                        <a:noFill/>
                        <a:ln>
                          <a:noFill/>
                        </a:ln>
                      </wps:spPr>
                      <wps:bodyPr wrap="square" upright="1"/>
                    </wps:wsp>
                  </a:graphicData>
                </a:graphic>
              </wp:anchor>
            </w:drawing>
          </mc:Choice>
          <mc:Fallback>
            <w:pict>
              <v:rect id="图片 22" o:spid="_x0000_s1026" o:spt="1" alt="C:/Users/Administrator/Desktop/流程图.png流程图" style="position:absolute;left:0pt;margin-left:53.85pt;margin-top:29.2pt;height:371.4pt;width:575.8pt;z-index:-251655168;mso-width-relative:page;mso-height-relative:page;" filled="f" stroked="f" coordsize="21600,21600" o:gfxdata="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zV2zcAAAACwEAAA8AAAAAAAAAAQAgAAAAIgAAAGRycy9kb3ducmV2LnhtbFBLAQIUABQA&#10;AAAIAIdO4kDyhhbt7AEAALADAAAOAAAAAAAAAAEAIAAAACsBAABkcnMvZTJvRG9jLnhtbFBLBQYA&#10;AAAABgAGAFkBAACJBQAAAAA=&#10;">
                <v:fill on="f" focussize="0,0"/>
                <v:stroke on="f"/>
                <v:imagedata o:title=""/>
                <o:lock v:ext="edit" aspectratio="t"/>
              </v:rect>
            </w:pict>
          </mc:Fallback>
        </mc:AlternateContent>
      </w:r>
    </w:p>
    <w:sectPr>
      <w:headerReference r:id="rId13" w:type="first"/>
      <w:footerReference r:id="rId15" w:type="first"/>
      <w:headerReference r:id="rId12" w:type="default"/>
      <w:footerReference r:id="rId14" w:type="default"/>
      <w:pgSz w:w="16838" w:h="11906" w:orient="landscape"/>
      <w:pgMar w:top="1531" w:right="2098" w:bottom="1531" w:left="1701" w:header="851" w:footer="1417" w:gutter="0"/>
      <w:paperSrc/>
      <w:pgNumType w:fmt="decimal"/>
      <w:cols w:space="720" w:num="1"/>
      <w:titlePg/>
      <w:rtlGutter w:val="0"/>
      <w:docGrid w:type="lines" w:linePitch="31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urier New">
    <w:panose1 w:val="02070309020205020404"/>
    <w:charset w:val="00"/>
    <w:family w:val="modern"/>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方正黑体_GBK">
    <w:altName w:val="微软雅黑"/>
    <w:panose1 w:val="02000000000000000000"/>
    <w:charset w:val="86"/>
    <w:family w:val="script"/>
    <w:pitch w:val="default"/>
    <w:sig w:usb0="00000001" w:usb1="0800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MS Sans Serif">
    <w:altName w:val="宋体"/>
    <w:panose1 w:val="00000000000000000000"/>
    <w:charset w:val="00"/>
    <w:family w:val="auto"/>
    <w:pitch w:val="default"/>
    <w:sig w:usb0="00000000" w:usb1="00000000" w:usb2="00000000" w:usb3="00000000" w:csb0="00040001" w:csb1="00000000"/>
  </w:font>
  <w:font w:name="Arial">
    <w:panose1 w:val="020B0604020202020204"/>
    <w:charset w:val="00"/>
    <w:family w:val="swiss"/>
    <w:pitch w:val="default"/>
    <w:sig w:usb0="E0002AFF" w:usb1="C0007843" w:usb2="00000009" w:usb3="00000000" w:csb0="400001FF" w:csb1="FFFF0000"/>
  </w:font>
  <w:font w:name="Verdana">
    <w:panose1 w:val="020B0604030504040204"/>
    <w:charset w:val="00"/>
    <w:family w:val="swiss"/>
    <w:pitch w:val="default"/>
    <w:sig w:usb0="A10006FF" w:usb1="4000205B" w:usb2="00000010" w:usb3="00000000" w:csb0="2000019F" w:csb1="00000000"/>
  </w:font>
  <w:font w:name="方正仿宋_GBK">
    <w:altName w:val="微软雅黑"/>
    <w:panose1 w:val="03000509000000000000"/>
    <w:charset w:val="86"/>
    <w:family w:val="auto"/>
    <w:pitch w:val="default"/>
    <w:sig w:usb0="00000001" w:usb1="080E0000" w:usb2="00000000" w:usb3="00000000" w:csb0="00040000" w:csb1="00000000"/>
  </w:font>
  <w:font w:name="方正小标宋简体">
    <w:panose1 w:val="02000000000000000000"/>
    <w:charset w:val="86"/>
    <w:family w:val="script"/>
    <w:pitch w:val="default"/>
    <w:sig w:usb0="A00002BF" w:usb1="184F6CFA" w:usb2="00000012" w:usb3="00000000" w:csb0="00040001" w:csb1="00000000"/>
  </w:font>
  <w:font w:name="方正小标宋_GBK">
    <w:altName w:val="微软雅黑"/>
    <w:panose1 w:val="02000000000000000000"/>
    <w:charset w:val="86"/>
    <w:family w:val="script"/>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楷体_GBK">
    <w:altName w:val="微软雅黑"/>
    <w:panose1 w:val="02000000000000000000"/>
    <w:charset w:val="86"/>
    <w:family w:val="auto"/>
    <w:pitch w:val="default"/>
    <w:sig w:usb0="00000001" w:usb1="08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CESI楷体-GB2312">
    <w:altName w:val="楷体_GB2312"/>
    <w:panose1 w:val="02000500000000000000"/>
    <w:charset w:val="86"/>
    <w:family w:val="auto"/>
    <w:pitch w:val="default"/>
    <w:sig w:usb0="800002BF" w:usb1="184F6CF8" w:usb2="00000012" w:usb3="00000000" w:csb0="0004000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3B1F3">
    <w:pPr>
      <w:pStyle w:val="11"/>
    </w:pPr>
    <w: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-171450</wp:posOffset>
              </wp:positionV>
              <wp:extent cx="622300" cy="363855"/>
              <wp:effectExtent l="0" t="0" r="0" b="0"/>
              <wp:wrapNone/>
              <wp:docPr id="9" name="文本框 1"/>
              <wp:cNvGraphicFramePr/>
              <a:graphic xmlns:a="http://schemas.openxmlformats.org/drawingml/2006/main">
                <a:graphicData uri="http://schemas.microsoft.com/office/word/2010/wordprocessingShape">
                  <wps:wsp>
                    <wps:cNvSpPr txBox="1"/>
                    <wps:spPr>
                      <a:xfrm>
                        <a:off x="0" y="0"/>
                        <a:ext cx="622300" cy="363855"/>
                      </a:xfrm>
                      <a:prstGeom prst="rect">
                        <a:avLst/>
                      </a:prstGeom>
                      <a:noFill/>
                      <a:ln w="6350">
                        <a:noFill/>
                      </a:ln>
                    </wps:spPr>
                    <wps:txbx>
                      <w:txbxContent>
                        <w:p w14:paraId="23A96406">
                          <w:pPr>
                            <w:pStyle w:val="11"/>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vert="horz" wrap="square" lIns="0" tIns="0" rIns="0" bIns="0" anchor="t" anchorCtr="0" upright="0"/>
                  </wps:wsp>
                </a:graphicData>
              </a:graphic>
            </wp:anchor>
          </w:drawing>
        </mc:Choice>
        <mc:Fallback>
          <w:pict>
            <v:shape id="文本框 1" o:spid="_x0000_s1026" o:spt="202" type="#_x0000_t202" style="position:absolute;left:0pt;margin-top:-13.5pt;height:28.65pt;width:49pt;mso-position-horizontal:outside;mso-position-horizontal-relative:margin;z-index:251663360;mso-width-relative:page;mso-height-relative:page;" filled="f" stroked="f" coordsize="21600,21600" o:gfxdata="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fwDNoNUAAAAGAQAADwAA&#10;AAAAAAABACAAAAAiAAAAZHJzL2Rvd25yZXYueG1sUEsBAhQAFAAAAAgAh07iQDdjed7gAQAArQMA&#10;AA4AAAAAAAAAAQAgAAAAJAEAAGRycy9lMm9Eb2MueG1sUEsFBgAAAAAGAAYAWQEAAHYFAAAAAA==&#10;">
              <v:fill on="f" focussize="0,0"/>
              <v:stroke on="f" weight="0.5pt"/>
              <v:imagedata o:title=""/>
              <o:lock v:ext="edit" aspectratio="f"/>
              <v:textbox inset="0mm,0mm,0mm,0mm">
                <w:txbxContent>
                  <w:p w14:paraId="23A96406">
                    <w:pPr>
                      <w:pStyle w:val="11"/>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FB6D5E">
    <w:pPr>
      <w:overflowPunct w:val="0"/>
      <w:adjustRightInd w:val="0"/>
      <w:snapToGrid w:val="0"/>
      <w:spacing w:line="240" w:lineRule="atLeast"/>
      <w:ind w:firstLine="360" w:firstLineChars="200"/>
      <w:jc w:val="center"/>
      <w:rPr>
        <w:rFonts w:ascii="仿宋_GB2312" w:hAnsi="仿宋_GB2312" w:eastAsia="仿宋_GB2312" w:cs="仿宋_GB2312"/>
        <w:sz w:val="18"/>
        <w:szCs w:val="18"/>
      </w:rPr>
    </w:pPr>
    <w:r>
      <w:rPr>
        <w:rFonts w:ascii="仿宋_GB2312" w:hAnsi="仿宋_GB2312" w:eastAsia="仿宋_GB2312" w:cs="仿宋_GB2312"/>
        <w:sz w:val="18"/>
        <w:szCs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7"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D8F68C7">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vert="horz" wrap="none" lIns="0" tIns="0" rIns="0" bIns="0" anchor="t" anchorCtr="0" upright="1">
                      <a:spAutoFit/>
                    </wps:bodyPr>
                  </wps:wsp>
                </a:graphicData>
              </a:graphic>
            </wp:anchor>
          </w:drawing>
        </mc:Choice>
        <mc:Fallback>
          <w:pict>
            <v:shape id="文本框 5" o:spid="_x0000_s1026" o:spt="202" type="#_x0000_t202" style="position:absolute;left:0pt;margin-top:-13.5pt;height:144pt;width:144pt;mso-position-horizontal:outside;mso-position-horizontal-relative:margin;mso-wrap-style:none;z-index:251661312;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iGV4h0wAAAAgBAAAPAAAAAAAA&#10;AAEAIAAAACIAAABkcnMvZG93bnJldi54bWxQSwECFAAUAAAACACHTuJAn0XhjN4BAAC+AwAADgAA&#10;AAAAAAABACAAAAAiAQAAZHJzL2Uyb0RvYy54bWxQSwUGAAAAAAYABgBZAQAAcgUAAAAA&#10;">
              <v:fill on="f" focussize="0,0"/>
              <v:stroke on="f"/>
              <v:imagedata o:title=""/>
              <o:lock v:ext="edit" aspectratio="f"/>
              <v:textbox inset="0mm,0mm,0mm,0mm" style="mso-fit-shape-to-text:t;">
                <w:txbxContent>
                  <w:p w14:paraId="3D8F68C7">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F7C178">
    <w:pPr>
      <w:pStyle w:val="11"/>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11" name="文本框 10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67BF38">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8</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wps:txbx>
                    <wps:bodyPr vert="horz" wrap="none" lIns="0" tIns="0" rIns="0" bIns="0" anchor="t" anchorCtr="0" upright="0">
                      <a:spAutoFit/>
                    </wps:bodyPr>
                  </wps:wsp>
                </a:graphicData>
              </a:graphic>
            </wp:anchor>
          </w:drawing>
        </mc:Choice>
        <mc:Fallback>
          <w:pict>
            <v:shape id="文本框 1067" o:spid="_x0000_s1026" o:spt="202" type="#_x0000_t202" style="position:absolute;left:0pt;margin-top:-13.5pt;height:144pt;width:144pt;mso-position-horizontal:outside;mso-position-horizontal-relative:margin;mso-wrap-style:none;z-index:251665408;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iGV4h0wAAAAgBAAAPAAAA&#10;AAAAAAEAIAAAACIAAABkcnMvZG93bnJldi54bWxQSwECFAAUAAAACACHTuJAwSgc5eEBAADCAwAA&#10;DgAAAAAAAAABACAAAAAiAQAAZHJzL2Uyb0RvYy54bWxQSwUGAAAAAAYABgBZAQAAdQUAAAAA&#10;">
              <v:fill on="f" focussize="0,0"/>
              <v:stroke on="f"/>
              <v:imagedata o:title=""/>
              <o:lock v:ext="edit" aspectratio="f"/>
              <v:textbox inset="0mm,0mm,0mm,0mm" style="mso-fit-shape-to-text:t;">
                <w:txbxContent>
                  <w:p w14:paraId="7167BF38">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8</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E8F21">
    <w:pPr>
      <w:overflowPunct w:val="0"/>
      <w:adjustRightInd w:val="0"/>
      <w:snapToGrid w:val="0"/>
      <w:spacing w:line="240" w:lineRule="atLeast"/>
      <w:ind w:firstLine="360" w:firstLineChars="200"/>
      <w:jc w:val="center"/>
      <w:rPr>
        <w:rFonts w:ascii="仿宋_GB2312" w:hAnsi="仿宋_GB2312" w:eastAsia="仿宋_GB2312" w:cs="仿宋_GB2312"/>
        <w:sz w:val="18"/>
        <w:szCs w:val="18"/>
      </w:rPr>
    </w:pPr>
    <w:r>
      <w:rPr>
        <w:rFonts w:ascii="仿宋_GB2312" w:hAnsi="仿宋_GB2312" w:eastAsia="仿宋_GB2312" w:cs="仿宋_GB2312"/>
        <w:sz w:val="18"/>
        <w:szCs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10"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8656AF">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10</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vert="horz" wrap="none" lIns="0" tIns="0" rIns="0" bIns="0" anchor="t" anchorCtr="0" upright="1">
                      <a:spAutoFit/>
                    </wps:bodyPr>
                  </wps:wsp>
                </a:graphicData>
              </a:graphic>
            </wp:anchor>
          </w:drawing>
        </mc:Choice>
        <mc:Fallback>
          <w:pict>
            <v:shape id="文本框 5" o:spid="_x0000_s1026" o:spt="202" type="#_x0000_t202" style="position:absolute;left:0pt;margin-top:-13.5pt;height:144pt;width:144pt;mso-position-horizontal:outside;mso-position-horizontal-relative:margin;mso-wrap-style:none;z-index:251664384;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IZXiHTAAAACAEAAA8AAAAAAAAA&#10;AQAgAAAAIgAAAGRycy9kb3ducmV2LnhtbFBLAQIUABQAAAAIAIdO4kDdYJ823QEAAL8DAAAOAAAA&#10;AAAAAAEAIAAAACIBAABkcnMvZTJvRG9jLnhtbFBLBQYAAAAABgAGAFkBAABxBQAAAAA=&#10;">
              <v:fill on="f" focussize="0,0"/>
              <v:stroke on="f"/>
              <v:imagedata o:title=""/>
              <o:lock v:ext="edit" aspectratio="f"/>
              <v:textbox inset="0mm,0mm,0mm,0mm" style="mso-fit-shape-to-text:t;">
                <w:txbxContent>
                  <w:p w14:paraId="3F8656AF">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10</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04311">
    <w:pPr>
      <w:pStyle w:val="11"/>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12" name="文本框 10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A795098">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9</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wps:txbx>
                    <wps:bodyPr vert="horz" wrap="none" lIns="0" tIns="0" rIns="0" bIns="0" anchor="t" anchorCtr="0" upright="0">
                      <a:spAutoFit/>
                    </wps:bodyPr>
                  </wps:wsp>
                </a:graphicData>
              </a:graphic>
            </wp:anchor>
          </w:drawing>
        </mc:Choice>
        <mc:Fallback>
          <w:pict>
            <v:shape id="文本框 1068" o:spid="_x0000_s1026" o:spt="202" type="#_x0000_t202" style="position:absolute;left:0pt;margin-top:-13.5pt;height:144pt;width:144pt;mso-position-horizontal:outside;mso-position-horizontal-relative:margin;mso-wrap-style:none;z-index:251666432;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IhleIdMAAAAIAQAADwAAAAAA&#10;AAABACAAAAAiAAAAZHJzL2Rvd25yZXYueG1sUEsBAhQAFAAAAAgAh07iQH6pQKrfAQAAwgMAAA4A&#10;AAAAAAAAAQAgAAAAIgEAAGRycy9lMm9Eb2MueG1sUEsFBgAAAAAGAAYAWQEAAHMFAAAAAA==&#10;">
              <v:fill on="f" focussize="0,0"/>
              <v:stroke on="f"/>
              <v:imagedata o:title=""/>
              <o:lock v:ext="edit" aspectratio="f"/>
              <v:textbox inset="0mm,0mm,0mm,0mm" style="mso-fit-shape-to-text:t;">
                <w:txbxContent>
                  <w:p w14:paraId="5A795098">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9</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E39AFE">
    <w:pPr>
      <w:overflowPunct w:val="0"/>
      <w:adjustRightInd w:val="0"/>
      <w:snapToGrid w:val="0"/>
      <w:spacing w:line="240" w:lineRule="atLeast"/>
      <w:ind w:firstLine="360" w:firstLineChars="200"/>
      <w:jc w:val="center"/>
      <w:rPr>
        <w:rFonts w:ascii="仿宋_GB2312" w:hAnsi="仿宋_GB2312" w:eastAsia="仿宋_GB2312" w:cs="仿宋_GB2312"/>
        <w:sz w:val="18"/>
        <w:szCs w:val="18"/>
      </w:rPr>
    </w:pPr>
    <w:r>
      <w:rPr>
        <w:rFonts w:ascii="仿宋_GB2312" w:hAnsi="仿宋_GB2312" w:eastAsia="仿宋_GB2312" w:cs="仿宋_GB2312"/>
        <w:sz w:val="18"/>
        <w:szCs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D238E9">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12</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vert="horz" wrap="none" lIns="0" tIns="0" rIns="0" bIns="0" anchor="t" anchorCtr="0" upright="1">
                      <a:spAutoFit/>
                    </wps:bodyPr>
                  </wps:wsp>
                </a:graphicData>
              </a:graphic>
            </wp:anchor>
          </w:drawing>
        </mc:Choice>
        <mc:Fallback>
          <w:pict>
            <v:shape id="文本框 2" o:spid="_x0000_s1026" o:spt="202" type="#_x0000_t202" style="position:absolute;left:0pt;margin-top:-13.5pt;height:144pt;width:144pt;mso-position-horizontal:outside;mso-position-horizontal-relative:margin;mso-wrap-style:none;z-index:251660288;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IZXiHTAAAACAEAAA8AAAAAAAAA&#10;AQAgAAAAIgAAAGRycy9kb3ducmV2LnhtbFBLAQIUABQAAAAIAIdO4kC4477v3QEAAL4DAAAOAAAA&#10;AAAAAAEAIAAAACIBAABkcnMvZTJvRG9jLnhtbFBLBQYAAAAABgAGAFkBAABxBQAAAAA=&#10;">
              <v:fill on="f" focussize="0,0"/>
              <v:stroke on="f"/>
              <v:imagedata o:title=""/>
              <o:lock v:ext="edit" aspectratio="f"/>
              <v:textbox inset="0mm,0mm,0mm,0mm" style="mso-fit-shape-to-text:t;">
                <w:txbxContent>
                  <w:p w14:paraId="0DD238E9">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12</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97BD2">
    <w:pPr>
      <w:pStyle w:val="11"/>
      <w:spacing w:line="360" w:lineRule="exact"/>
      <w:jc w:val="both"/>
      <w:rPr>
        <w:rFonts w:ascii="宋体" w:hAnsi="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-171450</wp:posOffset>
              </wp:positionV>
              <wp:extent cx="622935" cy="250190"/>
              <wp:effectExtent l="0" t="0" r="0" b="0"/>
              <wp:wrapNone/>
              <wp:docPr id="5" name="Text Box 5"/>
              <wp:cNvGraphicFramePr/>
              <a:graphic xmlns:a="http://schemas.openxmlformats.org/drawingml/2006/main">
                <a:graphicData uri="http://schemas.microsoft.com/office/word/2010/wordprocessingShape">
                  <wps:wsp>
                    <wps:cNvSpPr txBox="1"/>
                    <wps:spPr>
                      <a:xfrm>
                        <a:off x="0" y="0"/>
                        <a:ext cx="622935" cy="250190"/>
                      </a:xfrm>
                      <a:prstGeom prst="rect">
                        <a:avLst/>
                      </a:prstGeom>
                      <a:noFill/>
                      <a:ln>
                        <a:noFill/>
                      </a:ln>
                    </wps:spPr>
                    <wps:txbx>
                      <w:txbxContent>
                        <w:p w14:paraId="3A5A15A5">
                          <w:pPr>
                            <w:pStyle w:val="11"/>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18</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vert="horz" wrap="none" lIns="0" tIns="0" rIns="0" bIns="0" anchor="t" anchorCtr="0" upright="1"/>
                  </wps:wsp>
                </a:graphicData>
              </a:graphic>
            </wp:anchor>
          </w:drawing>
        </mc:Choice>
        <mc:Fallback>
          <w:pict>
            <v:shape id="Text Box 5" o:spid="_x0000_s1026" o:spt="202" type="#_x0000_t202" style="position:absolute;left:0pt;margin-top:-13.5pt;height:19.7pt;width:49.05pt;mso-position-horizontal:outside;mso-position-horizontal-relative:margin;mso-wrap-style:none;z-index:251659264;mso-width-relative:page;mso-height-relative:page;" filled="f" stroked="f" coordsize="21600,21600" o:gfxdata="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goXgV1AAAAAYBAAAPAAAAAAAAAAEAIAAAACIAAABkcnMvZG93bnJl&#10;di54bWxQSwECFAAUAAAACACHTuJARJWNDcgBAAChAwAADgAAAAAAAAABACAAAAAjAQAAZHJzL2Uy&#10;b0RvYy54bWxQSwUGAAAAAAYABgBZAQAAXQUAAAAA&#10;">
              <v:fill on="f" focussize="0,0"/>
              <v:stroke on="f"/>
              <v:imagedata o:title=""/>
              <o:lock v:ext="edit" aspectratio="f"/>
              <v:textbox inset="0mm,0mm,0mm,0mm">
                <w:txbxContent>
                  <w:p w14:paraId="3A5A15A5">
                    <w:pPr>
                      <w:pStyle w:val="11"/>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hint="eastAsia" w:ascii="宋体" w:hAnsi="宋体" w:cs="宋体"/>
                        <w:sz w:val="28"/>
                        <w:szCs w:val="28"/>
                      </w:rPr>
                      <w:t>18</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51F64A">
    <w:pPr>
      <w:pStyle w:val="11"/>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-171450</wp:posOffset>
              </wp:positionV>
              <wp:extent cx="1828800" cy="1828800"/>
              <wp:effectExtent l="0" t="0" r="0" b="0"/>
              <wp:wrapNone/>
              <wp:docPr id="8" name="文本框 10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CB7E4AF">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17</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wps:txbx>
                    <wps:bodyPr vert="horz" wrap="none" lIns="0" tIns="0" rIns="0" bIns="0" anchor="t" anchorCtr="0" upright="0">
                      <a:spAutoFit/>
                    </wps:bodyPr>
                  </wps:wsp>
                </a:graphicData>
              </a:graphic>
            </wp:anchor>
          </w:drawing>
        </mc:Choice>
        <mc:Fallback>
          <w:pict>
            <v:shape id="文本框 1062" o:spid="_x0000_s1026" o:spt="202" type="#_x0000_t202" style="position:absolute;left:0pt;margin-top:-13.5pt;height:144pt;width:144pt;mso-position-horizontal:outside;mso-position-horizontal-relative:margin;mso-wrap-style:none;z-index:251662336;mso-width-relative:page;mso-height-relative:page;" filled="f" stroked="f" coordsize="21600,21600" o:gfxdata="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IhleIdMAAAAIAQAADwAAAAAA&#10;AAABACAAAAAiAAAAZHJzL2Rvd25yZXYueG1sUEsBAhQAFAAAAAgAh07iQKEGE9DfAQAAwQMAAA4A&#10;AAAAAAAAAQAgAAAAIgEAAGRycy9lMm9Eb2MueG1sUEsFBgAAAAAGAAYAWQEAAHMFAAAAAA==&#10;">
              <v:fill on="f" focussize="0,0"/>
              <v:stroke on="f"/>
              <v:imagedata o:title=""/>
              <o:lock v:ext="edit" aspectratio="f"/>
              <v:textbox inset="0mm,0mm,0mm,0mm" style="mso-fit-shape-to-text:t;">
                <w:txbxContent>
                  <w:p w14:paraId="3CB7E4AF">
                    <w:pPr>
                      <w:pStyle w:val="11"/>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PAGE  \* MERGEFORMAT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t>17</w:t>
                    </w:r>
                    <w:r>
                      <w:rPr>
                        <w:rFonts w:hint="default" w:ascii="Times New Roman" w:hAnsi="Times New Roman" w:eastAsia="仿宋_GB2312" w:cs="Times New Roman"/>
                        <w:sz w:val="28"/>
                        <w:szCs w:val="28"/>
                      </w:rPr>
                      <w:fldChar w:fldCharType="end"/>
                    </w:r>
                    <w:r>
                      <w:rPr>
                        <w:rFonts w:hint="eastAsia" w:ascii="仿宋_GB2312" w:hAnsi="仿宋_GB2312" w:eastAsia="仿宋_GB2312" w:cs="仿宋_GB2312"/>
                        <w:sz w:val="32"/>
                        <w:szCs w:val="32"/>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D4175">
    <w:pPr>
      <w:pStyle w:val="12"/>
      <w:pBdr>
        <w:top w:val="none" w:color="auto" w:sz="0" w:space="0"/>
        <w:left w:val="none" w:color="auto" w:sz="0" w:space="0"/>
        <w:bottom w:val="none" w:color="auto" w:sz="0" w:space="1"/>
        <w:right w:val="none" w:color="auto" w:sz="0" w:space="0"/>
        <w:between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573D4">
    <w:pPr>
      <w:widowControl/>
      <w:overflowPunct w:val="0"/>
      <w:adjustRightInd w:val="0"/>
      <w:snapToGrid w:val="0"/>
      <w:spacing w:line="560" w:lineRule="exact"/>
      <w:rPr>
        <w:rFonts w:ascii="仿宋_GB2312" w:hAnsi="仿宋_GB2312" w:eastAsia="仿宋_GB2312" w:cs="仿宋_GB2312"/>
        <w:kern w:val="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D86754">
    <w:pPr>
      <w:pStyle w:val="12"/>
      <w:pBdr>
        <w:top w:val="none" w:color="auto" w:sz="0" w:space="0"/>
        <w:left w:val="none" w:color="auto" w:sz="0" w:space="0"/>
        <w:bottom w:val="none" w:color="auto" w:sz="0" w:space="1"/>
        <w:right w:val="none" w:color="auto" w:sz="0" w:space="0"/>
        <w:between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A3554">
    <w:pPr>
      <w:pStyle w:val="12"/>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04BE50">
    <w:pPr>
      <w:pStyle w:val="12"/>
      <w:pBdr>
        <w:top w:val="none" w:color="auto" w:sz="0" w:space="0"/>
        <w:left w:val="none" w:color="auto" w:sz="0" w:space="0"/>
        <w:bottom w:val="none" w:color="auto" w:sz="0" w:space="1"/>
        <w:right w:val="none" w:color="auto" w:sz="0" w:space="0"/>
        <w:between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1"/>
  <w:bordersDoNotSurroundFooter w:val="1"/>
  <w:documentProtection w:enforcement="0"/>
  <w:defaultTabStop w:val="420"/>
  <w:hyphenationZone w:val="360"/>
  <w:drawingGridHorizontalSpacing w:val="210"/>
  <w:drawingGridVerticalSpacing w:val="158"/>
  <w:displayHorizontalDrawingGridEvery w:val="1"/>
  <w:displayVerticalDrawingGridEvery w:val="2"/>
  <w:characterSpacingControl w:val="compressPunctuation"/>
  <w:hdrShapeDefaults>
    <o:shapelayout v:ext="edit">
      <o:idmap v:ext="edit" data="2,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87F6923"/>
    <w:rsid w:val="000002F1"/>
    <w:rsid w:val="00000F55"/>
    <w:rsid w:val="000045D6"/>
    <w:rsid w:val="00020D2A"/>
    <w:rsid w:val="00024006"/>
    <w:rsid w:val="000310D0"/>
    <w:rsid w:val="000332C3"/>
    <w:rsid w:val="000543BF"/>
    <w:rsid w:val="00056C43"/>
    <w:rsid w:val="00064356"/>
    <w:rsid w:val="000650BC"/>
    <w:rsid w:val="00074AA6"/>
    <w:rsid w:val="00075405"/>
    <w:rsid w:val="0007604C"/>
    <w:rsid w:val="00080ABC"/>
    <w:rsid w:val="00082B48"/>
    <w:rsid w:val="000848DC"/>
    <w:rsid w:val="00086F61"/>
    <w:rsid w:val="00090177"/>
    <w:rsid w:val="000958FB"/>
    <w:rsid w:val="00095A3D"/>
    <w:rsid w:val="000A2E76"/>
    <w:rsid w:val="000B6F89"/>
    <w:rsid w:val="000C12DE"/>
    <w:rsid w:val="000C1AE3"/>
    <w:rsid w:val="000D4071"/>
    <w:rsid w:val="000E4BB4"/>
    <w:rsid w:val="000F3210"/>
    <w:rsid w:val="000F369E"/>
    <w:rsid w:val="000F38E3"/>
    <w:rsid w:val="000F518C"/>
    <w:rsid w:val="000F6F50"/>
    <w:rsid w:val="000F7248"/>
    <w:rsid w:val="001011E4"/>
    <w:rsid w:val="001014C1"/>
    <w:rsid w:val="0011417A"/>
    <w:rsid w:val="001179BC"/>
    <w:rsid w:val="00122223"/>
    <w:rsid w:val="00124233"/>
    <w:rsid w:val="00143345"/>
    <w:rsid w:val="0014506C"/>
    <w:rsid w:val="001528C3"/>
    <w:rsid w:val="00157938"/>
    <w:rsid w:val="00157C4D"/>
    <w:rsid w:val="0016161B"/>
    <w:rsid w:val="0017337B"/>
    <w:rsid w:val="00173CC8"/>
    <w:rsid w:val="00183C60"/>
    <w:rsid w:val="00183E30"/>
    <w:rsid w:val="001910CE"/>
    <w:rsid w:val="00194269"/>
    <w:rsid w:val="001A3E4C"/>
    <w:rsid w:val="001A5CB6"/>
    <w:rsid w:val="001B2E7C"/>
    <w:rsid w:val="001B49F0"/>
    <w:rsid w:val="001C7F46"/>
    <w:rsid w:val="001D390D"/>
    <w:rsid w:val="001E6799"/>
    <w:rsid w:val="0021055E"/>
    <w:rsid w:val="002177BE"/>
    <w:rsid w:val="00221285"/>
    <w:rsid w:val="00224E91"/>
    <w:rsid w:val="00242EB2"/>
    <w:rsid w:val="0024545E"/>
    <w:rsid w:val="00251261"/>
    <w:rsid w:val="002513F4"/>
    <w:rsid w:val="002539DB"/>
    <w:rsid w:val="002546D9"/>
    <w:rsid w:val="0025551C"/>
    <w:rsid w:val="002718DF"/>
    <w:rsid w:val="00287AAE"/>
    <w:rsid w:val="00294BD7"/>
    <w:rsid w:val="002951A6"/>
    <w:rsid w:val="002975AC"/>
    <w:rsid w:val="002A3792"/>
    <w:rsid w:val="002C7CAD"/>
    <w:rsid w:val="002D02E5"/>
    <w:rsid w:val="002D1462"/>
    <w:rsid w:val="002E197D"/>
    <w:rsid w:val="002E22FF"/>
    <w:rsid w:val="00301927"/>
    <w:rsid w:val="00301B62"/>
    <w:rsid w:val="00310AA9"/>
    <w:rsid w:val="003172AC"/>
    <w:rsid w:val="0032056E"/>
    <w:rsid w:val="00326A0C"/>
    <w:rsid w:val="00340EAD"/>
    <w:rsid w:val="00355CA7"/>
    <w:rsid w:val="00366729"/>
    <w:rsid w:val="00375591"/>
    <w:rsid w:val="003758E4"/>
    <w:rsid w:val="00385E7E"/>
    <w:rsid w:val="00392B63"/>
    <w:rsid w:val="0039657C"/>
    <w:rsid w:val="00396CAE"/>
    <w:rsid w:val="003B364F"/>
    <w:rsid w:val="003C48E0"/>
    <w:rsid w:val="003C6B62"/>
    <w:rsid w:val="003D7A4F"/>
    <w:rsid w:val="003E2531"/>
    <w:rsid w:val="003E420D"/>
    <w:rsid w:val="003E5397"/>
    <w:rsid w:val="003F1CF8"/>
    <w:rsid w:val="003F1E2C"/>
    <w:rsid w:val="003F2513"/>
    <w:rsid w:val="003F66C8"/>
    <w:rsid w:val="00411A4B"/>
    <w:rsid w:val="00412DBE"/>
    <w:rsid w:val="00420312"/>
    <w:rsid w:val="00432939"/>
    <w:rsid w:val="00435EB9"/>
    <w:rsid w:val="00436309"/>
    <w:rsid w:val="00451939"/>
    <w:rsid w:val="0045446C"/>
    <w:rsid w:val="0046084D"/>
    <w:rsid w:val="00460B46"/>
    <w:rsid w:val="00461956"/>
    <w:rsid w:val="004652B3"/>
    <w:rsid w:val="00467301"/>
    <w:rsid w:val="00470EEC"/>
    <w:rsid w:val="00475153"/>
    <w:rsid w:val="00480D67"/>
    <w:rsid w:val="0048462D"/>
    <w:rsid w:val="00485383"/>
    <w:rsid w:val="00492057"/>
    <w:rsid w:val="00493B51"/>
    <w:rsid w:val="004B3D2A"/>
    <w:rsid w:val="004C449C"/>
    <w:rsid w:val="004C59C9"/>
    <w:rsid w:val="004D13BC"/>
    <w:rsid w:val="004D6EE5"/>
    <w:rsid w:val="004D72CB"/>
    <w:rsid w:val="004F0CAE"/>
    <w:rsid w:val="004F155E"/>
    <w:rsid w:val="00514691"/>
    <w:rsid w:val="005315A4"/>
    <w:rsid w:val="00543354"/>
    <w:rsid w:val="005530FE"/>
    <w:rsid w:val="00571856"/>
    <w:rsid w:val="005728CF"/>
    <w:rsid w:val="00576564"/>
    <w:rsid w:val="005802FA"/>
    <w:rsid w:val="00585CDF"/>
    <w:rsid w:val="0059366F"/>
    <w:rsid w:val="005A05FD"/>
    <w:rsid w:val="005A4022"/>
    <w:rsid w:val="005A45E7"/>
    <w:rsid w:val="005B5143"/>
    <w:rsid w:val="005C2387"/>
    <w:rsid w:val="005C550A"/>
    <w:rsid w:val="005D02FF"/>
    <w:rsid w:val="005D1EF7"/>
    <w:rsid w:val="005D3C02"/>
    <w:rsid w:val="005D5F9B"/>
    <w:rsid w:val="005E6BD3"/>
    <w:rsid w:val="005E7B75"/>
    <w:rsid w:val="005F0A3B"/>
    <w:rsid w:val="005F2501"/>
    <w:rsid w:val="005F2B35"/>
    <w:rsid w:val="00601A7A"/>
    <w:rsid w:val="006337F8"/>
    <w:rsid w:val="00646C4C"/>
    <w:rsid w:val="00647244"/>
    <w:rsid w:val="0066006F"/>
    <w:rsid w:val="00672C88"/>
    <w:rsid w:val="00673E4F"/>
    <w:rsid w:val="00692AB5"/>
    <w:rsid w:val="006937AE"/>
    <w:rsid w:val="006A11B1"/>
    <w:rsid w:val="006B1924"/>
    <w:rsid w:val="006D055A"/>
    <w:rsid w:val="006D70E0"/>
    <w:rsid w:val="006E68D3"/>
    <w:rsid w:val="00700D11"/>
    <w:rsid w:val="00715187"/>
    <w:rsid w:val="007236AF"/>
    <w:rsid w:val="00727900"/>
    <w:rsid w:val="00731295"/>
    <w:rsid w:val="007319E5"/>
    <w:rsid w:val="00732A3B"/>
    <w:rsid w:val="00736C57"/>
    <w:rsid w:val="00766A29"/>
    <w:rsid w:val="00780B22"/>
    <w:rsid w:val="00782B80"/>
    <w:rsid w:val="007900F7"/>
    <w:rsid w:val="007B578A"/>
    <w:rsid w:val="007B6E81"/>
    <w:rsid w:val="007B776C"/>
    <w:rsid w:val="007C330F"/>
    <w:rsid w:val="007C3DF2"/>
    <w:rsid w:val="007C7D17"/>
    <w:rsid w:val="007D5F53"/>
    <w:rsid w:val="007E5050"/>
    <w:rsid w:val="007E6699"/>
    <w:rsid w:val="008008A3"/>
    <w:rsid w:val="008011F2"/>
    <w:rsid w:val="00802E58"/>
    <w:rsid w:val="00807D66"/>
    <w:rsid w:val="008206C8"/>
    <w:rsid w:val="00824133"/>
    <w:rsid w:val="00824F7E"/>
    <w:rsid w:val="00827E39"/>
    <w:rsid w:val="00831804"/>
    <w:rsid w:val="00833F4B"/>
    <w:rsid w:val="00841148"/>
    <w:rsid w:val="00843766"/>
    <w:rsid w:val="00851578"/>
    <w:rsid w:val="00852B03"/>
    <w:rsid w:val="00871C90"/>
    <w:rsid w:val="00874932"/>
    <w:rsid w:val="0088764E"/>
    <w:rsid w:val="00894586"/>
    <w:rsid w:val="008B2639"/>
    <w:rsid w:val="008D4478"/>
    <w:rsid w:val="008E3D5E"/>
    <w:rsid w:val="008F3D02"/>
    <w:rsid w:val="008F6383"/>
    <w:rsid w:val="0090136C"/>
    <w:rsid w:val="00902B6F"/>
    <w:rsid w:val="00914BC9"/>
    <w:rsid w:val="0091512E"/>
    <w:rsid w:val="00921B71"/>
    <w:rsid w:val="009223CE"/>
    <w:rsid w:val="00924D4D"/>
    <w:rsid w:val="009274E2"/>
    <w:rsid w:val="00933C59"/>
    <w:rsid w:val="009411B9"/>
    <w:rsid w:val="0095073F"/>
    <w:rsid w:val="00957787"/>
    <w:rsid w:val="00957A9B"/>
    <w:rsid w:val="00964E62"/>
    <w:rsid w:val="009664B7"/>
    <w:rsid w:val="00971771"/>
    <w:rsid w:val="00981278"/>
    <w:rsid w:val="00990A61"/>
    <w:rsid w:val="00991840"/>
    <w:rsid w:val="00995E40"/>
    <w:rsid w:val="009A36EE"/>
    <w:rsid w:val="009A48ED"/>
    <w:rsid w:val="009B0742"/>
    <w:rsid w:val="009C5486"/>
    <w:rsid w:val="009D1A9E"/>
    <w:rsid w:val="009E086D"/>
    <w:rsid w:val="009E64BF"/>
    <w:rsid w:val="009F062D"/>
    <w:rsid w:val="009F1D81"/>
    <w:rsid w:val="009F38DA"/>
    <w:rsid w:val="009F7CAE"/>
    <w:rsid w:val="00A06A48"/>
    <w:rsid w:val="00A16656"/>
    <w:rsid w:val="00A21708"/>
    <w:rsid w:val="00A21EA2"/>
    <w:rsid w:val="00A22EA0"/>
    <w:rsid w:val="00A241EA"/>
    <w:rsid w:val="00A301F6"/>
    <w:rsid w:val="00A3236C"/>
    <w:rsid w:val="00A32D51"/>
    <w:rsid w:val="00A43BBB"/>
    <w:rsid w:val="00A469D1"/>
    <w:rsid w:val="00A4793B"/>
    <w:rsid w:val="00A50934"/>
    <w:rsid w:val="00A52EAA"/>
    <w:rsid w:val="00A55C92"/>
    <w:rsid w:val="00A56B53"/>
    <w:rsid w:val="00A56E5E"/>
    <w:rsid w:val="00A57520"/>
    <w:rsid w:val="00A62B2B"/>
    <w:rsid w:val="00A640D7"/>
    <w:rsid w:val="00A7698E"/>
    <w:rsid w:val="00A77A7C"/>
    <w:rsid w:val="00A922C5"/>
    <w:rsid w:val="00AA049C"/>
    <w:rsid w:val="00AB5361"/>
    <w:rsid w:val="00AC134C"/>
    <w:rsid w:val="00AC3DF7"/>
    <w:rsid w:val="00AC51D8"/>
    <w:rsid w:val="00AD4EEA"/>
    <w:rsid w:val="00AE0369"/>
    <w:rsid w:val="00AE4F06"/>
    <w:rsid w:val="00AE71C8"/>
    <w:rsid w:val="00AF0A05"/>
    <w:rsid w:val="00AF0B3E"/>
    <w:rsid w:val="00AF2244"/>
    <w:rsid w:val="00AF58CA"/>
    <w:rsid w:val="00AF5DE0"/>
    <w:rsid w:val="00B000BD"/>
    <w:rsid w:val="00B0207B"/>
    <w:rsid w:val="00B1275E"/>
    <w:rsid w:val="00B2484C"/>
    <w:rsid w:val="00B31F85"/>
    <w:rsid w:val="00B52205"/>
    <w:rsid w:val="00B6339F"/>
    <w:rsid w:val="00BA13CB"/>
    <w:rsid w:val="00BA4307"/>
    <w:rsid w:val="00BA52F7"/>
    <w:rsid w:val="00BB2FC6"/>
    <w:rsid w:val="00BC3BA6"/>
    <w:rsid w:val="00BD007D"/>
    <w:rsid w:val="00BD5664"/>
    <w:rsid w:val="00BD6D49"/>
    <w:rsid w:val="00BE2F0D"/>
    <w:rsid w:val="00BE532B"/>
    <w:rsid w:val="00BE797D"/>
    <w:rsid w:val="00BF1BD3"/>
    <w:rsid w:val="00BF33B8"/>
    <w:rsid w:val="00BF7728"/>
    <w:rsid w:val="00C06A55"/>
    <w:rsid w:val="00C1267B"/>
    <w:rsid w:val="00C22375"/>
    <w:rsid w:val="00C27326"/>
    <w:rsid w:val="00C2773E"/>
    <w:rsid w:val="00C32C34"/>
    <w:rsid w:val="00C355E8"/>
    <w:rsid w:val="00C44C95"/>
    <w:rsid w:val="00C4713B"/>
    <w:rsid w:val="00C50D26"/>
    <w:rsid w:val="00C52E2C"/>
    <w:rsid w:val="00C66A72"/>
    <w:rsid w:val="00C73C2A"/>
    <w:rsid w:val="00C75C33"/>
    <w:rsid w:val="00C76983"/>
    <w:rsid w:val="00C77FD8"/>
    <w:rsid w:val="00C80434"/>
    <w:rsid w:val="00C81658"/>
    <w:rsid w:val="00C85FE5"/>
    <w:rsid w:val="00C9192E"/>
    <w:rsid w:val="00C94256"/>
    <w:rsid w:val="00C95912"/>
    <w:rsid w:val="00C95C3C"/>
    <w:rsid w:val="00CA353A"/>
    <w:rsid w:val="00CA6196"/>
    <w:rsid w:val="00CC0100"/>
    <w:rsid w:val="00CC68AD"/>
    <w:rsid w:val="00CD4A58"/>
    <w:rsid w:val="00CE505D"/>
    <w:rsid w:val="00D16474"/>
    <w:rsid w:val="00D26E0D"/>
    <w:rsid w:val="00D3394E"/>
    <w:rsid w:val="00D46522"/>
    <w:rsid w:val="00D50D8A"/>
    <w:rsid w:val="00D60630"/>
    <w:rsid w:val="00D61433"/>
    <w:rsid w:val="00D62BFB"/>
    <w:rsid w:val="00D638BA"/>
    <w:rsid w:val="00D80D98"/>
    <w:rsid w:val="00DA58B3"/>
    <w:rsid w:val="00DC5977"/>
    <w:rsid w:val="00DD5BF7"/>
    <w:rsid w:val="00DE6CDC"/>
    <w:rsid w:val="00DF60A8"/>
    <w:rsid w:val="00E0750D"/>
    <w:rsid w:val="00E15FCA"/>
    <w:rsid w:val="00E16CFC"/>
    <w:rsid w:val="00E17C4D"/>
    <w:rsid w:val="00E21F7A"/>
    <w:rsid w:val="00E32D80"/>
    <w:rsid w:val="00E33C7F"/>
    <w:rsid w:val="00E34AF9"/>
    <w:rsid w:val="00E40241"/>
    <w:rsid w:val="00E4784D"/>
    <w:rsid w:val="00E66342"/>
    <w:rsid w:val="00E67D9B"/>
    <w:rsid w:val="00E724A0"/>
    <w:rsid w:val="00E76190"/>
    <w:rsid w:val="00E87771"/>
    <w:rsid w:val="00E9289F"/>
    <w:rsid w:val="00E95B2E"/>
    <w:rsid w:val="00E9621D"/>
    <w:rsid w:val="00EA24BA"/>
    <w:rsid w:val="00EC2EB8"/>
    <w:rsid w:val="00ED05A5"/>
    <w:rsid w:val="00EE269B"/>
    <w:rsid w:val="00EF4C03"/>
    <w:rsid w:val="00F028DA"/>
    <w:rsid w:val="00F03046"/>
    <w:rsid w:val="00F07C85"/>
    <w:rsid w:val="00F233D0"/>
    <w:rsid w:val="00F23782"/>
    <w:rsid w:val="00F3111F"/>
    <w:rsid w:val="00F31E23"/>
    <w:rsid w:val="00F33BCE"/>
    <w:rsid w:val="00F4571B"/>
    <w:rsid w:val="00F60DB5"/>
    <w:rsid w:val="00F62D3A"/>
    <w:rsid w:val="00F71396"/>
    <w:rsid w:val="00FA3C60"/>
    <w:rsid w:val="00FB0EA7"/>
    <w:rsid w:val="00FC6160"/>
    <w:rsid w:val="00FD12DB"/>
    <w:rsid w:val="00FD1FFE"/>
    <w:rsid w:val="00FD5E71"/>
    <w:rsid w:val="00FE46B3"/>
    <w:rsid w:val="00FF0E72"/>
    <w:rsid w:val="00FF2808"/>
    <w:rsid w:val="00FF3AC2"/>
    <w:rsid w:val="00FF3C7A"/>
    <w:rsid w:val="010630D0"/>
    <w:rsid w:val="034F6973"/>
    <w:rsid w:val="05CE6EB1"/>
    <w:rsid w:val="06982F19"/>
    <w:rsid w:val="087F6923"/>
    <w:rsid w:val="0B616901"/>
    <w:rsid w:val="0D445412"/>
    <w:rsid w:val="0EAA760A"/>
    <w:rsid w:val="16295DD9"/>
    <w:rsid w:val="25565D1A"/>
    <w:rsid w:val="27E239F2"/>
    <w:rsid w:val="280F74E7"/>
    <w:rsid w:val="2BC00920"/>
    <w:rsid w:val="2BE01BD6"/>
    <w:rsid w:val="2DBB9EC8"/>
    <w:rsid w:val="30B4648D"/>
    <w:rsid w:val="31E36869"/>
    <w:rsid w:val="32DE6E78"/>
    <w:rsid w:val="335F56CE"/>
    <w:rsid w:val="355A3E1C"/>
    <w:rsid w:val="365A443E"/>
    <w:rsid w:val="373B525E"/>
    <w:rsid w:val="38FB5317"/>
    <w:rsid w:val="393E16A4"/>
    <w:rsid w:val="39B76556"/>
    <w:rsid w:val="39C7D0F5"/>
    <w:rsid w:val="3ACBA423"/>
    <w:rsid w:val="3B1FC398"/>
    <w:rsid w:val="3B378168"/>
    <w:rsid w:val="3C730A48"/>
    <w:rsid w:val="3F814D97"/>
    <w:rsid w:val="3FF7F52E"/>
    <w:rsid w:val="409A21BD"/>
    <w:rsid w:val="40C44895"/>
    <w:rsid w:val="448F25B4"/>
    <w:rsid w:val="49051EC1"/>
    <w:rsid w:val="49BF6941"/>
    <w:rsid w:val="4AEB42B2"/>
    <w:rsid w:val="4B0A3EDB"/>
    <w:rsid w:val="4D981343"/>
    <w:rsid w:val="4DEF3E89"/>
    <w:rsid w:val="4E80705D"/>
    <w:rsid w:val="4F9F7D77"/>
    <w:rsid w:val="4FF87C41"/>
    <w:rsid w:val="526BFAD4"/>
    <w:rsid w:val="55625F0C"/>
    <w:rsid w:val="55F51A69"/>
    <w:rsid w:val="5AF35FEF"/>
    <w:rsid w:val="5BDF3788"/>
    <w:rsid w:val="5CA5570E"/>
    <w:rsid w:val="5CC44C22"/>
    <w:rsid w:val="5D1E7563"/>
    <w:rsid w:val="5E7F32B2"/>
    <w:rsid w:val="5FEF874B"/>
    <w:rsid w:val="5FF62D62"/>
    <w:rsid w:val="6097591A"/>
    <w:rsid w:val="63317BAB"/>
    <w:rsid w:val="642971E3"/>
    <w:rsid w:val="65081EF0"/>
    <w:rsid w:val="66C9548A"/>
    <w:rsid w:val="68CB0E27"/>
    <w:rsid w:val="68EF1AEA"/>
    <w:rsid w:val="6BEFCD41"/>
    <w:rsid w:val="6CC05E78"/>
    <w:rsid w:val="6EE567C2"/>
    <w:rsid w:val="6F797B09"/>
    <w:rsid w:val="6F7EDBE6"/>
    <w:rsid w:val="6FBD5DC6"/>
    <w:rsid w:val="700E0E59"/>
    <w:rsid w:val="708664A7"/>
    <w:rsid w:val="71AC61BE"/>
    <w:rsid w:val="71ED0839"/>
    <w:rsid w:val="73CB7025"/>
    <w:rsid w:val="73CC3568"/>
    <w:rsid w:val="746D3BA9"/>
    <w:rsid w:val="75477E01"/>
    <w:rsid w:val="771D4F71"/>
    <w:rsid w:val="77DB6926"/>
    <w:rsid w:val="77E35A7F"/>
    <w:rsid w:val="77E7D3D5"/>
    <w:rsid w:val="77FA63BC"/>
    <w:rsid w:val="7804098D"/>
    <w:rsid w:val="7A5B709F"/>
    <w:rsid w:val="7B0423A9"/>
    <w:rsid w:val="7B672258"/>
    <w:rsid w:val="7B853083"/>
    <w:rsid w:val="7BAC284C"/>
    <w:rsid w:val="7BCC0671"/>
    <w:rsid w:val="7D766EB8"/>
    <w:rsid w:val="7DFE8B05"/>
    <w:rsid w:val="7DFF05DA"/>
    <w:rsid w:val="7DFF731F"/>
    <w:rsid w:val="7E195214"/>
    <w:rsid w:val="7F7C09D2"/>
    <w:rsid w:val="7FDCEE19"/>
    <w:rsid w:val="7FDDCFDF"/>
    <w:rsid w:val="7FEF8F7E"/>
    <w:rsid w:val="7FF1BA5D"/>
    <w:rsid w:val="7FFB6C78"/>
    <w:rsid w:val="7FFD8599"/>
    <w:rsid w:val="93FE7B13"/>
    <w:rsid w:val="97FE47F4"/>
    <w:rsid w:val="9F834700"/>
    <w:rsid w:val="A5BBA65B"/>
    <w:rsid w:val="AC9F28CF"/>
    <w:rsid w:val="AFDD2337"/>
    <w:rsid w:val="BDD42B31"/>
    <w:rsid w:val="BE7FEB03"/>
    <w:rsid w:val="BF2F916F"/>
    <w:rsid w:val="BF7B0C10"/>
    <w:rsid w:val="BF8B0EB7"/>
    <w:rsid w:val="BFAF52A9"/>
    <w:rsid w:val="CBFF75BF"/>
    <w:rsid w:val="CF778927"/>
    <w:rsid w:val="D5E7005E"/>
    <w:rsid w:val="DBBCACB4"/>
    <w:rsid w:val="DBD69646"/>
    <w:rsid w:val="DD7FC77F"/>
    <w:rsid w:val="DEFDBDE3"/>
    <w:rsid w:val="DFDBF448"/>
    <w:rsid w:val="DFFF8725"/>
    <w:rsid w:val="E3DF7FC2"/>
    <w:rsid w:val="E5BBE460"/>
    <w:rsid w:val="E7AB668E"/>
    <w:rsid w:val="EBFFBB08"/>
    <w:rsid w:val="EFCFDEDE"/>
    <w:rsid w:val="EFF5F5C6"/>
    <w:rsid w:val="F3BF4E85"/>
    <w:rsid w:val="F3F6A645"/>
    <w:rsid w:val="F5B3E40E"/>
    <w:rsid w:val="F68EC1BB"/>
    <w:rsid w:val="F6976D8B"/>
    <w:rsid w:val="F76AA324"/>
    <w:rsid w:val="F8B58E7C"/>
    <w:rsid w:val="FBC5A9B9"/>
    <w:rsid w:val="FBEBEF67"/>
    <w:rsid w:val="FEDF7305"/>
    <w:rsid w:val="FF3F8DFA"/>
    <w:rsid w:val="FF46DB6C"/>
    <w:rsid w:val="FF660270"/>
    <w:rsid w:val="FFD3ADA4"/>
    <w:rsid w:val="FFFF34C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semiHidden="0" w:name="Date"/>
    <w:lsdException w:uiPriority="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99" w:semiHidden="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2"/>
      <w:lang w:val="en-US" w:eastAsia="zh-CN" w:bidi="ar-SA"/>
    </w:rPr>
  </w:style>
  <w:style w:type="character" w:default="1" w:styleId="18">
    <w:name w:val="Default Paragraph Font"/>
    <w:unhideWhenUsed/>
    <w:qFormat/>
    <w:uiPriority w:val="1"/>
  </w:style>
  <w:style w:type="table" w:default="1" w:styleId="16">
    <w:name w:val="Normal Table"/>
    <w:unhideWhenUsed/>
    <w:qFormat/>
    <w:uiPriority w:val="99"/>
    <w:tblPr>
      <w:tblStyle w:val="16"/>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
    <w:name w:val="纯文本1"/>
    <w:basedOn w:val="1"/>
    <w:qFormat/>
    <w:uiPriority w:val="0"/>
    <w:pPr>
      <w:textAlignment w:val="baseline"/>
    </w:pPr>
    <w:rPr>
      <w:rFonts w:ascii="宋体" w:hAnsi="Courier New" w:eastAsia="宋体" w:cs="Times New Roman"/>
    </w:rPr>
  </w:style>
  <w:style w:type="paragraph" w:customStyle="1" w:styleId="4">
    <w:name w:val="正文文字 6"/>
    <w:next w:val="1"/>
    <w:qFormat/>
    <w:uiPriority w:val="99"/>
    <w:pPr>
      <w:widowControl w:val="0"/>
      <w:ind w:left="240"/>
      <w:jc w:val="both"/>
    </w:pPr>
    <w:rPr>
      <w:rFonts w:ascii="宋体" w:hAnsi="Times New Roman" w:eastAsia="宋体" w:cs="Times New Roman"/>
      <w:b/>
      <w:bCs/>
      <w:kern w:val="2"/>
      <w:sz w:val="32"/>
      <w:szCs w:val="32"/>
      <w:lang w:val="en-US" w:eastAsia="zh-CN" w:bidi="ar-SA"/>
    </w:rPr>
  </w:style>
  <w:style w:type="paragraph" w:styleId="5">
    <w:name w:val="Normal Indent"/>
    <w:basedOn w:val="1"/>
    <w:next w:val="1"/>
    <w:qFormat/>
    <w:uiPriority w:val="99"/>
    <w:pPr>
      <w:ind w:firstLine="420" w:firstLineChars="200"/>
    </w:pPr>
    <w:rPr>
      <w:rFonts w:cs="Calibri"/>
      <w:szCs w:val="21"/>
    </w:rPr>
  </w:style>
  <w:style w:type="paragraph" w:styleId="6">
    <w:name w:val="Body Text"/>
    <w:basedOn w:val="1"/>
    <w:next w:val="7"/>
    <w:qFormat/>
    <w:uiPriority w:val="0"/>
    <w:pPr>
      <w:spacing w:after="120" w:afterLines="0" w:afterAutospacing="0"/>
    </w:pPr>
  </w:style>
  <w:style w:type="paragraph" w:styleId="7">
    <w:name w:val="Title"/>
    <w:basedOn w:val="1"/>
    <w:next w:val="1"/>
    <w:qFormat/>
    <w:uiPriority w:val="0"/>
    <w:pPr>
      <w:widowControl/>
      <w:spacing w:line="590" w:lineRule="exact"/>
      <w:jc w:val="center"/>
      <w:outlineLvl w:val="0"/>
    </w:pPr>
    <w:rPr>
      <w:rFonts w:ascii="Cambria" w:hAnsi="Cambria" w:eastAsia="方正黑体_GBK" w:cs="宋体"/>
      <w:kern w:val="0"/>
      <w:sz w:val="32"/>
      <w:szCs w:val="32"/>
    </w:rPr>
  </w:style>
  <w:style w:type="paragraph" w:styleId="8">
    <w:name w:val="Body Text Indent"/>
    <w:basedOn w:val="1"/>
    <w:unhideWhenUsed/>
    <w:qFormat/>
    <w:uiPriority w:val="0"/>
    <w:pPr>
      <w:adjustRightInd w:val="0"/>
      <w:spacing w:line="300" w:lineRule="auto"/>
      <w:ind w:left="898" w:firstLine="2"/>
      <w:jc w:val="left"/>
      <w:textAlignment w:val="baseline"/>
    </w:pPr>
    <w:rPr>
      <w:rFonts w:ascii="仿宋_GB2312" w:hAnsi="MS Sans Serif"/>
      <w:kern w:val="0"/>
      <w:sz w:val="28"/>
    </w:rPr>
  </w:style>
  <w:style w:type="paragraph" w:styleId="9">
    <w:name w:val="Date"/>
    <w:basedOn w:val="1"/>
    <w:next w:val="1"/>
    <w:link w:val="21"/>
    <w:unhideWhenUsed/>
    <w:qFormat/>
    <w:uiPriority w:val="0"/>
    <w:pPr>
      <w:ind w:left="100" w:leftChars="2500"/>
    </w:pPr>
  </w:style>
  <w:style w:type="paragraph" w:styleId="10">
    <w:name w:val="Balloon Text"/>
    <w:basedOn w:val="1"/>
    <w:link w:val="22"/>
    <w:qFormat/>
    <w:uiPriority w:val="0"/>
    <w:rPr>
      <w:sz w:val="18"/>
      <w:szCs w:val="18"/>
    </w:rPr>
  </w:style>
  <w:style w:type="paragraph" w:styleId="11">
    <w:name w:val="footer"/>
    <w:basedOn w:val="1"/>
    <w:next w:val="1"/>
    <w:link w:val="23"/>
    <w:qFormat/>
    <w:uiPriority w:val="99"/>
    <w:pPr>
      <w:tabs>
        <w:tab w:val="center" w:pos="4153"/>
        <w:tab w:val="right" w:pos="8306"/>
      </w:tabs>
      <w:snapToGrid w:val="0"/>
      <w:jc w:val="left"/>
    </w:pPr>
    <w:rPr>
      <w:sz w:val="18"/>
      <w:szCs w:val="18"/>
    </w:rPr>
  </w:style>
  <w:style w:type="paragraph" w:styleId="12">
    <w:name w:val="header"/>
    <w:basedOn w:val="1"/>
    <w:link w:val="24"/>
    <w:qFormat/>
    <w:uiPriority w:val="99"/>
    <w:pPr>
      <w:pBdr>
        <w:bottom w:val="single" w:color="auto" w:sz="6" w:space="1"/>
      </w:pBdr>
      <w:tabs>
        <w:tab w:val="center" w:pos="4153"/>
        <w:tab w:val="right" w:pos="8306"/>
      </w:tabs>
      <w:snapToGrid w:val="0"/>
      <w:jc w:val="center"/>
    </w:pPr>
    <w:rPr>
      <w:sz w:val="18"/>
      <w:szCs w:val="18"/>
    </w:rPr>
  </w:style>
  <w:style w:type="paragraph" w:styleId="13">
    <w:name w:val="HTML Preformatted"/>
    <w:basedOn w:val="1"/>
    <w:unhideWhenUs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14">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5">
    <w:name w:val="Body Text First Indent 2"/>
    <w:basedOn w:val="8"/>
    <w:qFormat/>
    <w:uiPriority w:val="0"/>
    <w:pPr>
      <w:adjustRightInd/>
      <w:spacing w:after="120" w:line="240" w:lineRule="auto"/>
      <w:ind w:left="420" w:leftChars="200" w:firstLine="420" w:firstLineChars="200"/>
      <w:jc w:val="both"/>
      <w:textAlignment w:val="auto"/>
    </w:pPr>
    <w:rPr>
      <w:rFonts w:ascii="Times New Roman" w:hAnsi="Times New Roman" w:eastAsia="宋体"/>
      <w:sz w:val="24"/>
      <w:szCs w:val="24"/>
    </w:rPr>
  </w:style>
  <w:style w:type="table" w:styleId="17">
    <w:name w:val="Table Grid"/>
    <w:basedOn w:val="16"/>
    <w:qFormat/>
    <w:uiPriority w:val="59"/>
    <w:tblPr>
      <w:tblStyle w:val="16"/>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page number"/>
    <w:qFormat/>
    <w:uiPriority w:val="0"/>
  </w:style>
  <w:style w:type="character" w:styleId="20">
    <w:name w:val="Hyperlink"/>
    <w:basedOn w:val="18"/>
    <w:qFormat/>
    <w:uiPriority w:val="0"/>
    <w:rPr>
      <w:color w:val="0000FF"/>
      <w:u w:val="single"/>
    </w:rPr>
  </w:style>
  <w:style w:type="character" w:customStyle="1" w:styleId="21">
    <w:name w:val="日期 Char"/>
    <w:link w:val="9"/>
    <w:semiHidden/>
    <w:qFormat/>
    <w:uiPriority w:val="0"/>
    <w:rPr>
      <w:kern w:val="2"/>
      <w:sz w:val="21"/>
      <w:szCs w:val="22"/>
    </w:rPr>
  </w:style>
  <w:style w:type="character" w:customStyle="1" w:styleId="22">
    <w:name w:val="批注框文本 Char"/>
    <w:link w:val="10"/>
    <w:qFormat/>
    <w:uiPriority w:val="0"/>
    <w:rPr>
      <w:kern w:val="2"/>
      <w:sz w:val="18"/>
      <w:szCs w:val="18"/>
    </w:rPr>
  </w:style>
  <w:style w:type="character" w:customStyle="1" w:styleId="23">
    <w:name w:val="页脚 Char"/>
    <w:link w:val="11"/>
    <w:qFormat/>
    <w:uiPriority w:val="99"/>
    <w:rPr>
      <w:kern w:val="2"/>
      <w:sz w:val="18"/>
      <w:szCs w:val="18"/>
    </w:rPr>
  </w:style>
  <w:style w:type="character" w:customStyle="1" w:styleId="24">
    <w:name w:val="页眉 Char"/>
    <w:link w:val="12"/>
    <w:qFormat/>
    <w:uiPriority w:val="99"/>
    <w:rPr>
      <w:kern w:val="2"/>
      <w:sz w:val="18"/>
      <w:szCs w:val="18"/>
    </w:rPr>
  </w:style>
  <w:style w:type="paragraph" w:customStyle="1" w:styleId="25">
    <w:name w:val="et7"/>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C7CE"/>
      <w:spacing w:before="100" w:beforeAutospacing="1" w:after="100" w:afterAutospacing="1"/>
      <w:jc w:val="center"/>
    </w:pPr>
    <w:rPr>
      <w:rFonts w:ascii="宋体" w:hAnsi="宋体" w:eastAsia="宋体" w:cs="宋体"/>
      <w:color w:val="9C0006"/>
      <w:kern w:val="0"/>
      <w:sz w:val="24"/>
      <w:szCs w:val="24"/>
    </w:rPr>
  </w:style>
  <w:style w:type="paragraph" w:customStyle="1" w:styleId="26">
    <w:name w:val="et2"/>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styleId="27">
    <w:name w:val="List Paragraph"/>
    <w:basedOn w:val="1"/>
    <w:qFormat/>
    <w:uiPriority w:val="99"/>
    <w:pPr>
      <w:ind w:firstLine="420" w:firstLineChars="200"/>
    </w:pPr>
  </w:style>
  <w:style w:type="paragraph" w:customStyle="1" w:styleId="28">
    <w:name w:val="et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kern w:val="0"/>
      <w:sz w:val="24"/>
      <w:szCs w:val="24"/>
    </w:rPr>
  </w:style>
  <w:style w:type="paragraph" w:customStyle="1" w:styleId="29">
    <w:name w:val="正文内容"/>
    <w:basedOn w:val="1"/>
    <w:qFormat/>
    <w:uiPriority w:val="0"/>
    <w:pPr>
      <w:keepNext w:val="0"/>
      <w:keepLines w:val="0"/>
      <w:widowControl/>
      <w:suppressLineNumbers w:val="0"/>
      <w:spacing w:before="0" w:beforeAutospacing="0" w:after="0" w:afterAutospacing="0" w:line="560" w:lineRule="exact"/>
      <w:ind w:left="0" w:right="0" w:firstLine="200"/>
      <w:jc w:val="both"/>
    </w:pPr>
    <w:rPr>
      <w:rFonts w:hint="default" w:ascii="Times New Roman" w:hAnsi="Times New Roman" w:eastAsia="宋体" w:cs="Times New Roman"/>
      <w:kern w:val="2"/>
      <w:sz w:val="21"/>
      <w:szCs w:val="22"/>
      <w:lang w:val="en-US" w:eastAsia="zh-CN" w:bidi="ar"/>
    </w:rPr>
  </w:style>
  <w:style w:type="paragraph" w:customStyle="1" w:styleId="30">
    <w:name w:val="et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31">
    <w:name w:val="et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kern w:val="0"/>
      <w:sz w:val="24"/>
      <w:szCs w:val="24"/>
    </w:rPr>
  </w:style>
  <w:style w:type="paragraph" w:customStyle="1" w:styleId="32">
    <w:name w:val="et4"/>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C000"/>
      <w:spacing w:before="100" w:beforeAutospacing="1" w:after="100" w:afterAutospacing="1"/>
      <w:jc w:val="center"/>
    </w:pPr>
    <w:rPr>
      <w:rFonts w:ascii="宋体" w:hAnsi="宋体" w:eastAsia="宋体" w:cs="宋体"/>
      <w:kern w:val="0"/>
      <w:sz w:val="24"/>
      <w:szCs w:val="24"/>
    </w:rPr>
  </w:style>
  <w:style w:type="paragraph" w:customStyle="1" w:styleId="33">
    <w:name w:val="Char Char Char Char Char Char1 Char"/>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34">
    <w:name w:val="正文1"/>
    <w:qFormat/>
    <w:uiPriority w:val="0"/>
    <w:pPr>
      <w:jc w:val="both"/>
    </w:pPr>
    <w:rPr>
      <w:rFonts w:cs="宋体"/>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Gxsti</Company>
  <Pages>15</Pages>
  <Words>443</Words>
  <Characters>488</Characters>
  <Lines>25</Lines>
  <Paragraphs>7</Paragraphs>
  <TotalTime>14</TotalTime>
  <ScaleCrop>false</ScaleCrop>
  <LinksUpToDate>false</LinksUpToDate>
  <CharactersWithSpaces>489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2023-01-22T03:12:00Z</dcterms:created>
  <dc:creator>梁晖</dc:creator>
  <cp:lastModifiedBy>墨迹夏子</cp:lastModifiedBy>
  <cp:lastPrinted>2024-04-07T18:48:54Z</cp:lastPrinted>
  <dcterms:modified xsi:type="dcterms:W3CDTF">2025-08-28T03:08:25Z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3B51566BE4D44208AAAE99D6BB446607_13</vt:lpwstr>
  </property>
  <property fmtid="{D5CDD505-2E9C-101B-9397-08002B2CF9AE}" pid="4" name="KSOTemplateDocerSaveRecord">
    <vt:lpwstr>eyJoZGlkIjoiYzY5ZDFkYjAwZjNhYTM1NDBlZTczZjFiNGMyNzYxN2IiLCJ1c2VySWQiOiIzNjAwMjk3NDgifQ==</vt:lpwstr>
  </property>
</Properties>
</file>