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18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20F1E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 w14:paraId="2E7E9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关于促进高新技术产业开发区发展新质</w:t>
      </w:r>
    </w:p>
    <w:p w14:paraId="17102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生产力的若干措施</w:t>
      </w:r>
    </w:p>
    <w:p w14:paraId="73BE0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征求意见稿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</w:p>
    <w:p w14:paraId="638F5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237CFB2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一、</w:t>
      </w:r>
      <w:r>
        <w:rPr>
          <w:rFonts w:hint="eastAsia"/>
          <w:sz w:val="32"/>
          <w:szCs w:val="32"/>
        </w:rPr>
        <w:t>推进</w:t>
      </w:r>
      <w:r>
        <w:rPr>
          <w:rFonts w:hint="eastAsia"/>
          <w:sz w:val="32"/>
          <w:szCs w:val="32"/>
          <w:lang w:val="en-US" w:eastAsia="zh-CN"/>
        </w:rPr>
        <w:t>重点</w:t>
      </w:r>
      <w:r>
        <w:rPr>
          <w:rFonts w:hint="eastAsia"/>
          <w:sz w:val="32"/>
          <w:szCs w:val="32"/>
        </w:rPr>
        <w:t>规上工业企业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rFonts w:hint="eastAsia"/>
          <w:sz w:val="32"/>
          <w:szCs w:val="32"/>
        </w:rPr>
        <w:t>双清零</w:t>
      </w:r>
      <w:r>
        <w:rPr>
          <w:rFonts w:hint="eastAsia"/>
          <w:sz w:val="32"/>
          <w:szCs w:val="32"/>
          <w:lang w:eastAsia="zh-CN"/>
        </w:rPr>
        <w:t>”</w:t>
      </w:r>
    </w:p>
    <w:p w14:paraId="08DC0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强化企业科技创新主体地位，实施高新区规上工业企业“两清零”行动，按园区规模编制行动时间表，推动园区内高新区营收5亿元以上规上工业企业无研发活动清零，10亿元以上规上工业企业无研发机构清零，推动高新区规上工业企业研发活动覆盖率提升到40%左右，提升企业自主创新能力。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（牵头单位：自治区科技厅；配合单位：各设区市人民政府，自治区发展改革委、工业和信息化厅、财政厅、市场监管局</w:t>
      </w:r>
      <w:r>
        <w:rPr>
          <w:rFonts w:hint="eastAsia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val="en-US" w:eastAsia="zh-CN"/>
        </w:rPr>
        <w:t>园区办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等）</w:t>
      </w:r>
    </w:p>
    <w:p w14:paraId="77EF6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打造新兴产业新赛道策源地</w:t>
      </w:r>
    </w:p>
    <w:p w14:paraId="0E1CB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支持高新区</w:t>
      </w:r>
      <w:r>
        <w:rPr>
          <w:rFonts w:hint="eastAsia" w:ascii="Times New Roman" w:hAnsi="Times New Roman" w:eastAsia="仿宋_GB2312"/>
          <w:sz w:val="32"/>
          <w:szCs w:val="32"/>
        </w:rPr>
        <w:t>打造新赛道策源地，面向传统产业升级衍生一批新赛道，围绕主导产业、特色产业打造和拓展一批新赛道，在关键金属、生物质和生物制造、人工智能等领域前瞻布局一批新赛道，</w:t>
      </w:r>
      <w:r>
        <w:rPr>
          <w:rFonts w:ascii="Times New Roman" w:hAnsi="Times New Roman" w:eastAsia="仿宋_GB2312"/>
          <w:sz w:val="32"/>
          <w:szCs w:val="32"/>
        </w:rPr>
        <w:t>择优给予</w:t>
      </w:r>
      <w:r>
        <w:rPr>
          <w:rFonts w:hint="eastAsia" w:ascii="Times New Roman" w:hAnsi="Times New Roman" w:eastAsia="仿宋_GB2312"/>
          <w:sz w:val="32"/>
          <w:szCs w:val="32"/>
        </w:rPr>
        <w:t>单条</w:t>
      </w:r>
      <w:r>
        <w:rPr>
          <w:rFonts w:ascii="Times New Roman" w:hAnsi="Times New Roman" w:eastAsia="仿宋_GB2312"/>
          <w:sz w:val="32"/>
          <w:szCs w:val="32"/>
        </w:rPr>
        <w:t>新赛道</w:t>
      </w:r>
      <w:r>
        <w:rPr>
          <w:rFonts w:hint="eastAsia" w:ascii="Times New Roman" w:hAnsi="Times New Roman" w:eastAsia="仿宋_GB2312"/>
          <w:sz w:val="32"/>
          <w:szCs w:val="32"/>
        </w:rPr>
        <w:t>名录企业总计</w:t>
      </w:r>
      <w:r>
        <w:rPr>
          <w:rFonts w:ascii="Times New Roman" w:hAnsi="Times New Roman" w:eastAsia="仿宋_GB2312"/>
          <w:sz w:val="32"/>
          <w:szCs w:val="32"/>
        </w:rPr>
        <w:t>最高1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00万元的科技项目支持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新赛道</w:t>
      </w:r>
      <w:r>
        <w:rPr>
          <w:rFonts w:ascii="Times New Roman" w:hAnsi="Times New Roman" w:eastAsia="仿宋_GB2312"/>
          <w:sz w:val="32"/>
          <w:szCs w:val="32"/>
        </w:rPr>
        <w:t>培育工作成效突出的园区，在高新区</w:t>
      </w:r>
      <w:r>
        <w:rPr>
          <w:rFonts w:hint="eastAsia" w:ascii="Times New Roman" w:hAnsi="Times New Roman" w:eastAsia="仿宋_GB2312"/>
          <w:sz w:val="32"/>
          <w:szCs w:val="32"/>
        </w:rPr>
        <w:t>高质量发展</w:t>
      </w:r>
      <w:r>
        <w:rPr>
          <w:rFonts w:ascii="Times New Roman" w:hAnsi="Times New Roman" w:eastAsia="仿宋_GB2312"/>
          <w:sz w:val="32"/>
          <w:szCs w:val="32"/>
        </w:rPr>
        <w:t>评价中给予正向激励。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（牵头单位：自治区科技厅；配合单位：各设区市人民政府，自治区发展改革委、工业和信息化厅、财政厅</w:t>
      </w:r>
      <w:r>
        <w:rPr>
          <w:rFonts w:hint="eastAsia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val="en-US" w:eastAsia="zh-CN"/>
        </w:rPr>
        <w:t>园区办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等）</w:t>
      </w:r>
    </w:p>
    <w:p w14:paraId="053A0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实施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人工智能+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行动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赋能产业发展</w:t>
      </w:r>
    </w:p>
    <w:p w14:paraId="7B182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深入实施“人工智能+”行动，支持高新区</w:t>
      </w:r>
      <w:r>
        <w:rPr>
          <w:rFonts w:ascii="仿宋_GB2312" w:hAnsi="仿宋_GB2312" w:eastAsia="仿宋_GB2312" w:cs="仿宋_GB2312"/>
          <w:sz w:val="32"/>
          <w:szCs w:val="32"/>
        </w:rPr>
        <w:t>因地制宜</w:t>
      </w:r>
      <w:r>
        <w:rPr>
          <w:rFonts w:hint="eastAsia" w:ascii="仿宋_GB2312" w:hAnsi="仿宋_GB2312" w:eastAsia="仿宋_GB2312" w:cs="仿宋_GB2312"/>
          <w:sz w:val="32"/>
          <w:szCs w:val="32"/>
        </w:rPr>
        <w:t>分类</w:t>
      </w:r>
      <w:r>
        <w:rPr>
          <w:rFonts w:ascii="仿宋_GB2312" w:hAnsi="仿宋_GB2312" w:eastAsia="仿宋_GB2312" w:cs="仿宋_GB2312"/>
          <w:sz w:val="32"/>
          <w:szCs w:val="32"/>
        </w:rPr>
        <w:t>建设一批“人工智能+”产业园区。</w:t>
      </w:r>
      <w:r>
        <w:rPr>
          <w:rFonts w:hint="eastAsia" w:ascii="Times New Roman" w:hAnsi="Times New Roman" w:eastAsia="仿宋_GB2312"/>
          <w:sz w:val="32"/>
          <w:szCs w:val="32"/>
        </w:rPr>
        <w:t>南宁</w:t>
      </w:r>
      <w:r>
        <w:rPr>
          <w:rFonts w:ascii="Times New Roman" w:hAnsi="Times New Roman" w:eastAsia="仿宋_GB2312"/>
          <w:sz w:val="32"/>
          <w:szCs w:val="32"/>
        </w:rPr>
        <w:t>高新区</w:t>
      </w:r>
      <w:r>
        <w:rPr>
          <w:rFonts w:hint="eastAsia" w:ascii="Times New Roman" w:hAnsi="Times New Roman" w:eastAsia="仿宋_GB2312"/>
          <w:sz w:val="32"/>
          <w:szCs w:val="32"/>
        </w:rPr>
        <w:t>重点</w:t>
      </w:r>
      <w:r>
        <w:rPr>
          <w:rFonts w:ascii="Times New Roman" w:hAnsi="Times New Roman" w:eastAsia="仿宋_GB2312"/>
          <w:sz w:val="32"/>
          <w:szCs w:val="32"/>
        </w:rPr>
        <w:t>发展传感器、机器人等人工智能基础层和应用层硬件产品</w:t>
      </w:r>
      <w:r>
        <w:rPr>
          <w:rFonts w:hint="eastAsia" w:ascii="Times New Roman" w:hAnsi="Times New Roman" w:eastAsia="仿宋_GB2312"/>
          <w:sz w:val="32"/>
          <w:szCs w:val="32"/>
        </w:rPr>
        <w:t>；柳州高新区重点发展智能终端、智能机器人、智能运载工具和智能网联汽车；桂林、北海高新区聚焦电子信息产业智能化升级，着力构建特色鲜明的电子信息产业融合发展区；百色高新区重点发展5G+工业互联网平台等人工智能产业，重点探索算力服务、智能终端、智能应用场景等。加快园区重点产业设备换芯、机器换人、生产换线、数智换脑，赋能传统产业转型升级。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（牵头单位：自治区科技厅；配合单位：各设区市人民政府，自治区发展改革委、工业和信息化厅、财政厅</w:t>
      </w:r>
      <w:r>
        <w:rPr>
          <w:rFonts w:hint="eastAsia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val="en-US" w:eastAsia="zh-CN"/>
        </w:rPr>
        <w:t>园区办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、数据局等）</w:t>
      </w:r>
    </w:p>
    <w:p w14:paraId="69DE5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四、依托产业创新图谱推进强链延链补链</w:t>
      </w:r>
    </w:p>
    <w:p w14:paraId="4E8F7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</w:pPr>
      <w:bookmarkStart w:id="0" w:name="OLE_LINK1"/>
      <w:r>
        <w:rPr>
          <w:rFonts w:hint="eastAsia" w:ascii="Times New Roman" w:hAnsi="Times New Roman" w:eastAsia="仿宋_GB2312"/>
          <w:sz w:val="32"/>
          <w:szCs w:val="32"/>
        </w:rPr>
        <w:t>聚焦强链延链补链，支持高新区围绕主导产业和特色产业精准绘制创新图谱，梳理产业链上下游关键环节、核心技术、市场分布、企业区位等要素，形成可视化招商指引。</w:t>
      </w:r>
      <w:r>
        <w:rPr>
          <w:rFonts w:ascii="Times New Roman" w:hAnsi="Times New Roman" w:eastAsia="仿宋_GB2312"/>
          <w:sz w:val="32"/>
          <w:szCs w:val="32"/>
        </w:rPr>
        <w:t>支持</w:t>
      </w:r>
      <w:r>
        <w:rPr>
          <w:rFonts w:hint="eastAsia" w:ascii="Times New Roman" w:hAnsi="Times New Roman" w:eastAsia="仿宋_GB2312"/>
          <w:sz w:val="32"/>
          <w:szCs w:val="32"/>
        </w:rPr>
        <w:t>高新区</w:t>
      </w:r>
      <w:r>
        <w:rPr>
          <w:rFonts w:ascii="Times New Roman" w:hAnsi="Times New Roman" w:eastAsia="仿宋_GB2312"/>
          <w:sz w:val="32"/>
          <w:szCs w:val="32"/>
        </w:rPr>
        <w:t>与广西（</w:t>
      </w:r>
      <w:r>
        <w:rPr>
          <w:rFonts w:hint="eastAsia" w:ascii="Times New Roman" w:hAnsi="Times New Roman" w:eastAsia="仿宋_GB2312"/>
          <w:sz w:val="32"/>
          <w:szCs w:val="32"/>
        </w:rPr>
        <w:t>北京、</w:t>
      </w:r>
      <w:r>
        <w:rPr>
          <w:rFonts w:ascii="Times New Roman" w:hAnsi="Times New Roman" w:eastAsia="仿宋_GB2312"/>
          <w:sz w:val="32"/>
          <w:szCs w:val="32"/>
        </w:rPr>
        <w:t>上海、深圳）产业合作中心等跨区域产业合作平台开展联合科技招商</w:t>
      </w:r>
      <w:bookmarkEnd w:id="0"/>
      <w:r>
        <w:rPr>
          <w:rFonts w:ascii="Times New Roman" w:hAnsi="Times New Roman" w:eastAsia="仿宋_GB2312"/>
          <w:sz w:val="32"/>
          <w:szCs w:val="32"/>
        </w:rPr>
        <w:t>，建立共同</w:t>
      </w:r>
      <w:r>
        <w:rPr>
          <w:rFonts w:hint="eastAsia" w:ascii="Times New Roman" w:hAnsi="Times New Roman" w:eastAsia="仿宋_GB2312"/>
          <w:sz w:val="32"/>
          <w:szCs w:val="32"/>
        </w:rPr>
        <w:t>编制创新招商图谱</w:t>
      </w:r>
      <w:r>
        <w:rPr>
          <w:rFonts w:ascii="Times New Roman" w:hAnsi="Times New Roman" w:eastAsia="仿宋_GB2312"/>
          <w:sz w:val="32"/>
          <w:szCs w:val="32"/>
        </w:rPr>
        <w:t>、共享目标企业资源库的联动机制。</w:t>
      </w:r>
      <w:r>
        <w:rPr>
          <w:rFonts w:hint="eastAsia" w:ascii="Times New Roman" w:hAnsi="Times New Roman" w:eastAsia="仿宋_GB2312"/>
          <w:sz w:val="32"/>
          <w:szCs w:val="32"/>
        </w:rPr>
        <w:t>建设一批科技成果转化联络站，把高新区打造</w:t>
      </w:r>
      <w:r>
        <w:rPr>
          <w:rFonts w:ascii="Times New Roman" w:hAnsi="Times New Roman" w:eastAsia="仿宋_GB2312"/>
          <w:sz w:val="32"/>
          <w:szCs w:val="32"/>
        </w:rPr>
        <w:t>成为</w:t>
      </w:r>
      <w:r>
        <w:rPr>
          <w:rFonts w:hint="eastAsia" w:ascii="Times New Roman" w:hAnsi="Times New Roman" w:eastAsia="仿宋_GB2312"/>
          <w:sz w:val="32"/>
          <w:szCs w:val="32"/>
        </w:rPr>
        <w:t>科技成果收集落地区和</w:t>
      </w:r>
      <w:r>
        <w:rPr>
          <w:rFonts w:ascii="Times New Roman" w:hAnsi="Times New Roman" w:eastAsia="仿宋_GB2312"/>
          <w:sz w:val="32"/>
          <w:szCs w:val="32"/>
        </w:rPr>
        <w:t>新兴产业转化集聚区</w:t>
      </w:r>
      <w:r>
        <w:rPr>
          <w:rFonts w:hint="eastAsia" w:ascii="Times New Roman" w:hAnsi="Times New Roman" w:eastAsia="仿宋_GB2312"/>
          <w:sz w:val="32"/>
          <w:szCs w:val="32"/>
        </w:rPr>
        <w:t>。支持高新区</w:t>
      </w:r>
      <w:r>
        <w:rPr>
          <w:rFonts w:ascii="Times New Roman" w:hAnsi="Times New Roman" w:eastAsia="仿宋_GB2312"/>
          <w:sz w:val="32"/>
          <w:szCs w:val="32"/>
        </w:rPr>
        <w:t>在</w:t>
      </w:r>
      <w:r>
        <w:rPr>
          <w:rFonts w:hint="eastAsia" w:ascii="Times New Roman" w:hAnsi="Times New Roman" w:eastAsia="仿宋_GB2312"/>
          <w:sz w:val="32"/>
          <w:szCs w:val="32"/>
        </w:rPr>
        <w:t>自治区科技成果转化奖励性后补助</w:t>
      </w:r>
      <w:r>
        <w:rPr>
          <w:rFonts w:ascii="Times New Roman" w:hAnsi="Times New Roman" w:eastAsia="仿宋_GB2312"/>
          <w:sz w:val="32"/>
          <w:szCs w:val="32"/>
        </w:rPr>
        <w:t>基础上</w:t>
      </w:r>
      <w:r>
        <w:rPr>
          <w:rFonts w:hint="eastAsia" w:ascii="Times New Roman" w:hAnsi="Times New Roman" w:eastAsia="仿宋_GB2312"/>
          <w:sz w:val="32"/>
          <w:szCs w:val="32"/>
        </w:rPr>
        <w:t>，建立配套补助和转化分成机制。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（牵头单位：自治区工业和信息化厅；配合单位：各设区市人民政府，自治区发展改革委、科技厅、财政厅</w:t>
      </w:r>
      <w:r>
        <w:rPr>
          <w:rFonts w:hint="eastAsia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val="en-US" w:eastAsia="zh-CN"/>
        </w:rPr>
        <w:t>园区办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等）</w:t>
      </w:r>
    </w:p>
    <w:p w14:paraId="4CFDC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推进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一区一院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建设构建四链融合创新体</w:t>
      </w:r>
    </w:p>
    <w:p w14:paraId="39322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推进科产城深度融合，支持高新区围绕主导产业和特色产业，以骨干企业为主体建设市场化运行的高水平新型研发机构，力争实现高新区“一园一院”。通过赋权改革、金融赋能、人才激励等，构建“创新链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产业链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人才链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资金链”四链深度融合的区域创新共同体。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（牵头单位：自治区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val="en-US" w:eastAsia="zh-CN"/>
        </w:rPr>
        <w:t>园区办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；配合单位：各设区市人民政府，自治区发展改革委、工业和信息化厅</w:t>
      </w:r>
      <w:r>
        <w:rPr>
          <w:rFonts w:hint="eastAsia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科技厅、财政厅</w:t>
      </w:r>
      <w:r>
        <w:rPr>
          <w:rFonts w:hint="eastAsia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人力资源社会保障厅</w:t>
      </w:r>
      <w:r>
        <w:rPr>
          <w:rFonts w:hint="eastAsia" w:ascii="Times New Roman" w:hAnsi="Times New Roman" w:eastAsia="楷体_GB2312" w:cs="Times New Roman"/>
          <w:b w:val="0"/>
          <w:bCs w:val="0"/>
          <w:w w:val="10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广西金融监管局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等）</w:t>
      </w:r>
    </w:p>
    <w:p w14:paraId="797CB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六、建设科技金融服务驿站提供“一站式”服务</w:t>
      </w:r>
    </w:p>
    <w:p w14:paraId="16CF9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支持高新区整合政府部门、银行机构、担保机构、保险机构及科技成果转化基金等多元资源，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/>
          <w:sz w:val="32"/>
          <w:szCs w:val="32"/>
        </w:rPr>
        <w:t>“一站式”科技金融服务驿站。动态梳理高新区企业项目需求与技术方向，精准匹配基金资源，助力“一园一基金”格局落地；引入科技支行驻点，推动银行与高新区签订“整园授信”战略合作协议，优化信贷流程；配备专职科技担保专员，深化银担协同，探索“见贷即保”“见保速贷”模式；定期开展科技保险进园区活动，对接定制化产品，拓宽风险保障范围。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（牵头单位：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自治区党委金融办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自治区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财政厅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中国人民银行广西壮族自治区分行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，</w:t>
      </w:r>
      <w:bookmarkStart w:id="1" w:name="OLE_LINK3"/>
      <w:r>
        <w:rPr>
          <w:rFonts w:hint="default" w:ascii="Times New Roman" w:hAnsi="Times New Roman" w:eastAsia="楷体_GB2312" w:cs="Times New Roman"/>
          <w:sz w:val="32"/>
          <w:szCs w:val="32"/>
        </w:rPr>
        <w:t>广西金融监管局</w:t>
      </w:r>
      <w:bookmarkEnd w:id="1"/>
      <w:r>
        <w:rPr>
          <w:rFonts w:hint="default" w:ascii="Times New Roman" w:hAnsi="Times New Roman" w:eastAsia="楷体_GB2312" w:cs="Times New Roman"/>
          <w:sz w:val="32"/>
          <w:szCs w:val="32"/>
        </w:rPr>
        <w:t>、广西证监局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；配合单位：各设区市人民政府，自治区发展改革委、科技厅、工业和信息化厅等）</w:t>
      </w:r>
    </w:p>
    <w:p w14:paraId="530CF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七、鼓励开放应用场景加速科技成果转化</w:t>
      </w:r>
    </w:p>
    <w:p w14:paraId="2989F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鼓励高新区开放一批重大应用场景，以场景为牵引促进新技术迭代应用，加速培育孵化未来产业。鼓励政府部门、国有企业、龙头企业、医疗机构等开放场景资源，定期发布场景清单，为科技型初创企业技术创新及产品测试提供便利场景。支持高新区打造一批人工智能标杆应用场景，完善提升场景应用配套，对技术创新度高、行业带动性强、示范效果好的科技成果应用场景给予最高300万元科技计划项目支持。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（牵头单位：自治区科技厅；配合单位：各设区市人民政府，自治区发展改革委、工业和信息化厅、财政厅等）</w:t>
      </w:r>
    </w:p>
    <w:p w14:paraId="26069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深化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园校企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对接推进产学研协同创新</w:t>
      </w:r>
    </w:p>
    <w:p w14:paraId="45CDF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常态化组织“园校企”对接活动，</w:t>
      </w:r>
      <w:r>
        <w:rPr>
          <w:rFonts w:hint="eastAsia" w:ascii="Times New Roman" w:hAnsi="Times New Roman" w:eastAsia="仿宋_GB2312"/>
          <w:sz w:val="32"/>
          <w:szCs w:val="32"/>
        </w:rPr>
        <w:t>促进高新区、高校和企业优势互补、资源共享，围绕成果转化、技术攻关和人才培养开展深度合作，建立精准对接渠道，构建长效合作机制，遴选高校优质科技成果，形成成果转化清单，落地一批科技创新成果，以“揭榜挂帅”形式，发布技术攻关清单，突破一批关键技术难题，梳理园区内企业人才需求，发布人才需求清单，输送一批优质科技人才，增强企业创新主体地位，提升产业科技创新能力。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（牵头单位：自治区科技厅；配合单位：各设区市人民政府，自治区发展改革委、工业和信息化厅、财政厅、人力资源社会保障厅、市场监管局等）</w:t>
      </w:r>
    </w:p>
    <w:p w14:paraId="16FC4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九、提升高新区与重点区域产业合作开放水平</w:t>
      </w:r>
    </w:p>
    <w:p w14:paraId="3848B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贯彻“北上广研发、广西集成、东盟转化”思路，重点聚焦人工智能及智能硬件、智能网联汽车、电子信息、关键金属及生物质新材料、特色农产品精深加工等广西高新区主导产业，推动东部龙头企业研发成果向桂转移集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以高新区为主要载体建设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“飞地园区”，构建“一园一结对”合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作体系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推动出台跨省（区）产业转移利益分享机制细化措施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提高与京津冀、长三角、粤港澳大湾区等地区产业合作及园区共建水平。深化人才双向交流，在选派干部挂职基础上，邀请东部技术团队赴桂指导，提升产业承接与东盟转化能力。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（牵头单位：自治区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val="en-US" w:eastAsia="zh-CN"/>
        </w:rPr>
        <w:t>园区办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；配合单位：各设区市人民政府，自治区发展改革委、工业和信息化厅</w:t>
      </w:r>
      <w:r>
        <w:rPr>
          <w:rFonts w:hint="eastAsia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科技厅、财政厅</w:t>
      </w:r>
      <w:r>
        <w:rPr>
          <w:rFonts w:hint="eastAsia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商务厅、市场监管局等）</w:t>
      </w:r>
    </w:p>
    <w:p w14:paraId="18A41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sz w:val="32"/>
          <w:szCs w:val="32"/>
        </w:rPr>
        <w:t>建立高新区专项统计监测赋能发展决策</w:t>
      </w:r>
    </w:p>
    <w:p w14:paraId="3AB63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开展高新区专项统计，编制实施覆盖经济运行、创新活力、产业赋能、资源集聚等多维度的自治区高新区统计报表制度。完善制度设计，实施月报调度、季报督导、年报评价的长效常态工作机制，及时掌握高新区经济运行和产业发展状况。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（牵头单位：自治区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val="en-US" w:eastAsia="zh-CN"/>
        </w:rPr>
        <w:t>园区办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；配合单位：各设区市人民政府，自治区工业和信息化厅</w:t>
      </w:r>
      <w:r>
        <w:rPr>
          <w:rFonts w:hint="eastAsia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科技厅、</w:t>
      </w:r>
      <w:r>
        <w:rPr>
          <w:rFonts w:hint="eastAsia" w:ascii="Times New Roman" w:hAnsi="Times New Roman" w:eastAsia="楷体_GB2312" w:cs="Times New Roman"/>
          <w:b w:val="0"/>
          <w:bCs w:val="0"/>
          <w:w w:val="100"/>
          <w:sz w:val="32"/>
          <w:szCs w:val="32"/>
          <w:lang w:val="en-US" w:eastAsia="zh-CN"/>
        </w:rPr>
        <w:t>统计局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eastAsia="zh-CN"/>
        </w:rPr>
        <w:t>等）</w:t>
      </w:r>
    </w:p>
    <w:p w14:paraId="52F88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31" w:bottom="1701" w:left="1531" w:header="851" w:footer="1417" w:gutter="0"/>
          <w:paperSrc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32"/>
          <w:szCs w:val="32"/>
        </w:rPr>
        <w:t>本文件自印发之日起施行，有效期至2027年12月31日，由自治区科技厅负责具体解释工作。实施期间，如遇国家和自治区政策调整，按照新的政策执行。</w:t>
      </w:r>
      <w:bookmarkStart w:id="2" w:name="_GoBack"/>
      <w:bookmarkEnd w:id="2"/>
    </w:p>
    <w:p w14:paraId="186E4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sectPr>
      <w:pgSz w:w="11906" w:h="16838"/>
      <w:pgMar w:top="2098" w:right="1531" w:bottom="1701" w:left="1531" w:header="851" w:footer="1417" w:gutter="0"/>
      <w:paperSrc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ans Seri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E128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F1E6AA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F1E6AA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11EA3">
    <w:pPr>
      <w:widowControl/>
      <w:overflowPunct w:val="0"/>
      <w:adjustRightInd w:val="0"/>
      <w:snapToGrid w:val="0"/>
      <w:spacing w:line="560" w:lineRule="exact"/>
      <w:rPr>
        <w:rFonts w:ascii="仿宋_GB2312" w:hAnsi="仿宋_GB2312" w:eastAsia="仿宋_GB2312" w:cs="仿宋_GB2312"/>
        <w:kern w:val="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27FB3A"/>
    <w:multiLevelType w:val="singleLevel"/>
    <w:tmpl w:val="5027FB3A"/>
    <w:lvl w:ilvl="0" w:tentative="0">
      <w:start w:val="1"/>
      <w:numFmt w:val="chineseCounting"/>
      <w:pStyle w:val="5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D6D51"/>
    <w:rsid w:val="08B06189"/>
    <w:rsid w:val="0A7F4613"/>
    <w:rsid w:val="14833235"/>
    <w:rsid w:val="22F62969"/>
    <w:rsid w:val="2D0B4008"/>
    <w:rsid w:val="2F59C733"/>
    <w:rsid w:val="34BC40F4"/>
    <w:rsid w:val="37DDE835"/>
    <w:rsid w:val="3DFD6D51"/>
    <w:rsid w:val="3EFEECB6"/>
    <w:rsid w:val="3F6E6A3C"/>
    <w:rsid w:val="5621327D"/>
    <w:rsid w:val="5E0B450A"/>
    <w:rsid w:val="5EAB669F"/>
    <w:rsid w:val="5FB7D0C0"/>
    <w:rsid w:val="60A61DE0"/>
    <w:rsid w:val="66F755B9"/>
    <w:rsid w:val="676E37C1"/>
    <w:rsid w:val="676E54A4"/>
    <w:rsid w:val="68B059A1"/>
    <w:rsid w:val="6A6F630F"/>
    <w:rsid w:val="6AF67CD8"/>
    <w:rsid w:val="6B6DB73B"/>
    <w:rsid w:val="6DFB195E"/>
    <w:rsid w:val="6EFD51BE"/>
    <w:rsid w:val="6FBE17C4"/>
    <w:rsid w:val="6FCCFFCA"/>
    <w:rsid w:val="6FD73ABD"/>
    <w:rsid w:val="6FFF8DDA"/>
    <w:rsid w:val="73B5AF9A"/>
    <w:rsid w:val="73FB1502"/>
    <w:rsid w:val="74985BF1"/>
    <w:rsid w:val="756F7D95"/>
    <w:rsid w:val="794505A3"/>
    <w:rsid w:val="7BF88F50"/>
    <w:rsid w:val="7DFBF50D"/>
    <w:rsid w:val="7EBF7FAE"/>
    <w:rsid w:val="7EF4F1F0"/>
    <w:rsid w:val="7F3B7298"/>
    <w:rsid w:val="95AF44B6"/>
    <w:rsid w:val="ABFEBDBE"/>
    <w:rsid w:val="AFBB32B2"/>
    <w:rsid w:val="B5F9FEC1"/>
    <w:rsid w:val="BFF96A85"/>
    <w:rsid w:val="C71FBFE9"/>
    <w:rsid w:val="CD7615C3"/>
    <w:rsid w:val="D7E5F33A"/>
    <w:rsid w:val="DAFF4A0F"/>
    <w:rsid w:val="DBFBE978"/>
    <w:rsid w:val="DCF751D2"/>
    <w:rsid w:val="E57FF99F"/>
    <w:rsid w:val="E71F68B1"/>
    <w:rsid w:val="EDFD2212"/>
    <w:rsid w:val="EED9E494"/>
    <w:rsid w:val="EFFCBDEF"/>
    <w:rsid w:val="F5F75E4B"/>
    <w:rsid w:val="F6F7119A"/>
    <w:rsid w:val="F7D29BAA"/>
    <w:rsid w:val="FBFF728F"/>
    <w:rsid w:val="FDCC17F3"/>
    <w:rsid w:val="FDF59B5F"/>
    <w:rsid w:val="FEAE13EC"/>
    <w:rsid w:val="FF7F6B8D"/>
    <w:rsid w:val="FF7FD024"/>
    <w:rsid w:val="FFBF7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6" w:lineRule="auto"/>
      <w:ind w:firstLine="420"/>
      <w:outlineLvl w:val="0"/>
    </w:pPr>
    <w:rPr>
      <w:rFonts w:ascii="黑体" w:hAnsi="黑体" w:eastAsia="黑体" w:cs="黑体"/>
      <w:bCs/>
      <w:kern w:val="44"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hint="eastAsia" w:ascii="宋体" w:hAnsi="Courier New" w:eastAsia="宋体" w:cs="Times New Roman"/>
      <w:sz w:val="21"/>
      <w:szCs w:val="24"/>
    </w:rPr>
  </w:style>
  <w:style w:type="paragraph" w:customStyle="1" w:styleId="4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Normal Indent"/>
    <w:basedOn w:val="1"/>
    <w:next w:val="1"/>
    <w:qFormat/>
    <w:uiPriority w:val="99"/>
    <w:pPr>
      <w:ind w:firstLine="420" w:firstLineChars="200"/>
    </w:pPr>
    <w:rPr>
      <w:rFonts w:cs="Calibri"/>
      <w:szCs w:val="21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hint="eastAsia" w:ascii="宋体" w:hAnsi="Times New Roman" w:eastAsia="宋体" w:cs="Times New Roman"/>
      <w:b/>
      <w:sz w:val="32"/>
    </w:rPr>
  </w:style>
  <w:style w:type="paragraph" w:styleId="9">
    <w:name w:val="Body Text Indent"/>
    <w:basedOn w:val="1"/>
    <w:unhideWhenUsed/>
    <w:qFormat/>
    <w:uiPriority w:val="0"/>
    <w:pPr>
      <w:adjustRightInd w:val="0"/>
      <w:spacing w:line="300" w:lineRule="auto"/>
      <w:ind w:left="898" w:firstLine="2"/>
      <w:jc w:val="left"/>
      <w:textAlignment w:val="baseline"/>
    </w:pPr>
    <w:rPr>
      <w:rFonts w:ascii="仿宋_GB2312" w:hAnsi="MS Sans Serif"/>
      <w:kern w:val="0"/>
      <w:sz w:val="2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Body Text First Indent 2"/>
    <w:basedOn w:val="9"/>
    <w:qFormat/>
    <w:uiPriority w:val="0"/>
    <w:pPr>
      <w:adjustRightInd/>
      <w:spacing w:after="120" w:line="240" w:lineRule="auto"/>
      <w:ind w:left="420" w:leftChars="200" w:firstLine="420" w:firstLineChars="200"/>
      <w:jc w:val="both"/>
      <w:textAlignment w:val="auto"/>
    </w:pPr>
    <w:rPr>
      <w:rFonts w:ascii="Times New Roman" w:hAnsi="Times New Roman" w:eastAsia="宋体"/>
      <w:sz w:val="24"/>
      <w:szCs w:val="24"/>
    </w:rPr>
  </w:style>
  <w:style w:type="table" w:styleId="16">
    <w:name w:val="Table Grid"/>
    <w:qFormat/>
    <w:uiPriority w:val="0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5220</Words>
  <Characters>5293</Characters>
  <Lines>0</Lines>
  <Paragraphs>0</Paragraphs>
  <TotalTime>21.3333333333333</TotalTime>
  <ScaleCrop>false</ScaleCrop>
  <LinksUpToDate>false</LinksUpToDate>
  <CharactersWithSpaces>5302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2025-05-23T18:32:00Z</dcterms:created>
  <dc:creator>前沿处</dc:creator>
  <cp:lastModifiedBy>墨迹夏子</cp:lastModifiedBy>
  <cp:lastPrinted>2025-09-16T16:45:48Z</cp:lastPrinted>
  <dcterms:modified xsi:type="dcterms:W3CDTF">2025-09-16T03:41:42Z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E24B968274E64FFAA8A8190116D75575_13</vt:lpwstr>
  </property>
</Properties>
</file>