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BE2F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</w:p>
    <w:p w14:paraId="2C784D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rPr>
          <w:rFonts w:hint="eastAsia"/>
          <w:lang w:val="en-US" w:eastAsia="zh-CN"/>
        </w:rPr>
      </w:pPr>
    </w:p>
    <w:p w14:paraId="3B237F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40" w:lineRule="exact"/>
        <w:rPr>
          <w:rFonts w:hint="eastAsia"/>
          <w:lang w:val="en-US" w:eastAsia="zh-CN"/>
        </w:rPr>
      </w:pPr>
    </w:p>
    <w:tbl>
      <w:tblPr>
        <w:tblStyle w:val="12"/>
        <w:tblW w:w="87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8"/>
        <w:gridCol w:w="1623"/>
      </w:tblGrid>
      <w:tr w14:paraId="6B94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7078" w:type="dxa"/>
            <w:noWrap w:val="0"/>
            <w:tcMar>
              <w:left w:w="0" w:type="dxa"/>
              <w:right w:w="0" w:type="dxa"/>
            </w:tcMar>
            <w:vAlign w:val="center"/>
          </w:tcPr>
          <w:p w14:paraId="1A8EC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800" w:lineRule="exact"/>
              <w:ind w:right="0" w:rightChars="0"/>
              <w:jc w:val="distribute"/>
              <w:rPr>
                <w:rFonts w:hint="eastAsia" w:ascii="方正小标宋简体" w:eastAsia="方正小标宋简体"/>
                <w:color w:val="FF0000"/>
                <w:w w:val="95"/>
                <w:sz w:val="54"/>
                <w:szCs w:val="54"/>
              </w:rPr>
            </w:pPr>
            <w:r>
              <w:rPr>
                <w:rFonts w:hint="eastAsia" w:ascii="方正小标宋简体" w:eastAsia="方正小标宋简体"/>
                <w:color w:val="FF0000"/>
                <w:w w:val="95"/>
                <w:sz w:val="54"/>
                <w:szCs w:val="54"/>
              </w:rPr>
              <w:t>广西壮族自治区科学技术厅</w:t>
            </w:r>
          </w:p>
          <w:p w14:paraId="76BAF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800" w:lineRule="exact"/>
              <w:ind w:right="0" w:rightChars="0"/>
              <w:jc w:val="distribute"/>
              <w:rPr>
                <w:rFonts w:hint="eastAsia" w:ascii="方正小标宋简体" w:eastAsia="方正小标宋简体"/>
                <w:color w:val="FF0000"/>
                <w:spacing w:val="0"/>
                <w:w w:val="60"/>
                <w:sz w:val="54"/>
                <w:szCs w:val="54"/>
              </w:rPr>
            </w:pPr>
            <w:r>
              <w:rPr>
                <w:rFonts w:hint="eastAsia" w:ascii="方正小标宋简体" w:eastAsia="方正小标宋简体"/>
                <w:color w:val="FF0000"/>
                <w:spacing w:val="-23"/>
                <w:w w:val="60"/>
                <w:sz w:val="54"/>
                <w:szCs w:val="54"/>
              </w:rPr>
              <w:t>中共广西壮族自治区委员会金融委员会办公</w:t>
            </w:r>
            <w:r>
              <w:rPr>
                <w:rFonts w:hint="eastAsia" w:ascii="方正小标宋简体" w:eastAsia="方正小标宋简体"/>
                <w:color w:val="FF0000"/>
                <w:spacing w:val="0"/>
                <w:w w:val="60"/>
                <w:sz w:val="54"/>
                <w:szCs w:val="54"/>
              </w:rPr>
              <w:t>室</w:t>
            </w:r>
          </w:p>
          <w:p w14:paraId="7A0B15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800" w:lineRule="exact"/>
              <w:jc w:val="distribute"/>
              <w:rPr>
                <w:rFonts w:hint="eastAsia"/>
                <w:w w:val="85"/>
                <w:sz w:val="54"/>
                <w:szCs w:val="54"/>
              </w:rPr>
            </w:pPr>
            <w:r>
              <w:rPr>
                <w:rFonts w:hint="eastAsia" w:ascii="方正小标宋简体" w:hAnsi="Calibri" w:eastAsia="方正小标宋简体" w:cs="Times New Roman"/>
                <w:color w:val="FF0000"/>
                <w:spacing w:val="-23"/>
                <w:w w:val="85"/>
                <w:kern w:val="2"/>
                <w:sz w:val="54"/>
                <w:szCs w:val="54"/>
                <w:lang w:val="en-US" w:eastAsia="zh-CN" w:bidi="ar-SA"/>
              </w:rPr>
              <w:t>广西壮族自治区发展和改革委员</w:t>
            </w:r>
            <w:r>
              <w:rPr>
                <w:rFonts w:hint="eastAsia" w:ascii="方正小标宋简体" w:hAnsi="Calibri" w:eastAsia="方正小标宋简体" w:cs="Times New Roman"/>
                <w:color w:val="FF0000"/>
                <w:spacing w:val="0"/>
                <w:w w:val="85"/>
                <w:kern w:val="2"/>
                <w:sz w:val="54"/>
                <w:szCs w:val="54"/>
                <w:lang w:val="en-US" w:eastAsia="zh-CN" w:bidi="ar-SA"/>
              </w:rPr>
              <w:t>会</w:t>
            </w:r>
          </w:p>
          <w:p w14:paraId="1F3315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800" w:lineRule="exact"/>
              <w:ind w:right="0" w:rightChars="0"/>
              <w:jc w:val="distribute"/>
              <w:rPr>
                <w:rFonts w:hint="eastAsia" w:ascii="方正小标宋简体" w:hAnsi="Calibri" w:eastAsia="方正小标宋简体" w:cs="Times New Roman"/>
                <w:color w:val="FF0000"/>
                <w:w w:val="95"/>
                <w:kern w:val="2"/>
                <w:sz w:val="54"/>
                <w:szCs w:val="54"/>
                <w:lang w:val="en-US" w:eastAsia="zh-CN" w:bidi="ar-SA"/>
              </w:rPr>
            </w:pPr>
            <w:r>
              <w:rPr>
                <w:rFonts w:hint="eastAsia" w:ascii="方正小标宋简体" w:hAnsi="Calibri" w:eastAsia="方正小标宋简体" w:cs="Times New Roman"/>
                <w:color w:val="FF0000"/>
                <w:w w:val="95"/>
                <w:kern w:val="2"/>
                <w:sz w:val="54"/>
                <w:szCs w:val="54"/>
                <w:lang w:val="en-US" w:eastAsia="zh-CN" w:bidi="ar-SA"/>
              </w:rPr>
              <w:t>广西壮族自治区教育厅</w:t>
            </w:r>
          </w:p>
          <w:p w14:paraId="36F16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800" w:lineRule="exact"/>
              <w:ind w:right="0" w:rightChars="0"/>
              <w:jc w:val="distribute"/>
              <w:rPr>
                <w:rFonts w:hint="eastAsia" w:ascii="方正小标宋简体" w:eastAsia="方正小标宋简体"/>
                <w:color w:val="FF0000"/>
                <w:w w:val="85"/>
                <w:sz w:val="56"/>
                <w:szCs w:val="56"/>
              </w:rPr>
            </w:pPr>
            <w:r>
              <w:rPr>
                <w:rFonts w:hint="eastAsia" w:ascii="方正小标宋简体" w:hAnsi="Calibri" w:eastAsia="方正小标宋简体" w:cs="Times New Roman"/>
                <w:color w:val="FF0000"/>
                <w:w w:val="90"/>
                <w:sz w:val="54"/>
                <w:szCs w:val="54"/>
              </w:rPr>
              <w:t>广西壮族自治区工业和信息化厅</w:t>
            </w:r>
          </w:p>
        </w:tc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 w14:paraId="16D1B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800" w:lineRule="exact"/>
              <w:jc w:val="right"/>
              <w:rPr>
                <w:rFonts w:hint="eastAsia" w:ascii="方正小标宋简体" w:eastAsia="方正小标宋简体"/>
                <w:color w:val="FF0000"/>
                <w:sz w:val="80"/>
                <w:szCs w:val="80"/>
              </w:rPr>
            </w:pPr>
            <w:r>
              <w:rPr>
                <w:rFonts w:hint="eastAsia" w:ascii="方正小标宋简体" w:eastAsia="方正小标宋简体"/>
                <w:color w:val="FF0000"/>
                <w:sz w:val="80"/>
                <w:szCs w:val="80"/>
              </w:rPr>
              <w:t>文件</w:t>
            </w:r>
          </w:p>
        </w:tc>
      </w:tr>
    </w:tbl>
    <w:p w14:paraId="491EC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G Times" w:hAnsi="CG Times"/>
          <w:color w:val="000000"/>
          <w:sz w:val="52"/>
          <w:szCs w:val="52"/>
        </w:rPr>
      </w:pPr>
    </w:p>
    <w:p w14:paraId="0707035D"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桂科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规字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号</w:t>
      </w:r>
    </w:p>
    <w:p w14:paraId="0261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ascii="CG Times" w:hAnsi="CG Times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92710</wp:posOffset>
                </wp:positionV>
                <wp:extent cx="5975985" cy="0"/>
                <wp:effectExtent l="0" t="15875" r="13335" b="2984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3.4pt;margin-top:7.3pt;height:0pt;width:470.55pt;z-index:251659264;mso-width-relative:page;mso-height-relative:page;" filled="f" stroked="t" coordsize="21600,21600" o:gfxdata="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EtqtcAAAAJAQAADwAAAAAAAAABACAAAAAiAAAAZHJzL2Rvd25yZXYueG1sUEsBAhQA&#10;FAAAAAgAh07iQC8SOB7zAQAA5gMAAA4AAAAAAAAAAQAgAAAAJgEAAGRycy9lMm9Eb2MueG1sUEsF&#10;BgAAAAAGAAYAWQEAAIs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B5B34D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自治区科技厅 自治区党委金融办 自治区发展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改革委 自治区教育厅 自治区工业和信息化厅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关于印发《广西中试平台体系创新发展</w:t>
      </w:r>
    </w:p>
    <w:p w14:paraId="716D252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实施方案（2025—2027年）》的通知</w:t>
      </w:r>
      <w:bookmarkStart w:id="0" w:name="_GoBack"/>
      <w:bookmarkEnd w:id="0"/>
    </w:p>
    <w:p w14:paraId="6C45AD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458511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各设区市科技局、地方金融管理部门、发展改革委、工业和信息化局，各有关单位：</w:t>
      </w:r>
    </w:p>
    <w:p w14:paraId="12A074C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20" w:lineRule="exact"/>
        <w:ind w:left="0" w:firstLine="640" w:firstLineChars="200"/>
        <w:rPr>
          <w:rFonts w:hint="eastAsia" w:asci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《广西中试平台体系创新发展实施方案（2025—2027年）》</w:t>
      </w:r>
      <w:r>
        <w:rPr>
          <w:rFonts w:hint="eastAsia" w:asci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印发给你们，请认真组织实施。</w:t>
      </w:r>
    </w:p>
    <w:p w14:paraId="3BAF222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2E8B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val="en-US" w:eastAsia="zh-CN"/>
        </w:rPr>
      </w:pPr>
    </w:p>
    <w:tbl>
      <w:tblPr>
        <w:tblStyle w:val="12"/>
        <w:tblW w:w="6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680"/>
        <w:gridCol w:w="3005"/>
      </w:tblGrid>
      <w:tr w14:paraId="6753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12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广西壮族自治区</w:t>
            </w:r>
          </w:p>
          <w:p w14:paraId="37CF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科学技术厅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996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45A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eastAsia" w:asci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中共广西壮族自治区</w:t>
            </w:r>
          </w:p>
          <w:p w14:paraId="2F52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pacing w:val="-28"/>
                <w:w w:val="100"/>
                <w:sz w:val="32"/>
                <w:szCs w:val="32"/>
                <w:lang w:val="en-US" w:eastAsia="zh-CN"/>
              </w:rPr>
              <w:t>委员会金融委员会办公</w:t>
            </w: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室</w:t>
            </w:r>
          </w:p>
        </w:tc>
      </w:tr>
      <w:tr w14:paraId="51D49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FE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964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73B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D7D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65A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广西壮族自治区</w:t>
            </w:r>
          </w:p>
          <w:p w14:paraId="1E81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发展和改革委员会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FD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69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广西壮族自治区</w:t>
            </w:r>
          </w:p>
          <w:p w14:paraId="1371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教育厅</w:t>
            </w:r>
          </w:p>
        </w:tc>
      </w:tr>
      <w:tr w14:paraId="4D29F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E5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63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F1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14:paraId="209A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F60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21A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F37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广西壮族自治区</w:t>
            </w:r>
          </w:p>
          <w:p w14:paraId="5D30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工业和信息化厅</w:t>
            </w:r>
          </w:p>
        </w:tc>
      </w:tr>
      <w:tr w14:paraId="7CB9F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2A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F3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22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705BEDD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40FF6D2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（此件公开发布）</w:t>
      </w:r>
    </w:p>
    <w:p w14:paraId="63956AD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4CC82B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广西中试平台体系创新发展实施方案</w:t>
      </w:r>
    </w:p>
    <w:p w14:paraId="24C155C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（2025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2027年）</w:t>
      </w:r>
    </w:p>
    <w:p w14:paraId="68FBDAD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</w:p>
    <w:p w14:paraId="08454E6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中试是把实验室成果、试制阶段的新产品转化到生产过程的过渡性试验，是科技成果转化为生产力的必要环节。为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“产学研资介”充分参与中试服务体系建设，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促进中试对产业高质量发展的支撑能力，结合实际，制定本实施方案。</w:t>
      </w:r>
    </w:p>
    <w:p w14:paraId="2E7818E7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、完善中试服务体系</w:t>
      </w:r>
    </w:p>
    <w:p w14:paraId="6E1D071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（一）优化中试平台布局。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面向人工智能、高端装备制造、先进新材料、新一代信息技术、绿色化工、新能源及储能、生物医药、现代特色农林业、低空经济、海洋经济以及绿色低碳技术等重点领域，按照一链一基地布局自治区级中试基地。支持产业链龙头企业牵头建设重大中试平台，力争在新材料、装备制造等优势产业领域创建国家级制造业中试平台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2027年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，新增自治区级中试基地（平台）30家以上。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（责任单位：自治区科技厅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、工业和信息化厅等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 w14:paraId="1720F49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（二）建设综合性中试中心。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聚焦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新能源汽车等新兴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产业和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人工智能应用等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未来产业发展需求，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布局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建设综合性中试中心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，探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索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“技术攻关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概念验证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中试熟化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企业孵化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园区运营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产业集群”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模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式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。支持中试中心引进专业化中试服务机构，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为成果转化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一站式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2027年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建设综合性中试中心1家以上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（责任单位：自治区科技厅、工业和信息化厅、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" w:eastAsia="zh-CN" w:bidi="ar-SA"/>
        </w:rPr>
        <w:t>园区办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" w:eastAsia="zh-CN" w:bidi="ar-SA"/>
        </w:rPr>
        <w:t>等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）</w:t>
      </w:r>
    </w:p>
    <w:p w14:paraId="2731718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rPr>
          <w:rFonts w:hint="eastAsia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（三）提升中试服务水平。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应用人工智能、可靠性仿真分析、数字孪生等技术，实施一批中试试验设备和流程数字化技术改造项目，提升中试平台智能化水平。开展中试平台技术交流活动，发布中试服务资源目录，提升全链条服务能力。将中试平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仪器设备纳入广西大型科研仪器共享网络管理及服务平台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，推动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对外开放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共享。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责任单位：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自治区科技厅、工业和信息化厅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45531B4F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、实施重大中试项目</w:t>
      </w:r>
    </w:p>
    <w:p w14:paraId="01D7B110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加快实施科技“智果”计划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采取前补助、贷补联动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“揭榜挂帅”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等多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方式，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支持中试平台实施一批重大中试科技项目。支持新建专业化中试产线，推进中试线数字化智能化改造，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提升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中试验证能力和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质量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水平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2027年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，支持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重大中试项目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50项以上。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（责任单位：自治区科技厅）</w:t>
      </w:r>
    </w:p>
    <w:p w14:paraId="0AED2F7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rPr>
          <w:rFonts w:hint="default" w:ascii="Times New Roman" w:hAnsi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（二）谋划储备专项资金项目。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积极构建国家超长期特别国债、中央预算内资金和地方政府专项债中试平台建设项目储备库。加强对中试平台的培训和指导，做好项目建议书、可行性研究报告等项目前期论证工作。强化部门协同推进，共同推动项目申报和实施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（责任单位：自治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区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科技厅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、发展改革委、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工业和信息化厅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、园区办等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）</w:t>
      </w:r>
    </w:p>
    <w:p w14:paraId="5A555E0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（三）推动金融资本支持中试项目。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加快推动设立广西科技成果转化基金子基金，投资重大中试成果转化项目。组织中试平台参加科技金融对接活动，鼓励金融机构开发中试贷、中试担、中试险等科技金融产品。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（责任单位：自治区党委金融办</w:t>
      </w:r>
      <w:r>
        <w:rPr>
          <w:rFonts w:hint="eastAsia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，自治区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科技厅、财政厅</w:t>
      </w:r>
      <w:r>
        <w:rPr>
          <w:rFonts w:hint="eastAsia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）</w:t>
      </w:r>
    </w:p>
    <w:p w14:paraId="16C91C72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、完善服务配套政策</w:t>
      </w:r>
    </w:p>
    <w:p w14:paraId="54EA68C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（一）健全中试项目审批与监管机制。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建立集中办理、联席审核、并联审批等机制，为中试项目环评、安评、规划许可等手续开辟快速绿色通道。鼓励园区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闲置标准厂房等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中试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利用原有中试设施开展新的中试项目，经专家论证符合环保要求的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无需另行报批环评。中试项目产品标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明“中试产品”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和产品质量指标后，允许定向销售下游企业开展产品验证。支持符合条件的中试线转为生产设施。将中试验证通过的技术成果优先纳入专利快速审查通道，支持批量审查与优先授权，加速产业化进程。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（责任单位：自治区科技厅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工业和信息化厅、发展改革委、生态环境厅、应急管理厅、自然资源厅、市场监管局、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" w:eastAsia="zh-CN" w:bidi="ar-SA"/>
        </w:rPr>
        <w:t>园区办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" w:eastAsia="zh-CN" w:bidi="ar-SA"/>
        </w:rPr>
        <w:t>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2B7F360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（二）推动中试新产品新技术推广应用。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探索建立以中试验证情况作为参考依据的首台（套）重大技术装备认定条件，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具有重大应用前景、高附加值的高端产品和装备优先纳入名单，给予不超过200万元的奖励。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建立技术成熟度为核心的中试成果评价指标体系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，由行业主管部门征集发布推广一批技术先进、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性能优秀、前景良好的中试新产品新技术。鼓励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国有企业采购中试新产品先试先用，在采购程序合规、履行技术可行性评估、无利益输送或其他违规行为条件下，若因技术不成熟或市场验证不足导致后续应用未达预期，免除相关采购决策责任。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（责任单位：自治区工业和信息化厅、科技厅、国资委、财政厅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0241FA9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rPr>
          <w:rFonts w:hint="default" w:ascii="Times New Roman" w:hAnsi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</w:rPr>
        <w:t>打造中试专业人才队伍</w:t>
      </w: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支持中试平台人员积极参加国家技术转移人才培养基地培训，培训差旅费允许在科技计划项目经费中列支。鼓励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高校</w:t>
      </w:r>
      <w:r>
        <w:rPr>
          <w:rFonts w:hint="default" w:ascii="Times New Roman" w:hAnsi="Times New Roman" w:eastAsia="仿宋_GB2312"/>
          <w:bCs/>
          <w:color w:val="auto"/>
          <w:spacing w:val="0"/>
          <w:kern w:val="2"/>
          <w:sz w:val="32"/>
          <w:szCs w:val="32"/>
          <w:lang w:bidi="ar-SA"/>
        </w:rPr>
        <w:t>现代产业学院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设置中试相关课程，建设中试实训基地。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探索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将中试成果纳入职称评定指标体系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允许高校、科研机构结合实际，将中试成果纳入职称评审业绩成果，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以中试报告、技术合同等替代论文，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业绩特别突出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技术交易额超500万元可破格申报高级职称。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中试成果纳入高校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科研机构科研绩效考核和奖励范围，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选拔一批企业科技特派员，到企业开展中试验证和成果转化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（责任单位：自治区教育厅、人力资源社会保障厅、工业和信息化厅、科技厅</w:t>
      </w:r>
      <w:r>
        <w:rPr>
          <w:rFonts w:hint="eastAsia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44B03A5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（四）支持中试平台标准体系建设。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鼓励制订模拟仿真、工艺工装、检验检测等中试关键技术标准，评选为广西重要技术标准的，给予最高30万元奖励。鼓励中试基地开展ISO 9001、ISO 14001认证，提升质量管理和环境管理水平，认证情况纳入中试基地绩效考核内容，考核优秀的给予科技计划项目支持。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（责任单位：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自治区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科技厅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、市场监管局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、工业和信息化厅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0F45D517"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Style w:val="15"/>
          <w:rFonts w:hint="eastAsia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四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</w:rPr>
        <w:t>、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保障措施</w:t>
      </w:r>
    </w:p>
    <w:p w14:paraId="133C13C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在自治区科技委领导下，自治区科技厅牵头建立健全中试平台体系能力建设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统筹推进机制，细化落实举措，协同推进重大中试项目实施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及时解决重大问题，确保各项工作落到实处。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对中试服务能力、服务水平、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效益等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监测分析和评价，为政策支持、资源配置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依据。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加强政策宣传和引导，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开展交流研讨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总结典型案例与做法，及时宣传新进展、新经验、新模式、新成效，着力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营造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“中试+”科技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成果转化创新生态圈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2165FC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br w:type="page"/>
      </w:r>
    </w:p>
    <w:p w14:paraId="68D077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68DA45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6E2F68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6A4ACE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0F2C8E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4A1E9D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11B097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427046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04C41F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2B3C6D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53742F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39E429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178D2B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3207C6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3D3FED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6E9B3F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330BED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6F04C5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rPr>
          <w:rFonts w:hint="eastAsia"/>
          <w:lang w:val="en-US" w:eastAsia="zh-CN"/>
        </w:rPr>
      </w:pPr>
    </w:p>
    <w:p w14:paraId="13FB79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</w:pPr>
    </w:p>
    <w:p w14:paraId="1EB7E9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</w:pPr>
    </w:p>
    <w:p w14:paraId="33165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7260E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0" w:type="dxa"/>
            <w:noWrap w:val="0"/>
            <w:vAlign w:val="center"/>
          </w:tcPr>
          <w:p w14:paraId="0D4EE992">
            <w:pPr>
              <w:spacing w:line="360" w:lineRule="exact"/>
              <w:ind w:left="210" w:leftChars="100" w:right="210" w:rightChars="10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广西壮族自治区科学技术厅办公室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  <w:lang w:val="en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发</w:t>
            </w:r>
          </w:p>
        </w:tc>
      </w:tr>
    </w:tbl>
    <w:p w14:paraId="424A70D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96520</wp:posOffset>
            </wp:positionV>
            <wp:extent cx="1790700" cy="476250"/>
            <wp:effectExtent l="0" t="0" r="7620" b="11430"/>
            <wp:wrapSquare wrapText="bothSides"/>
            <wp:docPr id="2" name="图片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0973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8F777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28F777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I1ODk2NGEzN2MzMDBhODBhZmQ1MThjMGM3MGYifQ=="/>
  </w:docVars>
  <w:rsids>
    <w:rsidRoot w:val="2ADD49CD"/>
    <w:rsid w:val="02DE3A45"/>
    <w:rsid w:val="056C5A14"/>
    <w:rsid w:val="057B6B0A"/>
    <w:rsid w:val="12CD27E1"/>
    <w:rsid w:val="184E7BD3"/>
    <w:rsid w:val="218F1AD0"/>
    <w:rsid w:val="2ADD49CD"/>
    <w:rsid w:val="35646D78"/>
    <w:rsid w:val="356814A4"/>
    <w:rsid w:val="3592268E"/>
    <w:rsid w:val="3AD4315D"/>
    <w:rsid w:val="3EC7C16F"/>
    <w:rsid w:val="41621D9E"/>
    <w:rsid w:val="425B402F"/>
    <w:rsid w:val="4BA2470C"/>
    <w:rsid w:val="51F0508D"/>
    <w:rsid w:val="55784FF7"/>
    <w:rsid w:val="5B1D6337"/>
    <w:rsid w:val="5ED33B13"/>
    <w:rsid w:val="5F1E1371"/>
    <w:rsid w:val="638850A9"/>
    <w:rsid w:val="671A4532"/>
    <w:rsid w:val="692B6BB7"/>
    <w:rsid w:val="74546174"/>
    <w:rsid w:val="74EBF0D5"/>
    <w:rsid w:val="78C02D7C"/>
    <w:rsid w:val="7A5363D9"/>
    <w:rsid w:val="7C824A56"/>
    <w:rsid w:val="D8F63421"/>
    <w:rsid w:val="E91E1A02"/>
    <w:rsid w:val="F72DC0B4"/>
    <w:rsid w:val="F7AED108"/>
    <w:rsid w:val="F7EF530B"/>
    <w:rsid w:val="FFA33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qFormat/>
    <w:uiPriority w:val="0"/>
    <w:pPr>
      <w:widowControl w:val="0"/>
      <w:jc w:val="both"/>
      <w:textAlignment w:val="baseline"/>
    </w:pPr>
    <w:rPr>
      <w:rFonts w:hint="eastAsia"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4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6"/>
    <w:next w:val="1"/>
    <w:qFormat/>
    <w:uiPriority w:val="0"/>
    <w:pPr>
      <w:spacing w:after="0" w:line="500" w:lineRule="exact"/>
      <w:ind w:firstLine="420"/>
    </w:pPr>
    <w:rPr>
      <w:rFonts w:hint="default" w:ascii="Calibri" w:hAnsi="Calibri" w:eastAsia="宋体" w:cs="Times New Roman"/>
      <w:sz w:val="28"/>
      <w:szCs w:val="28"/>
    </w:rPr>
  </w:style>
  <w:style w:type="table" w:styleId="13">
    <w:name w:val="Table Grid"/>
    <w:basedOn w:val="12"/>
    <w:qFormat/>
    <w:uiPriority w:val="0"/>
    <w:rPr>
      <w:rFonts w:ascii="Times New Roman" w:hAnsi="Times New Roman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650</Words>
  <Characters>680</Characters>
  <Lines>0</Lines>
  <Paragraphs>0</Paragraphs>
  <TotalTime>1</TotalTime>
  <ScaleCrop>false</ScaleCrop>
  <LinksUpToDate>false</LinksUpToDate>
  <CharactersWithSpaces>684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2025-06-27T17:06:00Z</dcterms:created>
  <dc:creator>雷鸿雁</dc:creator>
  <cp:lastModifiedBy>墨迹夏子</cp:lastModifiedBy>
  <cp:lastPrinted>2025-08-15T17:42:23Z</cp:lastPrinted>
  <dcterms:modified xsi:type="dcterms:W3CDTF">2025-09-29T09:04:19Z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3558C44C85654257B9D95C8B96671001_13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