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819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附件</w:t>
      </w:r>
      <w:r>
        <w:rPr>
          <w:rFonts w:hint="eastAsia" w:ascii="Times New Roman" w:hAnsi="Times New Roman" w:cs="Times New Roman"/>
          <w:color w:val="auto"/>
          <w:sz w:val="32"/>
          <w:szCs w:val="32"/>
          <w:lang w:val="en" w:eastAsia="zh-CN"/>
        </w:rPr>
        <w:t>2</w:t>
      </w:r>
    </w:p>
    <w:p w14:paraId="3E6D390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lang w:eastAsia="zh-CN"/>
        </w:rPr>
      </w:pPr>
    </w:p>
    <w:p w14:paraId="449687E1">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eastAsia="zh-CN"/>
        </w:rPr>
        <w:t>起草说</w:t>
      </w:r>
      <w:r>
        <w:rPr>
          <w:rFonts w:hint="eastAsia" w:ascii="方正小标宋简体" w:hAnsi="方正小标宋简体" w:eastAsia="方正小标宋简体" w:cs="方正小标宋简体"/>
          <w:color w:val="auto"/>
          <w:spacing w:val="0"/>
          <w:sz w:val="44"/>
          <w:szCs w:val="44"/>
        </w:rPr>
        <w:t>明</w:t>
      </w:r>
    </w:p>
    <w:p w14:paraId="165CA65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rPr>
      </w:pPr>
    </w:p>
    <w:p w14:paraId="5E297C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olor w:val="auto"/>
          <w:sz w:val="32"/>
          <w:szCs w:val="32"/>
        </w:rPr>
        <w:t>为充分发挥</w:t>
      </w:r>
      <w:r>
        <w:rPr>
          <w:rFonts w:hint="eastAsia" w:ascii="Times New Roman" w:hAnsi="Times New Roman" w:eastAsia="仿宋_GB2312"/>
          <w:color w:val="auto"/>
          <w:sz w:val="32"/>
          <w:szCs w:val="32"/>
          <w:lang w:eastAsia="zh-CN"/>
        </w:rPr>
        <w:t>广西</w:t>
      </w:r>
      <w:r>
        <w:rPr>
          <w:rFonts w:hint="eastAsia" w:ascii="Times New Roman" w:hAnsi="Times New Roman" w:eastAsia="仿宋_GB2312"/>
          <w:color w:val="auto"/>
          <w:sz w:val="32"/>
          <w:szCs w:val="32"/>
        </w:rPr>
        <w:t>财政科技计划资金的引导作用，</w:t>
      </w:r>
      <w:r>
        <w:rPr>
          <w:rFonts w:hint="eastAsia" w:ascii="Times New Roman" w:hAnsi="Times New Roman" w:eastAsia="仿宋_GB2312"/>
          <w:color w:val="auto"/>
          <w:sz w:val="32"/>
          <w:szCs w:val="32"/>
          <w:lang w:eastAsia="zh-CN"/>
        </w:rPr>
        <w:t>强化企业技术创新主体地位，规范广西科技计划项目后补助资金管理，结合广西实际</w:t>
      </w:r>
      <w:r>
        <w:rPr>
          <w:rFonts w:hint="eastAsia" w:ascii="Times New Roman" w:hAnsi="Times New Roman" w:eastAsia="仿宋_GB2312"/>
          <w:color w:val="auto"/>
          <w:sz w:val="32"/>
          <w:szCs w:val="32"/>
        </w:rPr>
        <w:t>，</w:t>
      </w:r>
      <w:r>
        <w:rPr>
          <w:rFonts w:hint="eastAsia" w:ascii="Times New Roman" w:hAnsi="Times New Roman" w:eastAsia="仿宋_GB2312" w:cs="Times New Roman"/>
          <w:color w:val="auto"/>
          <w:kern w:val="0"/>
          <w:sz w:val="32"/>
          <w:szCs w:val="32"/>
          <w:lang w:val="en-US" w:eastAsia="zh-CN"/>
        </w:rPr>
        <w:t>修订形成</w:t>
      </w:r>
      <w:r>
        <w:rPr>
          <w:rFonts w:hint="eastAsia" w:ascii="Times New Roman" w:hAnsi="Times New Roman" w:eastAsia="仿宋_GB2312" w:cs="Times New Roman"/>
          <w:color w:val="auto"/>
          <w:sz w:val="32"/>
          <w:szCs w:val="32"/>
          <w:lang w:val="en-US" w:eastAsia="zh-CN"/>
        </w:rPr>
        <w:t>《广西科技计划专项经费后补助管理办法  （征求意见稿）》</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以下简称“办法”</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。现将有关情况说明如下：</w:t>
      </w:r>
    </w:p>
    <w:p w14:paraId="63941A2B">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黑体"/>
          <w:color w:val="auto"/>
          <w:spacing w:val="0"/>
          <w:sz w:val="32"/>
          <w:szCs w:val="32"/>
        </w:rPr>
      </w:pPr>
      <w:r>
        <w:rPr>
          <w:rFonts w:hint="eastAsia" w:ascii="黑体" w:hAnsi="黑体" w:eastAsia="黑体" w:cs="黑体"/>
          <w:color w:val="auto"/>
          <w:spacing w:val="0"/>
          <w:sz w:val="32"/>
          <w:szCs w:val="32"/>
        </w:rPr>
        <w:t>一、</w:t>
      </w:r>
      <w:r>
        <w:rPr>
          <w:rFonts w:hint="eastAsia" w:ascii="黑体" w:hAnsi="黑体" w:eastAsia="黑体" w:cs="黑体"/>
          <w:color w:val="auto"/>
          <w:spacing w:val="0"/>
          <w:sz w:val="32"/>
          <w:szCs w:val="32"/>
          <w:lang w:eastAsia="zh-CN"/>
        </w:rPr>
        <w:t>起草</w:t>
      </w:r>
      <w:r>
        <w:rPr>
          <w:rFonts w:hint="eastAsia" w:ascii="黑体" w:hAnsi="黑体" w:eastAsia="黑体" w:cs="黑体"/>
          <w:color w:val="auto"/>
          <w:spacing w:val="0"/>
          <w:sz w:val="32"/>
          <w:szCs w:val="32"/>
        </w:rPr>
        <w:t>背景</w:t>
      </w:r>
    </w:p>
    <w:p w14:paraId="3D5EF47C">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当前，</w:t>
      </w:r>
      <w:r>
        <w:rPr>
          <w:rFonts w:hint="eastAsia" w:ascii="Times New Roman" w:hAnsi="Times New Roman" w:eastAsia="仿宋_GB2312" w:cs="Times New Roman"/>
          <w:color w:val="auto"/>
          <w:spacing w:val="0"/>
          <w:sz w:val="32"/>
          <w:szCs w:val="32"/>
          <w:lang w:eastAsia="zh-CN"/>
        </w:rPr>
        <w:t>我区</w:t>
      </w:r>
      <w:r>
        <w:rPr>
          <w:rFonts w:hint="default" w:ascii="Times New Roman" w:hAnsi="Times New Roman" w:eastAsia="仿宋_GB2312" w:cs="Times New Roman"/>
          <w:color w:val="auto"/>
          <w:spacing w:val="0"/>
          <w:sz w:val="32"/>
          <w:szCs w:val="32"/>
        </w:rPr>
        <w:t>正全力推进创新型广西建设，聚焦重点产业集群培育和关键核心技术攻关。</w:t>
      </w:r>
      <w:r>
        <w:rPr>
          <w:rFonts w:hint="eastAsia" w:ascii="Times New Roman" w:hAnsi="Times New Roman" w:eastAsia="仿宋_GB2312" w:cs="Times New Roman"/>
          <w:color w:val="auto"/>
          <w:spacing w:val="0"/>
          <w:sz w:val="32"/>
          <w:szCs w:val="32"/>
          <w:lang w:eastAsia="zh-CN"/>
        </w:rPr>
        <w:t>原</w:t>
      </w:r>
      <w:r>
        <w:rPr>
          <w:rFonts w:hint="default" w:ascii="Times New Roman" w:hAnsi="Times New Roman" w:eastAsia="仿宋_GB2312" w:cs="Times New Roman"/>
          <w:color w:val="auto"/>
          <w:spacing w:val="0"/>
          <w:sz w:val="32"/>
          <w:szCs w:val="32"/>
        </w:rPr>
        <w:t>《广西壮族自治区本级财政科技计划资金后补助管理暂行办法》（桂</w:t>
      </w:r>
      <w:r>
        <w:rPr>
          <w:rFonts w:hint="eastAsia" w:ascii="Times New Roman" w:hAnsi="Times New Roman" w:eastAsia="仿宋_GB2312" w:cs="Times New Roman"/>
          <w:color w:val="auto"/>
          <w:spacing w:val="0"/>
          <w:sz w:val="32"/>
          <w:szCs w:val="32"/>
          <w:lang w:eastAsia="zh-CN"/>
        </w:rPr>
        <w:t>财教</w:t>
      </w:r>
      <w:r>
        <w:rPr>
          <w:rFonts w:hint="default" w:ascii="Times New Roman" w:hAnsi="Times New Roman" w:eastAsia="仿宋_GB2312" w:cs="Times New Roman"/>
          <w:color w:val="auto"/>
          <w:spacing w:val="0"/>
          <w:sz w:val="32"/>
          <w:szCs w:val="32"/>
        </w:rPr>
        <w:t>〔201</w:t>
      </w:r>
      <w:r>
        <w:rPr>
          <w:rFonts w:hint="eastAsia"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52</w:t>
      </w:r>
      <w:r>
        <w:rPr>
          <w:rFonts w:hint="default" w:ascii="Times New Roman" w:hAnsi="Times New Roman" w:eastAsia="仿宋_GB2312" w:cs="Times New Roman"/>
          <w:color w:val="auto"/>
          <w:spacing w:val="0"/>
          <w:sz w:val="32"/>
          <w:szCs w:val="32"/>
        </w:rPr>
        <w:t>号）自201</w:t>
      </w:r>
      <w:r>
        <w:rPr>
          <w:rFonts w:hint="eastAsia"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年实施以来，有效规范了自治区本级财政科技计划后补助资金的管理与使用，</w:t>
      </w:r>
      <w:r>
        <w:rPr>
          <w:rFonts w:hint="eastAsia" w:ascii="Times New Roman" w:hAnsi="Times New Roman" w:eastAsia="仿宋_GB2312" w:cs="Times New Roman"/>
          <w:color w:val="auto"/>
          <w:spacing w:val="0"/>
          <w:sz w:val="32"/>
          <w:szCs w:val="32"/>
          <w:lang w:eastAsia="zh-CN"/>
        </w:rPr>
        <w:t>在</w:t>
      </w:r>
      <w:r>
        <w:rPr>
          <w:rFonts w:hint="default" w:ascii="Times New Roman" w:hAnsi="Times New Roman" w:eastAsia="仿宋_GB2312" w:cs="Times New Roman"/>
          <w:color w:val="auto"/>
          <w:spacing w:val="0"/>
          <w:sz w:val="32"/>
          <w:szCs w:val="32"/>
        </w:rPr>
        <w:t>激发</w:t>
      </w:r>
      <w:r>
        <w:rPr>
          <w:rFonts w:hint="eastAsia" w:ascii="Times New Roman" w:hAnsi="Times New Roman" w:eastAsia="仿宋_GB2312" w:cs="Times New Roman"/>
          <w:color w:val="auto"/>
          <w:spacing w:val="0"/>
          <w:sz w:val="32"/>
          <w:szCs w:val="32"/>
          <w:lang w:eastAsia="zh-CN"/>
        </w:rPr>
        <w:t>我区科技</w:t>
      </w:r>
      <w:r>
        <w:rPr>
          <w:rFonts w:hint="default" w:ascii="Times New Roman" w:hAnsi="Times New Roman" w:eastAsia="仿宋_GB2312" w:cs="Times New Roman"/>
          <w:color w:val="auto"/>
          <w:spacing w:val="0"/>
          <w:sz w:val="32"/>
          <w:szCs w:val="32"/>
        </w:rPr>
        <w:t>创新活力、推动成果转化等方面取得成效。</w:t>
      </w:r>
      <w:r>
        <w:rPr>
          <w:rFonts w:hint="eastAsia" w:ascii="Times New Roman" w:hAnsi="Times New Roman" w:eastAsia="仿宋_GB2312" w:cs="Times New Roman"/>
          <w:color w:val="auto"/>
          <w:spacing w:val="0"/>
          <w:sz w:val="32"/>
          <w:szCs w:val="32"/>
          <w:lang w:eastAsia="zh-CN"/>
        </w:rPr>
        <w:t>但是，</w:t>
      </w:r>
      <w:r>
        <w:rPr>
          <w:rFonts w:hint="default" w:ascii="Times New Roman" w:hAnsi="Times New Roman" w:eastAsia="仿宋_GB2312" w:cs="Times New Roman"/>
          <w:color w:val="auto"/>
          <w:spacing w:val="0"/>
          <w:sz w:val="32"/>
          <w:szCs w:val="32"/>
        </w:rPr>
        <w:t>国家及自治区近年出台系列科技创新新政，</w:t>
      </w:r>
      <w:r>
        <w:rPr>
          <w:rFonts w:hint="eastAsia" w:ascii="Times New Roman" w:hAnsi="Times New Roman" w:eastAsia="仿宋_GB2312" w:cs="Times New Roman"/>
          <w:color w:val="auto"/>
          <w:spacing w:val="0"/>
          <w:sz w:val="32"/>
          <w:szCs w:val="32"/>
          <w:lang w:eastAsia="zh-CN"/>
        </w:rPr>
        <w:t>尤其是</w:t>
      </w:r>
      <w:r>
        <w:rPr>
          <w:rFonts w:hint="default" w:ascii="Times New Roman" w:hAnsi="Times New Roman" w:eastAsia="仿宋_GB2312" w:cs="Times New Roman"/>
          <w:color w:val="auto"/>
          <w:spacing w:val="0"/>
          <w:sz w:val="32"/>
          <w:szCs w:val="32"/>
        </w:rPr>
        <w:t>《广西壮族自治区人民政府关于印发</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广西科技计划管理改革优化实施方案</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的通知》（桂政发〔2024〕35号）</w:t>
      </w:r>
      <w:r>
        <w:rPr>
          <w:rFonts w:hint="eastAsia" w:ascii="Times New Roman" w:hAnsi="Times New Roman" w:eastAsia="仿宋_GB2312" w:cs="Times New Roman"/>
          <w:color w:val="auto"/>
          <w:spacing w:val="0"/>
          <w:sz w:val="32"/>
          <w:szCs w:val="32"/>
          <w:lang w:eastAsia="zh-CN"/>
        </w:rPr>
        <w:t>这一</w:t>
      </w:r>
      <w:r>
        <w:rPr>
          <w:rFonts w:hint="default" w:ascii="Times New Roman" w:hAnsi="Times New Roman" w:eastAsia="仿宋_GB2312" w:cs="Times New Roman"/>
          <w:color w:val="auto"/>
          <w:spacing w:val="0"/>
          <w:sz w:val="32"/>
          <w:szCs w:val="32"/>
        </w:rPr>
        <w:t>最新政策的颁布实施，我区科技计划项目体系已然重塑，原《办法》已难以适配新的管理框架，</w:t>
      </w:r>
      <w:r>
        <w:rPr>
          <w:rFonts w:hint="eastAsia" w:ascii="Times New Roman" w:hAnsi="Times New Roman" w:eastAsia="仿宋_GB2312" w:cs="Times New Roman"/>
          <w:color w:val="auto"/>
          <w:spacing w:val="0"/>
          <w:sz w:val="32"/>
          <w:szCs w:val="32"/>
          <w:lang w:eastAsia="zh-CN"/>
        </w:rPr>
        <w:t>存在政策衔接不充分、支持力度不匹配、激励导向不健全等问题，亟需修订以衔接新政策要求。</w:t>
      </w:r>
    </w:p>
    <w:p w14:paraId="0ED05B9C">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eastAsia="zh-CN"/>
        </w:rPr>
        <w:t>此外，为进一步规范广西财政科技计划资金管理、提高资金</w:t>
      </w:r>
      <w:bookmarkStart w:id="0" w:name="_GoBack"/>
      <w:bookmarkEnd w:id="0"/>
      <w:r>
        <w:rPr>
          <w:rFonts w:hint="eastAsia" w:ascii="Times New Roman" w:hAnsi="Times New Roman" w:eastAsia="仿宋_GB2312" w:cs="Times New Roman"/>
          <w:color w:val="auto"/>
          <w:spacing w:val="0"/>
          <w:sz w:val="32"/>
          <w:szCs w:val="32"/>
          <w:lang w:eastAsia="zh-CN"/>
        </w:rPr>
        <w:t>使用效益、强化企业创新主体地位，精准对接科技“尖锋”行动等重点任务，</w:t>
      </w:r>
      <w:r>
        <w:rPr>
          <w:rFonts w:hint="default" w:ascii="Times New Roman" w:hAnsi="Times New Roman" w:eastAsia="仿宋_GB2312" w:cs="Times New Roman"/>
          <w:color w:val="auto"/>
          <w:spacing w:val="0"/>
          <w:sz w:val="32"/>
          <w:szCs w:val="32"/>
        </w:rPr>
        <w:t>着力构建“布局合理、定位清晰、高效聚焦、特色鲜明”的广西科技计划</w:t>
      </w:r>
      <w:r>
        <w:rPr>
          <w:rFonts w:hint="eastAsia" w:ascii="Times New Roman" w:hAnsi="Times New Roman" w:eastAsia="仿宋_GB2312" w:cs="Times New Roman"/>
          <w:color w:val="auto"/>
          <w:spacing w:val="0"/>
          <w:sz w:val="32"/>
          <w:szCs w:val="32"/>
          <w:lang w:eastAsia="zh-CN"/>
        </w:rPr>
        <w:t>项目管理</w:t>
      </w:r>
      <w:r>
        <w:rPr>
          <w:rFonts w:hint="default" w:ascii="Times New Roman" w:hAnsi="Times New Roman" w:eastAsia="仿宋_GB2312" w:cs="Times New Roman"/>
          <w:color w:val="auto"/>
          <w:spacing w:val="0"/>
          <w:sz w:val="32"/>
          <w:szCs w:val="32"/>
        </w:rPr>
        <w:t>体系，优化资源配置，构建更契合广西创新发展实际的</w:t>
      </w:r>
      <w:r>
        <w:rPr>
          <w:rFonts w:hint="eastAsia" w:ascii="Times New Roman" w:hAnsi="Times New Roman" w:eastAsia="仿宋_GB2312" w:cs="Times New Roman"/>
          <w:color w:val="auto"/>
          <w:spacing w:val="0"/>
          <w:sz w:val="32"/>
          <w:szCs w:val="32"/>
          <w:lang w:eastAsia="zh-CN"/>
        </w:rPr>
        <w:t>财政资金</w:t>
      </w:r>
      <w:r>
        <w:rPr>
          <w:rFonts w:hint="default" w:ascii="Times New Roman" w:hAnsi="Times New Roman" w:eastAsia="仿宋_GB2312" w:cs="Times New Roman"/>
          <w:color w:val="auto"/>
          <w:spacing w:val="0"/>
          <w:sz w:val="32"/>
          <w:szCs w:val="32"/>
        </w:rPr>
        <w:t>后补助管理体系</w:t>
      </w:r>
      <w:r>
        <w:rPr>
          <w:rFonts w:hint="eastAsia" w:ascii="Times New Roman" w:hAnsi="Times New Roman" w:eastAsia="仿宋_GB2312" w:cs="Times New Roman"/>
          <w:color w:val="auto"/>
          <w:spacing w:val="0"/>
          <w:sz w:val="32"/>
          <w:szCs w:val="32"/>
          <w:lang w:eastAsia="zh-CN"/>
        </w:rPr>
        <w:t>，助力科技成果落地转化与新质生产力发展，</w:t>
      </w:r>
      <w:r>
        <w:rPr>
          <w:rFonts w:hint="default" w:ascii="Times New Roman" w:hAnsi="Times New Roman" w:eastAsia="仿宋_GB2312" w:cs="Times New Roman"/>
          <w:color w:val="auto"/>
          <w:spacing w:val="0"/>
          <w:sz w:val="32"/>
          <w:szCs w:val="32"/>
        </w:rPr>
        <w:t>加速高水平创新型广西建设进程，拟对</w:t>
      </w:r>
      <w:r>
        <w:rPr>
          <w:rFonts w:hint="eastAsia" w:ascii="Times New Roman" w:hAnsi="Times New Roman" w:eastAsia="仿宋_GB2312" w:cs="Times New Roman"/>
          <w:color w:val="auto"/>
          <w:spacing w:val="0"/>
          <w:sz w:val="32"/>
          <w:szCs w:val="32"/>
          <w:lang w:eastAsia="zh-CN"/>
        </w:rPr>
        <w:t>原《</w:t>
      </w:r>
      <w:r>
        <w:rPr>
          <w:rFonts w:hint="default" w:ascii="Times New Roman" w:hAnsi="Times New Roman" w:eastAsia="仿宋_GB2312" w:cs="Times New Roman"/>
          <w:color w:val="auto"/>
          <w:spacing w:val="0"/>
          <w:sz w:val="32"/>
          <w:szCs w:val="32"/>
        </w:rPr>
        <w:t>办法</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开展修订工作。</w:t>
      </w:r>
    </w:p>
    <w:p w14:paraId="26A081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cs="Times New Roman"/>
          <w:color w:val="auto"/>
          <w:kern w:val="1"/>
          <w:sz w:val="32"/>
          <w:szCs w:val="32"/>
          <w:lang w:val="en-US" w:eastAsia="ar-SA" w:bidi="ar-SA"/>
        </w:rPr>
      </w:pPr>
      <w:r>
        <w:rPr>
          <w:rFonts w:hint="eastAsia" w:ascii="Times New Roman" w:hAnsi="Times New Roman" w:eastAsia="黑体" w:cs="Times New Roman"/>
          <w:color w:val="auto"/>
          <w:kern w:val="1"/>
          <w:sz w:val="32"/>
          <w:szCs w:val="32"/>
          <w:lang w:val="en-US" w:eastAsia="zh-CN" w:bidi="ar-SA"/>
        </w:rPr>
        <w:t>二</w:t>
      </w:r>
      <w:r>
        <w:rPr>
          <w:rFonts w:ascii="Times New Roman" w:hAnsi="Times New Roman" w:eastAsia="黑体" w:cs="Times New Roman"/>
          <w:color w:val="auto"/>
          <w:kern w:val="1"/>
          <w:sz w:val="32"/>
          <w:szCs w:val="32"/>
          <w:lang w:val="en-US" w:eastAsia="ar-SA" w:bidi="ar-SA"/>
        </w:rPr>
        <w:t>、起草过程</w:t>
      </w:r>
    </w:p>
    <w:p w14:paraId="065B5F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eastAsia" w:ascii="仿宋_GB2312" w:hAnsi="Calibri"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eastAsia" w:ascii="仿宋_GB2312" w:hAnsi="Calibri" w:eastAsia="仿宋_GB2312" w:cs="Times New Roman"/>
          <w:color w:val="auto"/>
          <w:sz w:val="32"/>
          <w:szCs w:val="32"/>
        </w:rPr>
        <w:t>月份，自治区科技厅开展了</w:t>
      </w:r>
      <w:r>
        <w:rPr>
          <w:rFonts w:hint="eastAsia" w:ascii="Times New Roman" w:hAnsi="Times New Roman" w:eastAsia="仿宋_GB2312" w:cs="Times New Roman"/>
          <w:color w:val="auto"/>
          <w:sz w:val="32"/>
          <w:szCs w:val="32"/>
          <w:lang w:val="en-US" w:eastAsia="zh-CN"/>
        </w:rPr>
        <w:t>《办法》</w:t>
      </w:r>
      <w:r>
        <w:rPr>
          <w:rFonts w:hint="eastAsia" w:ascii="仿宋_GB2312" w:hAnsi="Calibri" w:eastAsia="仿宋_GB2312" w:cs="Times New Roman"/>
          <w:color w:val="auto"/>
          <w:sz w:val="32"/>
          <w:szCs w:val="32"/>
        </w:rPr>
        <w:t>的修订工作。对</w:t>
      </w:r>
      <w:r>
        <w:rPr>
          <w:rFonts w:hint="eastAsia" w:ascii="Times New Roman" w:hAnsi="Times New Roman" w:eastAsia="仿宋_GB2312" w:cs="Times New Roman"/>
          <w:color w:val="auto"/>
          <w:sz w:val="32"/>
          <w:szCs w:val="32"/>
          <w:lang w:val="en-US" w:eastAsia="zh-CN"/>
        </w:rPr>
        <w:t>《办法》</w:t>
      </w:r>
      <w:r>
        <w:rPr>
          <w:rFonts w:hint="eastAsia" w:ascii="仿宋_GB2312" w:hAnsi="Calibri" w:eastAsia="仿宋_GB2312" w:cs="Times New Roman"/>
          <w:color w:val="auto"/>
          <w:sz w:val="32"/>
          <w:szCs w:val="32"/>
        </w:rPr>
        <w:t>的整体架构、核心内容等进行了讨论</w:t>
      </w:r>
      <w:r>
        <w:rPr>
          <w:rFonts w:hint="eastAsia" w:ascii="仿宋_GB2312" w:hAnsi="Calibri" w:eastAsia="仿宋_GB2312" w:cs="Times New Roman"/>
          <w:color w:val="auto"/>
          <w:sz w:val="32"/>
          <w:szCs w:val="32"/>
          <w:lang w:val="en-US" w:eastAsia="zh-CN"/>
        </w:rPr>
        <w:t>，</w:t>
      </w:r>
      <w:r>
        <w:rPr>
          <w:rFonts w:hint="eastAsia" w:ascii="仿宋_GB2312" w:hAnsi="Calibri" w:eastAsia="仿宋_GB2312" w:cs="Times New Roman"/>
          <w:color w:val="auto"/>
          <w:sz w:val="32"/>
          <w:szCs w:val="32"/>
        </w:rPr>
        <w:t>形成</w:t>
      </w:r>
      <w:r>
        <w:rPr>
          <w:rFonts w:hint="eastAsia" w:ascii="仿宋_GB2312" w:hAnsi="Calibri" w:eastAsia="仿宋_GB2312" w:cs="Times New Roman"/>
          <w:color w:val="auto"/>
          <w:sz w:val="32"/>
          <w:szCs w:val="32"/>
          <w:lang w:val="en-US" w:eastAsia="zh-CN"/>
        </w:rPr>
        <w:t>初稿，拟根据收集的意见再次修改完善文本。</w:t>
      </w:r>
    </w:p>
    <w:p w14:paraId="2FFED6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cs="Times New Roman"/>
          <w:color w:val="auto"/>
          <w:kern w:val="1"/>
          <w:sz w:val="32"/>
          <w:szCs w:val="32"/>
          <w:lang w:val="en-US" w:eastAsia="ar-SA" w:bidi="ar-SA"/>
        </w:rPr>
      </w:pPr>
      <w:r>
        <w:rPr>
          <w:rFonts w:hint="eastAsia" w:ascii="Times New Roman" w:hAnsi="Times New Roman" w:eastAsia="黑体" w:cs="Times New Roman"/>
          <w:color w:val="auto"/>
          <w:kern w:val="1"/>
          <w:sz w:val="32"/>
          <w:szCs w:val="32"/>
          <w:lang w:val="en-US" w:eastAsia="zh-CN" w:bidi="ar-SA"/>
        </w:rPr>
        <w:t>三</w:t>
      </w:r>
      <w:r>
        <w:rPr>
          <w:rFonts w:ascii="Times New Roman" w:hAnsi="Times New Roman" w:eastAsia="黑体" w:cs="Times New Roman"/>
          <w:color w:val="auto"/>
          <w:kern w:val="1"/>
          <w:sz w:val="32"/>
          <w:szCs w:val="32"/>
          <w:lang w:val="en-US" w:eastAsia="zh-CN" w:bidi="ar-SA"/>
        </w:rPr>
        <w:t>、《</w:t>
      </w:r>
      <w:r>
        <w:rPr>
          <w:rFonts w:hint="eastAsia" w:ascii="Times New Roman" w:hAnsi="Times New Roman" w:eastAsia="黑体" w:cs="Times New Roman"/>
          <w:color w:val="auto"/>
          <w:kern w:val="1"/>
          <w:sz w:val="32"/>
          <w:szCs w:val="32"/>
          <w:lang w:val="en-US" w:eastAsia="zh-CN" w:bidi="ar-SA"/>
        </w:rPr>
        <w:t>办法</w:t>
      </w:r>
      <w:r>
        <w:rPr>
          <w:rFonts w:ascii="Times New Roman" w:hAnsi="Times New Roman" w:eastAsia="黑体" w:cs="Times New Roman"/>
          <w:color w:val="auto"/>
          <w:kern w:val="1"/>
          <w:sz w:val="32"/>
          <w:szCs w:val="32"/>
          <w:lang w:val="en-US" w:eastAsia="zh-CN" w:bidi="ar-SA"/>
        </w:rPr>
        <w:t>》</w:t>
      </w:r>
      <w:r>
        <w:rPr>
          <w:rFonts w:ascii="Times New Roman" w:hAnsi="Times New Roman" w:eastAsia="黑体" w:cs="Times New Roman"/>
          <w:color w:val="auto"/>
          <w:kern w:val="1"/>
          <w:sz w:val="32"/>
          <w:szCs w:val="32"/>
          <w:lang w:val="en-US" w:eastAsia="ar-SA" w:bidi="ar-SA"/>
        </w:rPr>
        <w:t>主要内容</w:t>
      </w:r>
    </w:p>
    <w:p w14:paraId="5A6CF9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_GB2312"/>
          <w:color w:val="auto"/>
          <w:kern w:val="2"/>
          <w:sz w:val="32"/>
          <w:szCs w:val="32"/>
          <w:lang w:val="en-US" w:eastAsia="zh-CN" w:bidi="ar-SA"/>
        </w:rPr>
      </w:pPr>
      <w:r>
        <w:rPr>
          <w:rFonts w:hint="eastAsia" w:ascii="仿宋_GB2312" w:hAnsi="仿宋" w:eastAsia="仿宋_GB2312" w:cs="仿宋_GB2312"/>
          <w:color w:val="auto"/>
          <w:kern w:val="2"/>
          <w:sz w:val="32"/>
          <w:szCs w:val="32"/>
          <w:lang w:val="en-US" w:eastAsia="zh-CN" w:bidi="ar-SA"/>
        </w:rPr>
        <w:t>《办法》包含总则、事前立项事后补助、奖励性后补助、服务运行后补助、管理监督、附则六部分，共六章</w:t>
      </w:r>
      <w:r>
        <w:rPr>
          <w:rFonts w:hint="eastAsia" w:ascii="Times New Roman" w:hAnsi="Times New Roman" w:eastAsia="仿宋_GB2312" w:cs="Times New Roman"/>
          <w:color w:val="auto"/>
          <w:kern w:val="2"/>
          <w:sz w:val="32"/>
          <w:szCs w:val="32"/>
          <w:lang w:val="en-US" w:eastAsia="zh-CN" w:bidi="ar-SA"/>
        </w:rPr>
        <w:t>20</w:t>
      </w:r>
      <w:r>
        <w:rPr>
          <w:rFonts w:hint="eastAsia" w:ascii="仿宋_GB2312" w:hAnsi="仿宋" w:eastAsia="仿宋_GB2312" w:cs="仿宋_GB2312"/>
          <w:color w:val="auto"/>
          <w:kern w:val="2"/>
          <w:sz w:val="32"/>
          <w:szCs w:val="32"/>
          <w:lang w:val="en-US" w:eastAsia="zh-CN" w:bidi="ar-SA"/>
        </w:rPr>
        <w:t>条。较之于</w:t>
      </w:r>
      <w:r>
        <w:rPr>
          <w:rFonts w:hint="eastAsia" w:ascii="Times New Roman" w:hAnsi="Times New Roman" w:eastAsia="仿宋_GB2312" w:cs="Times New Roman"/>
          <w:color w:val="auto"/>
          <w:kern w:val="2"/>
          <w:sz w:val="32"/>
          <w:szCs w:val="32"/>
          <w:lang w:val="en-US" w:eastAsia="zh-CN" w:bidi="ar-SA"/>
        </w:rPr>
        <w:t>2016</w:t>
      </w:r>
      <w:r>
        <w:rPr>
          <w:rFonts w:hint="eastAsia" w:ascii="仿宋_GB2312" w:hAnsi="仿宋" w:eastAsia="仿宋_GB2312" w:cs="仿宋_GB2312"/>
          <w:color w:val="auto"/>
          <w:kern w:val="2"/>
          <w:sz w:val="32"/>
          <w:szCs w:val="32"/>
          <w:lang w:val="en-US" w:eastAsia="zh-CN" w:bidi="ar-SA"/>
        </w:rPr>
        <w:t>年版本，原“共享服务后补助”更改为“服务运行后补助”，并修订了“总则”、“事前立项事后补助”和“奖励性后补助”中的部分内容。《办法》修订后的</w:t>
      </w:r>
      <w:r>
        <w:rPr>
          <w:rFonts w:ascii="Times New Roman" w:hAnsi="Times New Roman" w:eastAsia="仿宋_GB2312" w:cs="Times New Roman"/>
          <w:bCs/>
          <w:color w:val="auto"/>
          <w:kern w:val="2"/>
          <w:sz w:val="32"/>
          <w:szCs w:val="32"/>
          <w:lang w:val="en-US" w:eastAsia="zh-CN" w:bidi="ar"/>
        </w:rPr>
        <w:t>主要内容如下</w:t>
      </w:r>
      <w:r>
        <w:rPr>
          <w:rFonts w:hint="eastAsia" w:ascii="Times New Roman" w:hAnsi="Times New Roman" w:eastAsia="仿宋_GB2312" w:cs="Times New Roman"/>
          <w:bCs/>
          <w:color w:val="auto"/>
          <w:kern w:val="2"/>
          <w:sz w:val="32"/>
          <w:szCs w:val="32"/>
          <w:lang w:val="en-US" w:eastAsia="zh-CN" w:bidi="ar"/>
        </w:rPr>
        <w:t>：</w:t>
      </w:r>
    </w:p>
    <w:p w14:paraId="49B5503B">
      <w:pPr>
        <w:pStyle w:val="2"/>
        <w:keepNext w:val="0"/>
        <w:keepLines w:val="0"/>
        <w:pageBreakBefore w:val="0"/>
        <w:widowControl w:val="0"/>
        <w:kinsoku/>
        <w:wordWrap/>
        <w:overflowPunct/>
        <w:topLinePunct w:val="0"/>
        <w:bidi w:val="0"/>
        <w:snapToGrid/>
        <w:spacing w:line="540" w:lineRule="exact"/>
        <w:ind w:firstLine="643" w:firstLineChars="200"/>
        <w:rPr>
          <w:rFonts w:hint="eastAsia" w:ascii="仿宋_GB2312" w:hAnsi="仿宋" w:eastAsia="仿宋_GB2312" w:cs="仿宋_GB2312"/>
          <w:color w:val="auto"/>
          <w:kern w:val="2"/>
          <w:sz w:val="32"/>
          <w:szCs w:val="32"/>
          <w:lang w:val="en-US" w:eastAsia="zh-CN" w:bidi="ar-SA"/>
        </w:rPr>
      </w:pPr>
      <w:r>
        <w:rPr>
          <w:rFonts w:hint="eastAsia" w:ascii="方正楷体_GB2312" w:hAnsi="方正楷体_GB2312" w:eastAsia="方正楷体_GB2312" w:cs="方正楷体_GB2312"/>
          <w:b/>
          <w:color w:val="auto"/>
          <w:kern w:val="2"/>
          <w:sz w:val="32"/>
          <w:szCs w:val="32"/>
          <w:lang w:val="en-US" w:eastAsia="zh-CN" w:bidi="ar"/>
        </w:rPr>
        <w:t>（一）在总则章节，主要包含制定的政策目的、后补助定义、后补助单位和资金使用方向等内容。</w:t>
      </w:r>
      <w:r>
        <w:rPr>
          <w:rFonts w:hint="eastAsia" w:ascii="Times New Roman" w:hAnsi="Times New Roman" w:eastAsia="仿宋_GB2312" w:cs="Times New Roman"/>
          <w:color w:val="auto"/>
          <w:kern w:val="2"/>
          <w:sz w:val="32"/>
          <w:szCs w:val="32"/>
          <w:lang w:val="en-US" w:eastAsia="zh-CN" w:bidi="ar-SA"/>
        </w:rPr>
        <w:t>较之于2016年的版本，一是在制定政策目的方面，删除了原三条政策依据“《财政部科技部关于印发〈国家科技计划及专项资金后补助管理规定〉的通知》（财教〔2013〕433号）、《广西壮族自治区人民政府办公厅转发科技厅财政厅关于调整自治区本级财政科研项目经费管理办法若干规定的通知》（桂政办发〔2015〕33号）、《广西壮族自治区人民政府印发关于深化自治区 本级财政科技计划和科技项目管理改革实施方案的通知》（桂政发〔2015〕57号）”，并将原第一条改成“</w:t>
      </w:r>
      <w:r>
        <w:rPr>
          <w:rFonts w:hint="eastAsia" w:ascii="仿宋_GB2312" w:hAnsi="仿宋_GB2312" w:eastAsia="仿宋_GB2312" w:cs="仿宋_GB2312"/>
          <w:b w:val="0"/>
          <w:bCs w:val="0"/>
          <w:snapToGrid w:val="0"/>
          <w:color w:val="auto"/>
          <w:spacing w:val="9"/>
          <w:kern w:val="0"/>
          <w:sz w:val="32"/>
          <w:szCs w:val="32"/>
          <w:lang w:val="en-US" w:eastAsia="en-US" w:bidi="ar-SA"/>
        </w:rPr>
        <w:t>为充分发挥</w:t>
      </w:r>
      <w:r>
        <w:rPr>
          <w:rFonts w:hint="eastAsia" w:ascii="仿宋_GB2312" w:hAnsi="仿宋_GB2312" w:eastAsia="仿宋_GB2312" w:cs="仿宋_GB2312"/>
          <w:b w:val="0"/>
          <w:bCs w:val="0"/>
          <w:snapToGrid w:val="0"/>
          <w:color w:val="auto"/>
          <w:spacing w:val="9"/>
          <w:kern w:val="0"/>
          <w:sz w:val="32"/>
          <w:szCs w:val="32"/>
          <w:lang w:val="en-US" w:eastAsia="zh-CN" w:bidi="ar-SA"/>
        </w:rPr>
        <w:t>广西</w:t>
      </w:r>
      <w:r>
        <w:rPr>
          <w:rFonts w:hint="eastAsia" w:ascii="仿宋_GB2312" w:hAnsi="仿宋_GB2312" w:eastAsia="仿宋_GB2312" w:cs="仿宋_GB2312"/>
          <w:b w:val="0"/>
          <w:bCs w:val="0"/>
          <w:snapToGrid w:val="0"/>
          <w:color w:val="auto"/>
          <w:spacing w:val="9"/>
          <w:kern w:val="0"/>
          <w:sz w:val="32"/>
          <w:szCs w:val="32"/>
          <w:lang w:val="en-US" w:eastAsia="en-US" w:bidi="ar-SA"/>
        </w:rPr>
        <w:t>财政科技</w:t>
      </w:r>
      <w:r>
        <w:rPr>
          <w:rFonts w:hint="eastAsia" w:ascii="仿宋_GB2312" w:hAnsi="仿宋_GB2312" w:eastAsia="仿宋_GB2312" w:cs="仿宋_GB2312"/>
          <w:b w:val="0"/>
          <w:bCs w:val="0"/>
          <w:snapToGrid w:val="0"/>
          <w:color w:val="auto"/>
          <w:spacing w:val="9"/>
          <w:kern w:val="0"/>
          <w:sz w:val="32"/>
          <w:szCs w:val="32"/>
          <w:lang w:val="en-US" w:eastAsia="zh-CN" w:bidi="ar-SA"/>
        </w:rPr>
        <w:t>计划</w:t>
      </w:r>
      <w:r>
        <w:rPr>
          <w:rFonts w:hint="eastAsia" w:ascii="仿宋_GB2312" w:hAnsi="仿宋_GB2312" w:eastAsia="仿宋_GB2312" w:cs="仿宋_GB2312"/>
          <w:b w:val="0"/>
          <w:bCs w:val="0"/>
          <w:snapToGrid w:val="0"/>
          <w:color w:val="auto"/>
          <w:spacing w:val="9"/>
          <w:kern w:val="0"/>
          <w:sz w:val="32"/>
          <w:szCs w:val="32"/>
          <w:lang w:val="en-US" w:eastAsia="en-US" w:bidi="ar-SA"/>
        </w:rPr>
        <w:t>资金的引导作用，强化企业技</w:t>
      </w:r>
      <w:r>
        <w:rPr>
          <w:rFonts w:hint="eastAsia" w:ascii="仿宋_GB2312" w:hAnsi="仿宋_GB2312" w:eastAsia="仿宋_GB2312" w:cs="仿宋_GB2312"/>
          <w:b w:val="0"/>
          <w:bCs w:val="0"/>
          <w:snapToGrid w:val="0"/>
          <w:color w:val="auto"/>
          <w:spacing w:val="11"/>
          <w:kern w:val="0"/>
          <w:sz w:val="32"/>
          <w:szCs w:val="32"/>
          <w:lang w:val="en-US" w:eastAsia="en-US" w:bidi="ar-SA"/>
        </w:rPr>
        <w:t>术创新主体地位，规范</w:t>
      </w:r>
      <w:r>
        <w:rPr>
          <w:rFonts w:hint="eastAsia" w:ascii="仿宋_GB2312" w:hAnsi="仿宋_GB2312" w:eastAsia="仿宋_GB2312" w:cs="仿宋_GB2312"/>
          <w:b w:val="0"/>
          <w:bCs w:val="0"/>
          <w:snapToGrid w:val="0"/>
          <w:color w:val="auto"/>
          <w:spacing w:val="11"/>
          <w:kern w:val="0"/>
          <w:sz w:val="32"/>
          <w:szCs w:val="32"/>
          <w:lang w:val="en-US" w:eastAsia="zh-CN" w:bidi="ar-SA"/>
        </w:rPr>
        <w:t>广西科技计划项目后补助资金</w:t>
      </w:r>
      <w:r>
        <w:rPr>
          <w:rFonts w:hint="eastAsia" w:ascii="仿宋_GB2312" w:hAnsi="仿宋_GB2312" w:eastAsia="仿宋_GB2312" w:cs="仿宋_GB2312"/>
          <w:b w:val="0"/>
          <w:bCs w:val="0"/>
          <w:snapToGrid w:val="0"/>
          <w:color w:val="auto"/>
          <w:spacing w:val="11"/>
          <w:kern w:val="0"/>
          <w:sz w:val="32"/>
          <w:szCs w:val="32"/>
          <w:lang w:val="en-US" w:eastAsia="en-US" w:bidi="ar-SA"/>
        </w:rPr>
        <w:t>管理</w:t>
      </w:r>
      <w:r>
        <w:rPr>
          <w:rFonts w:hint="eastAsia" w:ascii="仿宋_GB2312" w:hAnsi="仿宋_GB2312" w:eastAsia="仿宋_GB2312" w:cs="仿宋_GB2312"/>
          <w:b w:val="0"/>
          <w:bCs w:val="0"/>
          <w:snapToGrid w:val="0"/>
          <w:color w:val="auto"/>
          <w:spacing w:val="11"/>
          <w:kern w:val="0"/>
          <w:sz w:val="32"/>
          <w:szCs w:val="32"/>
          <w:lang w:val="en-US" w:eastAsia="zh-CN" w:bidi="ar-SA"/>
        </w:rPr>
        <w:t>，</w:t>
      </w:r>
      <w:r>
        <w:rPr>
          <w:rFonts w:hint="eastAsia" w:ascii="仿宋_GB2312" w:hAnsi="仿宋_GB2312" w:eastAsia="仿宋_GB2312" w:cs="仿宋_GB2312"/>
          <w:b w:val="0"/>
          <w:bCs w:val="0"/>
          <w:snapToGrid w:val="0"/>
          <w:color w:val="auto"/>
          <w:spacing w:val="17"/>
          <w:kern w:val="0"/>
          <w:sz w:val="32"/>
          <w:szCs w:val="32"/>
          <w:lang w:val="en-US" w:eastAsia="en-US" w:bidi="ar-SA"/>
        </w:rPr>
        <w:t>制定本办法</w:t>
      </w:r>
      <w:r>
        <w:rPr>
          <w:rFonts w:hint="eastAsia" w:ascii="Times New Roman" w:hAnsi="Times New Roman" w:eastAsia="仿宋_GB2312" w:cs="Times New Roman"/>
          <w:color w:val="auto"/>
          <w:kern w:val="2"/>
          <w:sz w:val="32"/>
          <w:szCs w:val="32"/>
          <w:lang w:val="en-US" w:eastAsia="zh-CN" w:bidi="ar-SA"/>
        </w:rPr>
        <w:t>”，明确制定政策的目的。二是在后补助</w:t>
      </w:r>
      <w:r>
        <w:rPr>
          <w:rFonts w:hint="eastAsia" w:ascii="仿宋_GB2312" w:hAnsi="仿宋" w:eastAsia="仿宋_GB2312" w:cs="仿宋_GB2312"/>
          <w:color w:val="auto"/>
          <w:kern w:val="2"/>
          <w:sz w:val="32"/>
          <w:szCs w:val="32"/>
          <w:lang w:val="en-US" w:eastAsia="zh-CN" w:bidi="ar-SA"/>
        </w:rPr>
        <w:t>定义方面，原第二条改成“指单位先行投入资金、设备（设施）开展研发活动，转化科技成果，提供科技创新服务等各类创新活动，自治区本级财政根据创新活动的实施结果、绩效等，事后给予补助资金的财政支持方式。后补助包括事前立项事后补助、研发活动奖励性后补助、服务运行后补助等三种方式”。三是在</w:t>
      </w:r>
      <w:r>
        <w:rPr>
          <w:rFonts w:hint="eastAsia" w:ascii="Times New Roman" w:hAnsi="Times New Roman" w:eastAsia="仿宋_GB2312" w:cs="Times New Roman"/>
          <w:color w:val="auto"/>
          <w:kern w:val="2"/>
          <w:sz w:val="32"/>
          <w:szCs w:val="32"/>
          <w:lang w:val="en-US" w:eastAsia="zh-CN" w:bidi="ar-SA"/>
        </w:rPr>
        <w:t>后补助</w:t>
      </w:r>
      <w:r>
        <w:rPr>
          <w:rFonts w:hint="eastAsia" w:ascii="仿宋_GB2312" w:hAnsi="仿宋" w:eastAsia="仿宋_GB2312" w:cs="仿宋_GB2312"/>
          <w:color w:val="auto"/>
          <w:kern w:val="2"/>
          <w:sz w:val="32"/>
          <w:szCs w:val="32"/>
          <w:lang w:val="en-US" w:eastAsia="zh-CN" w:bidi="ar-SA"/>
        </w:rPr>
        <w:t>单位方面，原第二条中的单位定义改成“指在广西境内具有独立法人资格的企业、事业单位以及其他各类从事科技创新活动的主体”。四是在后补助</w:t>
      </w:r>
      <w:r>
        <w:rPr>
          <w:rFonts w:hint="eastAsia" w:ascii="仿宋_GB2312" w:hAnsi="仿宋_GB2312" w:eastAsia="仿宋_GB2312" w:cs="仿宋_GB2312"/>
          <w:b w:val="0"/>
          <w:bCs/>
          <w:color w:val="auto"/>
          <w:kern w:val="2"/>
          <w:sz w:val="32"/>
          <w:szCs w:val="32"/>
          <w:lang w:val="en-US" w:eastAsia="zh-CN" w:bidi="ar"/>
        </w:rPr>
        <w:t>资金使用方面，原第四条改成“科学技术奖获奖成果后补助等直接补助给个人的后补助由单位支付给个人。其余后补助资金由单位统筹使用，用于与科技创新活动相关的支出。”</w:t>
      </w:r>
    </w:p>
    <w:p w14:paraId="77FA13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 w:eastAsia="仿宋_GB2312" w:cs="仿宋_GB2312"/>
          <w:color w:val="auto"/>
          <w:kern w:val="2"/>
          <w:sz w:val="32"/>
          <w:szCs w:val="32"/>
          <w:lang w:val="en-US" w:eastAsia="zh-CN" w:bidi="ar-SA"/>
        </w:rPr>
      </w:pPr>
      <w:r>
        <w:rPr>
          <w:rFonts w:hint="eastAsia" w:ascii="方正楷体_GB2312" w:hAnsi="方正楷体_GB2312" w:eastAsia="方正楷体_GB2312" w:cs="方正楷体_GB2312"/>
          <w:b/>
          <w:color w:val="auto"/>
          <w:kern w:val="2"/>
          <w:sz w:val="32"/>
          <w:szCs w:val="32"/>
          <w:lang w:val="en-US" w:eastAsia="zh-CN" w:bidi="ar"/>
        </w:rPr>
        <w:t>（二）在事前立项事后补助章节，主要包含制定的事前立项事后补助定义、补助要求与考核、资金拨付等内容。</w:t>
      </w:r>
      <w:r>
        <w:rPr>
          <w:rFonts w:hint="eastAsia" w:ascii="Times New Roman" w:hAnsi="Times New Roman" w:eastAsia="仿宋_GB2312" w:cs="Times New Roman"/>
          <w:color w:val="auto"/>
          <w:kern w:val="2"/>
          <w:sz w:val="32"/>
          <w:szCs w:val="32"/>
          <w:lang w:val="en-US" w:eastAsia="zh-CN" w:bidi="ar-SA"/>
        </w:rPr>
        <w:t>较之于2016年的版本，一是将原第五条的事前立项事后补助原定义修改成“指单位根据科技厅发布的科技计划项目申报指南，提出项目申请，按照规定的程序立项后，由项目承担单位先行投入资金组织实施，项目结束并通过验收（综合绩效评价）后，给予相应补助资金”，这与最新的《广西科技计划项目经费管理办法》文件中的表述保持一致。二是在补助要求与考核</w:t>
      </w:r>
      <w:r>
        <w:rPr>
          <w:rFonts w:hint="eastAsia" w:ascii="仿宋_GB2312" w:hAnsi="仿宋" w:eastAsia="仿宋_GB2312" w:cs="仿宋_GB2312"/>
          <w:color w:val="auto"/>
          <w:kern w:val="2"/>
          <w:sz w:val="32"/>
          <w:szCs w:val="32"/>
          <w:lang w:val="en-US" w:eastAsia="zh-CN" w:bidi="ar-SA"/>
        </w:rPr>
        <w:t>方面，将原第六条改成“自治区科技厅在科技计划项目立项时，确定拟采用后补助支持方式的项目，对项目拟达到的目标任务提出明确要求，并明确科学、合理、具体的考核评价指标，以及相应的考核评价方式和补助资金金额”。三是在资金拨付方面，删除原第七条至第九条时，将原第十条修改成“完成规定程序的项目，自治区科技厅根据有关规定向单位拨付后补助资金。通过验收的后补助项目根据验收实际使用财政经费予以拨付具体资金。”</w:t>
      </w:r>
    </w:p>
    <w:p w14:paraId="2009E7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方正楷体_GB2312" w:hAnsi="方正楷体_GB2312" w:eastAsia="方正楷体_GB2312" w:cs="方正楷体_GB2312"/>
          <w:b/>
          <w:color w:val="auto"/>
          <w:kern w:val="2"/>
          <w:sz w:val="32"/>
          <w:szCs w:val="32"/>
          <w:lang w:val="en-US" w:eastAsia="zh-CN" w:bidi="ar"/>
        </w:rPr>
        <w:t>（三）在奖励性后补助章节，主要包含奖励性后补助的定义、补助确定、资金拨付等内容。</w:t>
      </w:r>
      <w:r>
        <w:rPr>
          <w:rFonts w:hint="eastAsia" w:ascii="Times New Roman" w:hAnsi="Times New Roman" w:eastAsia="仿宋_GB2312" w:cs="Times New Roman"/>
          <w:color w:val="auto"/>
          <w:kern w:val="2"/>
          <w:sz w:val="32"/>
          <w:szCs w:val="32"/>
          <w:lang w:val="en-US" w:eastAsia="zh-CN" w:bidi="ar-SA"/>
        </w:rPr>
        <w:t>较之于2016年的版本，一是将奖励性后补助的定义与最新的《广西科技计划项目经费管理办法》文件中的表述保持一致，即将原十一条改成“</w:t>
      </w:r>
      <w:r>
        <w:rPr>
          <w:rFonts w:hint="eastAsia" w:ascii="仿宋_GB2312" w:hAnsi="仿宋_GB2312" w:eastAsia="仿宋_GB2312" w:cs="仿宋_GB2312"/>
          <w:b w:val="0"/>
          <w:bCs w:val="0"/>
          <w:snapToGrid w:val="0"/>
          <w:color w:val="auto"/>
          <w:spacing w:val="10"/>
          <w:kern w:val="0"/>
          <w:sz w:val="32"/>
          <w:szCs w:val="32"/>
          <w:lang w:val="en-US" w:eastAsia="en-US" w:bidi="ar-SA"/>
        </w:rPr>
        <w:t>指单位根据市场需求及自身发展需要，先行投入</w:t>
      </w:r>
      <w:r>
        <w:rPr>
          <w:rFonts w:hint="eastAsia" w:ascii="仿宋_GB2312" w:hAnsi="仿宋_GB2312" w:eastAsia="仿宋_GB2312" w:cs="仿宋_GB2312"/>
          <w:b w:val="0"/>
          <w:bCs w:val="0"/>
          <w:snapToGrid w:val="0"/>
          <w:color w:val="auto"/>
          <w:spacing w:val="10"/>
          <w:kern w:val="0"/>
          <w:sz w:val="32"/>
          <w:szCs w:val="32"/>
          <w:lang w:val="en-US" w:eastAsia="zh-CN" w:bidi="ar-SA"/>
        </w:rPr>
        <w:t>经费</w:t>
      </w:r>
      <w:r>
        <w:rPr>
          <w:rFonts w:hint="eastAsia" w:ascii="仿宋_GB2312" w:hAnsi="仿宋_GB2312" w:eastAsia="仿宋_GB2312" w:cs="仿宋_GB2312"/>
          <w:b w:val="0"/>
          <w:bCs w:val="0"/>
          <w:snapToGrid w:val="0"/>
          <w:color w:val="auto"/>
          <w:spacing w:val="10"/>
          <w:kern w:val="0"/>
          <w:sz w:val="32"/>
          <w:szCs w:val="32"/>
          <w:lang w:val="en-US" w:eastAsia="en-US" w:bidi="ar-SA"/>
        </w:rPr>
        <w:t>组织开展</w:t>
      </w:r>
      <w:r>
        <w:rPr>
          <w:rFonts w:hint="eastAsia" w:ascii="仿宋_GB2312" w:hAnsi="仿宋_GB2312" w:eastAsia="仿宋_GB2312" w:cs="仿宋_GB2312"/>
          <w:b w:val="0"/>
          <w:bCs w:val="0"/>
          <w:snapToGrid w:val="0"/>
          <w:color w:val="auto"/>
          <w:spacing w:val="10"/>
          <w:kern w:val="0"/>
          <w:sz w:val="32"/>
          <w:szCs w:val="32"/>
          <w:lang w:val="en-US" w:eastAsia="zh-CN" w:bidi="ar-SA"/>
        </w:rPr>
        <w:t>科技</w:t>
      </w:r>
      <w:r>
        <w:rPr>
          <w:rFonts w:hint="eastAsia" w:ascii="仿宋_GB2312" w:hAnsi="仿宋_GB2312" w:eastAsia="仿宋_GB2312" w:cs="仿宋_GB2312"/>
          <w:b w:val="0"/>
          <w:bCs w:val="0"/>
          <w:snapToGrid w:val="0"/>
          <w:color w:val="auto"/>
          <w:spacing w:val="10"/>
          <w:kern w:val="0"/>
          <w:sz w:val="32"/>
          <w:szCs w:val="32"/>
          <w:lang w:val="en-US" w:eastAsia="en-US" w:bidi="ar-SA"/>
        </w:rPr>
        <w:t>活动，取得有助于解决我区经济社会发展问题的</w:t>
      </w:r>
      <w:r>
        <w:rPr>
          <w:rFonts w:hint="eastAsia" w:ascii="仿宋_GB2312" w:hAnsi="仿宋_GB2312" w:eastAsia="仿宋_GB2312" w:cs="仿宋_GB2312"/>
          <w:b w:val="0"/>
          <w:bCs w:val="0"/>
          <w:snapToGrid w:val="0"/>
          <w:color w:val="auto"/>
          <w:spacing w:val="10"/>
          <w:kern w:val="0"/>
          <w:sz w:val="32"/>
          <w:szCs w:val="32"/>
          <w:lang w:val="en-US" w:eastAsia="zh-CN" w:bidi="ar-SA"/>
        </w:rPr>
        <w:t>科技成果</w:t>
      </w:r>
      <w:r>
        <w:rPr>
          <w:rFonts w:hint="eastAsia" w:ascii="仿宋_GB2312" w:hAnsi="仿宋_GB2312" w:eastAsia="仿宋_GB2312" w:cs="仿宋_GB2312"/>
          <w:b w:val="0"/>
          <w:bCs w:val="0"/>
          <w:snapToGrid w:val="0"/>
          <w:color w:val="auto"/>
          <w:spacing w:val="10"/>
          <w:kern w:val="0"/>
          <w:sz w:val="32"/>
          <w:szCs w:val="32"/>
          <w:lang w:val="en-US" w:eastAsia="en-US" w:bidi="ar-SA"/>
        </w:rPr>
        <w:t>，经审查通过后，给予相应的</w:t>
      </w:r>
      <w:r>
        <w:rPr>
          <w:rFonts w:hint="eastAsia" w:ascii="仿宋_GB2312" w:hAnsi="仿宋_GB2312" w:eastAsia="仿宋_GB2312" w:cs="仿宋_GB2312"/>
          <w:b w:val="0"/>
          <w:bCs w:val="0"/>
          <w:snapToGrid w:val="0"/>
          <w:color w:val="auto"/>
          <w:spacing w:val="10"/>
          <w:kern w:val="0"/>
          <w:sz w:val="32"/>
          <w:szCs w:val="32"/>
          <w:lang w:val="en-US" w:eastAsia="zh-CN" w:bidi="ar-SA"/>
        </w:rPr>
        <w:t>奖励</w:t>
      </w:r>
      <w:r>
        <w:rPr>
          <w:rFonts w:hint="eastAsia" w:ascii="仿宋_GB2312" w:hAnsi="仿宋_GB2312" w:eastAsia="仿宋_GB2312" w:cs="仿宋_GB2312"/>
          <w:b w:val="0"/>
          <w:bCs w:val="0"/>
          <w:snapToGrid w:val="0"/>
          <w:color w:val="auto"/>
          <w:spacing w:val="10"/>
          <w:kern w:val="0"/>
          <w:sz w:val="32"/>
          <w:szCs w:val="32"/>
          <w:lang w:val="en-US" w:eastAsia="en-US" w:bidi="ar-SA"/>
        </w:rPr>
        <w:t>补助</w:t>
      </w:r>
      <w:r>
        <w:rPr>
          <w:rFonts w:hint="eastAsia" w:ascii="Times New Roman" w:hAnsi="Times New Roman" w:eastAsia="仿宋_GB2312" w:cs="Times New Roman"/>
          <w:color w:val="auto"/>
          <w:kern w:val="2"/>
          <w:sz w:val="32"/>
          <w:szCs w:val="32"/>
          <w:lang w:val="en-US" w:eastAsia="zh-CN" w:bidi="ar-SA"/>
        </w:rPr>
        <w:t>”，对表述进一步优化，强化成果的导向性。二是在资金补助确定方面，原第十二条至第十三条修改成“奖励性后补助根据相关认定和备案办法（细则）或获奖名单确定补助名单及补助额度。平台建设的后补助，根据不同类别平台建设要求另行规定”。三是在资金拨付方面，删除原第十五条，并将原第十四条修改成“按照考核评估结果和补助标准，自治区科技厅根据有关规定向单位支付后补助资金”。</w:t>
      </w:r>
    </w:p>
    <w:p w14:paraId="087FF1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方正楷体_GB2312" w:hAnsi="方正楷体_GB2312" w:eastAsia="方正楷体_GB2312" w:cs="方正楷体_GB2312"/>
          <w:b/>
          <w:color w:val="auto"/>
          <w:kern w:val="2"/>
          <w:sz w:val="32"/>
          <w:szCs w:val="32"/>
          <w:lang w:val="en-US" w:eastAsia="zh-CN" w:bidi="ar"/>
        </w:rPr>
        <w:t>（四）在服务运行后补助章节，主要包含服务运行后补助的定义、依托单位职责与考核、资金拨付等内容。</w:t>
      </w:r>
      <w:r>
        <w:rPr>
          <w:rFonts w:hint="eastAsia" w:ascii="Times New Roman" w:hAnsi="Times New Roman" w:eastAsia="仿宋_GB2312" w:cs="Times New Roman"/>
          <w:color w:val="auto"/>
          <w:kern w:val="2"/>
          <w:sz w:val="32"/>
          <w:szCs w:val="32"/>
          <w:lang w:val="en-US" w:eastAsia="zh-CN" w:bidi="ar-SA"/>
        </w:rPr>
        <w:t>较之于2016年的版本，一是在服务运行后补助的定义方面，将原第十六条修改成“服务运行后补助是指对大型科研仪器设备和研究实验基地、科技文献资源、自然科技资源等广西科技基础条件平台开放运行共享，以及重大科研基础设施开放共享等，经绩效考核通过后，给予相应补助的财政支持方式”。二是在依托单位职责与考核方面，将原第十七条和第十八条修改为“广西科技基础条件平台以及重大科研基础设施开放共享的依托单位应当切实履行职责，按照有关规定开放科技资源、开展科技创新服务，并提供相应的支撑保障。”和“自治区科技厅定期组织对依托单位服务运行情况开展考核评估，形成考核评估结果，并将考核评估结果以适当方式向社会公示”。三是在资金拨付方面，将原第十九条改成“按照考核评估结果和补助标准，自治区科技厅根据有关规定向依托单位支付后补助资金”。</w:t>
      </w:r>
    </w:p>
    <w:p w14:paraId="737BEB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方正楷体_GB2312" w:hAnsi="方正楷体_GB2312" w:eastAsia="方正楷体_GB2312" w:cs="方正楷体_GB2312"/>
          <w:b/>
          <w:color w:val="auto"/>
          <w:kern w:val="2"/>
          <w:sz w:val="32"/>
          <w:szCs w:val="32"/>
          <w:lang w:val="en-US" w:eastAsia="zh-CN" w:bidi="ar"/>
        </w:rPr>
        <w:t>（五）在管理监督章节，主要包含服务运行后补助的监管责任、违规处理、规范责任及信息公开等内容。</w:t>
      </w:r>
      <w:r>
        <w:rPr>
          <w:rFonts w:hint="eastAsia" w:ascii="Times New Roman" w:hAnsi="Times New Roman" w:eastAsia="仿宋_GB2312" w:cs="Times New Roman"/>
          <w:color w:val="auto"/>
          <w:kern w:val="2"/>
          <w:sz w:val="32"/>
          <w:szCs w:val="32"/>
          <w:lang w:val="en-US" w:eastAsia="zh-CN" w:bidi="ar-SA"/>
        </w:rPr>
        <w:t>较之于2016年的版本，内容和条款保持一致，但规范了部分表述，将“专业机构”修改为“项目管理机构”、“联席办”修改为“科技厅”。</w:t>
      </w:r>
    </w:p>
    <w:p w14:paraId="558BFEAD">
      <w:pPr>
        <w:pStyle w:val="2"/>
        <w:keepNext w:val="0"/>
        <w:keepLines w:val="0"/>
        <w:pageBreakBefore w:val="0"/>
        <w:widowControl w:val="0"/>
        <w:kinsoku/>
        <w:wordWrap/>
        <w:overflowPunct/>
        <w:topLinePunct w:val="0"/>
        <w:bidi w:val="0"/>
        <w:snapToGrid/>
        <w:spacing w:line="540" w:lineRule="exact"/>
        <w:ind w:firstLine="643" w:firstLineChars="200"/>
        <w:rPr>
          <w:rFonts w:hint="eastAsia" w:ascii="仿宋_GB2312" w:hAnsi="仿宋" w:eastAsia="仿宋_GB2312" w:cs="仿宋_GB2312"/>
          <w:color w:val="auto"/>
          <w:kern w:val="2"/>
          <w:sz w:val="32"/>
          <w:szCs w:val="32"/>
          <w:lang w:val="en-US" w:eastAsia="zh-CN" w:bidi="ar-SA"/>
        </w:rPr>
      </w:pPr>
      <w:r>
        <w:rPr>
          <w:rFonts w:hint="eastAsia" w:ascii="方正楷体_GB2312" w:hAnsi="方正楷体_GB2312" w:eastAsia="方正楷体_GB2312" w:cs="方正楷体_GB2312"/>
          <w:b/>
          <w:color w:val="auto"/>
          <w:kern w:val="2"/>
          <w:sz w:val="32"/>
          <w:szCs w:val="32"/>
          <w:lang w:val="en-US" w:eastAsia="zh-CN" w:bidi="ar"/>
        </w:rPr>
        <w:t>（六）在附则章节中，主要包含《办法》解释、政策施行期限等内容。</w:t>
      </w:r>
      <w:r>
        <w:rPr>
          <w:rFonts w:hint="eastAsia" w:ascii="仿宋_GB2312" w:hAnsi="仿宋" w:eastAsia="仿宋_GB2312" w:cs="仿宋_GB2312"/>
          <w:color w:val="auto"/>
          <w:kern w:val="2"/>
          <w:sz w:val="32"/>
          <w:szCs w:val="32"/>
          <w:lang w:val="en-US" w:eastAsia="zh-CN" w:bidi="ar-SA"/>
        </w:rPr>
        <w:t>该章节</w:t>
      </w:r>
      <w:r>
        <w:rPr>
          <w:rFonts w:hint="default" w:ascii="仿宋_GB2312" w:hAnsi="仿宋" w:eastAsia="仿宋_GB2312" w:cs="仿宋_GB2312"/>
          <w:color w:val="auto"/>
          <w:kern w:val="2"/>
          <w:sz w:val="32"/>
          <w:szCs w:val="32"/>
          <w:lang w:val="en-US" w:eastAsia="zh-CN" w:bidi="ar-SA"/>
        </w:rPr>
        <w:t>明确了</w:t>
      </w:r>
      <w:r>
        <w:rPr>
          <w:rFonts w:hint="eastAsia" w:ascii="仿宋_GB2312" w:hAnsi="仿宋" w:eastAsia="仿宋_GB2312" w:cs="仿宋_GB2312"/>
          <w:color w:val="auto"/>
          <w:kern w:val="2"/>
          <w:sz w:val="32"/>
          <w:szCs w:val="32"/>
          <w:lang w:val="en-US" w:eastAsia="zh-CN" w:bidi="ar-SA"/>
        </w:rPr>
        <w:t>其他需要实行后补助管理的科技专项，可以参照本办法执行，以及</w:t>
      </w:r>
      <w:r>
        <w:rPr>
          <w:rFonts w:hint="default" w:ascii="仿宋_GB2312" w:hAnsi="仿宋" w:eastAsia="仿宋_GB2312" w:cs="仿宋_GB2312"/>
          <w:color w:val="auto"/>
          <w:kern w:val="2"/>
          <w:sz w:val="32"/>
          <w:szCs w:val="32"/>
          <w:lang w:val="en-US" w:eastAsia="zh-CN" w:bidi="ar-SA"/>
        </w:rPr>
        <w:t>《办法》解释的负责部门。同时，规定</w:t>
      </w:r>
      <w:r>
        <w:rPr>
          <w:rFonts w:hint="eastAsia" w:ascii="仿宋_GB2312" w:hAnsi="仿宋" w:eastAsia="仿宋_GB2312" w:cs="仿宋_GB2312"/>
          <w:color w:val="auto"/>
          <w:kern w:val="2"/>
          <w:sz w:val="32"/>
          <w:szCs w:val="32"/>
          <w:lang w:val="en-US" w:eastAsia="zh-CN" w:bidi="ar-SA"/>
        </w:rPr>
        <w:t>《</w:t>
      </w:r>
      <w:r>
        <w:rPr>
          <w:rFonts w:hint="default" w:ascii="仿宋_GB2312" w:hAnsi="仿宋" w:eastAsia="仿宋_GB2312" w:cs="仿宋_GB2312"/>
          <w:color w:val="auto"/>
          <w:kern w:val="2"/>
          <w:sz w:val="32"/>
          <w:szCs w:val="32"/>
          <w:lang w:val="en-US" w:eastAsia="zh-CN" w:bidi="ar-SA"/>
        </w:rPr>
        <w:t>办法</w:t>
      </w:r>
      <w:r>
        <w:rPr>
          <w:rFonts w:hint="eastAsia" w:ascii="仿宋_GB2312" w:hAnsi="仿宋" w:eastAsia="仿宋_GB2312" w:cs="仿宋_GB2312"/>
          <w:color w:val="auto"/>
          <w:kern w:val="2"/>
          <w:sz w:val="32"/>
          <w:szCs w:val="32"/>
          <w:lang w:val="en-US" w:eastAsia="zh-CN" w:bidi="ar-SA"/>
        </w:rPr>
        <w:t>》</w:t>
      </w:r>
      <w:r>
        <w:rPr>
          <w:rFonts w:hint="default" w:ascii="仿宋_GB2312" w:hAnsi="仿宋" w:eastAsia="仿宋_GB2312" w:cs="仿宋_GB2312"/>
          <w:color w:val="auto"/>
          <w:kern w:val="2"/>
          <w:sz w:val="32"/>
          <w:szCs w:val="32"/>
          <w:lang w:val="en-US" w:eastAsia="zh-CN" w:bidi="ar-SA"/>
        </w:rPr>
        <w:t>自印发之日起执行，</w:t>
      </w:r>
      <w:r>
        <w:rPr>
          <w:rFonts w:hint="eastAsia" w:ascii="仿宋_GB2312" w:hAnsi="仿宋" w:eastAsia="仿宋_GB2312" w:cs="仿宋_GB2312"/>
          <w:color w:val="auto"/>
          <w:kern w:val="2"/>
          <w:sz w:val="32"/>
          <w:szCs w:val="32"/>
          <w:lang w:val="en-US" w:eastAsia="zh-CN" w:bidi="ar-SA"/>
        </w:rPr>
        <w:t>且</w:t>
      </w:r>
      <w:r>
        <w:rPr>
          <w:rFonts w:hint="default" w:ascii="仿宋_GB2312" w:hAnsi="仿宋" w:eastAsia="仿宋_GB2312" w:cs="仿宋_GB2312"/>
          <w:color w:val="auto"/>
          <w:kern w:val="2"/>
          <w:sz w:val="32"/>
          <w:szCs w:val="32"/>
          <w:lang w:val="en-US" w:eastAsia="zh-CN" w:bidi="ar-SA"/>
        </w:rPr>
        <w:t>废止</w:t>
      </w:r>
      <w:r>
        <w:rPr>
          <w:rFonts w:hint="eastAsia" w:ascii="仿宋_GB2312" w:hAnsi="仿宋" w:eastAsia="仿宋_GB2312" w:cs="仿宋_GB2312"/>
          <w:color w:val="auto"/>
          <w:kern w:val="2"/>
          <w:sz w:val="32"/>
          <w:szCs w:val="32"/>
          <w:lang w:val="en-US" w:eastAsia="zh-CN" w:bidi="ar-SA"/>
        </w:rPr>
        <w:t>原</w:t>
      </w:r>
      <w:r>
        <w:rPr>
          <w:rFonts w:hint="default" w:ascii="仿宋_GB2312" w:hAnsi="仿宋" w:eastAsia="仿宋_GB2312" w:cs="仿宋_GB2312"/>
          <w:color w:val="auto"/>
          <w:kern w:val="2"/>
          <w:sz w:val="32"/>
          <w:szCs w:val="32"/>
          <w:lang w:val="en-US" w:eastAsia="zh-CN" w:bidi="ar-SA"/>
        </w:rPr>
        <w:t>《广西壮族自治区本级财政科技计划资金后补助管理暂</w:t>
      </w:r>
      <w:r>
        <w:rPr>
          <w:rFonts w:hint="default" w:ascii="Times New Roman" w:hAnsi="Times New Roman" w:eastAsia="仿宋_GB2312" w:cs="Times New Roman"/>
          <w:color w:val="auto"/>
          <w:kern w:val="2"/>
          <w:sz w:val="32"/>
          <w:szCs w:val="32"/>
          <w:lang w:val="en-US" w:eastAsia="zh-CN" w:bidi="ar-SA"/>
        </w:rPr>
        <w:t>行办法》（桂财教〔2016〕52号）</w:t>
      </w:r>
      <w:r>
        <w:rPr>
          <w:rFonts w:hint="default" w:ascii="仿宋_GB2312" w:hAnsi="仿宋" w:eastAsia="仿宋_GB2312" w:cs="仿宋_GB2312"/>
          <w:color w:val="auto"/>
          <w:kern w:val="2"/>
          <w:sz w:val="32"/>
          <w:szCs w:val="32"/>
          <w:lang w:val="en-US" w:eastAsia="zh-CN" w:bidi="ar-SA"/>
        </w:rPr>
        <w:t>，实现政策的平稳过渡与更新迭代</w:t>
      </w:r>
      <w:r>
        <w:rPr>
          <w:rFonts w:hint="eastAsia" w:ascii="仿宋_GB2312" w:hAnsi="仿宋" w:eastAsia="仿宋_GB2312" w:cs="仿宋_GB2312"/>
          <w:color w:val="auto"/>
          <w:kern w:val="2"/>
          <w:sz w:val="32"/>
          <w:szCs w:val="32"/>
          <w:lang w:val="en-US" w:eastAsia="zh-CN" w:bidi="ar-SA"/>
        </w:rPr>
        <w:t>。</w:t>
      </w:r>
    </w:p>
    <w:p w14:paraId="6B5687A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pacing w:val="0"/>
          <w:sz w:val="32"/>
          <w:szCs w:val="32"/>
          <w:lang w:eastAsia="zh-CN"/>
        </w:rPr>
      </w:pPr>
    </w:p>
    <w:p w14:paraId="3339ACA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pacing w:val="0"/>
          <w:sz w:val="32"/>
          <w:szCs w:val="32"/>
          <w:lang w:eastAsia="zh-CN"/>
        </w:rPr>
      </w:pPr>
    </w:p>
    <w:p w14:paraId="3A0B517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pacing w:val="0"/>
          <w:sz w:val="32"/>
          <w:szCs w:val="32"/>
          <w:lang w:eastAsia="zh-CN"/>
        </w:rPr>
      </w:pPr>
    </w:p>
    <w:p w14:paraId="046CE47A">
      <w:pPr>
        <w:pStyle w:val="4"/>
        <w:ind w:left="0" w:leftChars="0" w:firstLine="0" w:firstLineChars="0"/>
        <w:rPr>
          <w:rFonts w:hint="eastAsia"/>
          <w:color w:val="auto"/>
          <w:lang w:val="en-US" w:eastAsia="zh-CN"/>
        </w:rPr>
      </w:pPr>
    </w:p>
    <w:p w14:paraId="0CAAB4FF">
      <w:pPr>
        <w:pStyle w:val="7"/>
        <w:keepNext w:val="0"/>
        <w:keepLines w:val="0"/>
        <w:pageBreakBefore w:val="0"/>
        <w:widowControl w:val="0"/>
        <w:kinsoku/>
        <w:wordWrap/>
        <w:overflowPunct/>
        <w:topLinePunct w:val="0"/>
        <w:autoSpaceDE/>
        <w:autoSpaceDN/>
        <w:bidi w:val="0"/>
        <w:snapToGrid/>
        <w:spacing w:after="0" w:afterLines="0" w:line="560" w:lineRule="exact"/>
        <w:rPr>
          <w:rFonts w:hint="default" w:ascii="Times New Roman" w:hAnsi="Times New Roman" w:eastAsia="仿宋_GB2312" w:cs="Times New Roman"/>
          <w:color w:val="000000"/>
          <w:kern w:val="0"/>
          <w:sz w:val="32"/>
          <w:szCs w:val="32"/>
          <w:lang w:val="en-US" w:eastAsia="zh-CN"/>
        </w:rPr>
      </w:pPr>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楷体"/>
    <w:panose1 w:val="02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B6CC">
    <w:pPr>
      <w:pStyle w:val="11"/>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41A32F0C">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41A32F0C">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240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8E15EB9">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5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tE03mugBAADK&#10;AwAADgAAAAAAAAABACAAAAAeAQAAZHJzL2Uyb0RvYy54bWxQSwUGAAAAAAYABgBZAQAAeAUAAAAA&#10;">
              <v:fill on="f" focussize="0,0"/>
              <v:stroke on="f"/>
              <v:imagedata o:title=""/>
              <o:lock v:ext="edit" aspectratio="f"/>
              <v:textbox inset="0mm,0mm,0mm,0mm" style="mso-fit-shape-to-text:t;">
                <w:txbxContent>
                  <w:p w14:paraId="48E15EB9">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41D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5628">
    <w:pPr>
      <w:pStyle w:val="12"/>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10"/>
  <w:drawingGridVerticalSpacing w:val="159"/>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CE6EB1"/>
    <w:rsid w:val="06982F19"/>
    <w:rsid w:val="087F6923"/>
    <w:rsid w:val="0B616901"/>
    <w:rsid w:val="0D445412"/>
    <w:rsid w:val="0EAA760A"/>
    <w:rsid w:val="16295DD9"/>
    <w:rsid w:val="25565D1A"/>
    <w:rsid w:val="27E239F2"/>
    <w:rsid w:val="280F74E7"/>
    <w:rsid w:val="2BC00920"/>
    <w:rsid w:val="2BE01BD6"/>
    <w:rsid w:val="2DBB9EC8"/>
    <w:rsid w:val="30B4648D"/>
    <w:rsid w:val="31E36869"/>
    <w:rsid w:val="335F56CE"/>
    <w:rsid w:val="355A3E1C"/>
    <w:rsid w:val="365A443E"/>
    <w:rsid w:val="373B525E"/>
    <w:rsid w:val="38FB5317"/>
    <w:rsid w:val="393E16A4"/>
    <w:rsid w:val="39B76556"/>
    <w:rsid w:val="39C7D0F5"/>
    <w:rsid w:val="3ACBA423"/>
    <w:rsid w:val="3B1FC398"/>
    <w:rsid w:val="3B378168"/>
    <w:rsid w:val="3C730A48"/>
    <w:rsid w:val="3F814D97"/>
    <w:rsid w:val="3FF7F52E"/>
    <w:rsid w:val="409A21BD"/>
    <w:rsid w:val="40C44895"/>
    <w:rsid w:val="448F25B4"/>
    <w:rsid w:val="49051EC1"/>
    <w:rsid w:val="49BF6941"/>
    <w:rsid w:val="4AEB42B2"/>
    <w:rsid w:val="4B0A3EDB"/>
    <w:rsid w:val="4D852640"/>
    <w:rsid w:val="4D981343"/>
    <w:rsid w:val="4DEF3E89"/>
    <w:rsid w:val="4E80705D"/>
    <w:rsid w:val="4F9F7D77"/>
    <w:rsid w:val="526BFAD4"/>
    <w:rsid w:val="55625F0C"/>
    <w:rsid w:val="55F51A69"/>
    <w:rsid w:val="5AF35FEF"/>
    <w:rsid w:val="5BDF3788"/>
    <w:rsid w:val="5CA5570E"/>
    <w:rsid w:val="5CC44C22"/>
    <w:rsid w:val="5D1E7563"/>
    <w:rsid w:val="5E7F32B2"/>
    <w:rsid w:val="5FEF874B"/>
    <w:rsid w:val="5FF62D62"/>
    <w:rsid w:val="6097591A"/>
    <w:rsid w:val="63317BAB"/>
    <w:rsid w:val="642971E3"/>
    <w:rsid w:val="65081EF0"/>
    <w:rsid w:val="66C9548A"/>
    <w:rsid w:val="68CB0E27"/>
    <w:rsid w:val="68EF1AEA"/>
    <w:rsid w:val="6ABFB6AF"/>
    <w:rsid w:val="6AFC4105"/>
    <w:rsid w:val="6BEFCD41"/>
    <w:rsid w:val="6EE567C2"/>
    <w:rsid w:val="6F797B09"/>
    <w:rsid w:val="6F7EDBE6"/>
    <w:rsid w:val="6FBD5DC6"/>
    <w:rsid w:val="700E0E59"/>
    <w:rsid w:val="708664A7"/>
    <w:rsid w:val="71AC61BE"/>
    <w:rsid w:val="71ED0839"/>
    <w:rsid w:val="73CB7025"/>
    <w:rsid w:val="73CC3568"/>
    <w:rsid w:val="746D3BA9"/>
    <w:rsid w:val="75477E01"/>
    <w:rsid w:val="771D4F71"/>
    <w:rsid w:val="77DB6926"/>
    <w:rsid w:val="77E35A7F"/>
    <w:rsid w:val="77FA63BC"/>
    <w:rsid w:val="7804098D"/>
    <w:rsid w:val="7A5B709F"/>
    <w:rsid w:val="7B0423A9"/>
    <w:rsid w:val="7B672258"/>
    <w:rsid w:val="7B853083"/>
    <w:rsid w:val="7BAC284C"/>
    <w:rsid w:val="7BCC0671"/>
    <w:rsid w:val="7D766EB8"/>
    <w:rsid w:val="7DFE8B05"/>
    <w:rsid w:val="7DFF05DA"/>
    <w:rsid w:val="7DFF731F"/>
    <w:rsid w:val="7E195214"/>
    <w:rsid w:val="7EDFA022"/>
    <w:rsid w:val="7F7C09D2"/>
    <w:rsid w:val="7FDCEE19"/>
    <w:rsid w:val="7FEF8F7E"/>
    <w:rsid w:val="7FF1BA5D"/>
    <w:rsid w:val="7FFB6C78"/>
    <w:rsid w:val="7FFD8599"/>
    <w:rsid w:val="93FE7B13"/>
    <w:rsid w:val="97FE47F4"/>
    <w:rsid w:val="9F834700"/>
    <w:rsid w:val="A5BBA65B"/>
    <w:rsid w:val="AC9F28CF"/>
    <w:rsid w:val="AFDD2337"/>
    <w:rsid w:val="BDD42B31"/>
    <w:rsid w:val="BE7FEB03"/>
    <w:rsid w:val="BF7B0C10"/>
    <w:rsid w:val="BF8B0EB7"/>
    <w:rsid w:val="BFAF52A9"/>
    <w:rsid w:val="CBCBECF5"/>
    <w:rsid w:val="CBFF75BF"/>
    <w:rsid w:val="CF778927"/>
    <w:rsid w:val="D5E7005E"/>
    <w:rsid w:val="DBBCACB4"/>
    <w:rsid w:val="DBD69646"/>
    <w:rsid w:val="DFDBF448"/>
    <w:rsid w:val="DFFF8725"/>
    <w:rsid w:val="E3DF7FC2"/>
    <w:rsid w:val="E5BBE460"/>
    <w:rsid w:val="E7AB668E"/>
    <w:rsid w:val="EBFFBB08"/>
    <w:rsid w:val="EFCFDEDE"/>
    <w:rsid w:val="EFF5F5C6"/>
    <w:rsid w:val="F3BF4E85"/>
    <w:rsid w:val="F3F6A645"/>
    <w:rsid w:val="F5B3E40E"/>
    <w:rsid w:val="F68EC1BB"/>
    <w:rsid w:val="F76AA324"/>
    <w:rsid w:val="F8B58E7C"/>
    <w:rsid w:val="FBC5A9B9"/>
    <w:rsid w:val="FBEBEF67"/>
    <w:rsid w:val="FBF777A6"/>
    <w:rsid w:val="FEDF7305"/>
    <w:rsid w:val="FEEE36EB"/>
    <w:rsid w:val="FF3F8DFA"/>
    <w:rsid w:val="FF46DB6C"/>
    <w:rsid w:val="FF660270"/>
    <w:rsid w:val="FFD3ADA4"/>
    <w:rsid w:val="FFFF34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next w:val="1"/>
    <w:qFormat/>
    <w:uiPriority w:val="99"/>
    <w:pPr>
      <w:ind w:firstLine="420" w:firstLineChars="200"/>
    </w:pPr>
    <w:rPr>
      <w:rFonts w:cs="Calibri"/>
      <w:szCs w:val="21"/>
    </w:rPr>
  </w:style>
  <w:style w:type="paragraph" w:styleId="6">
    <w:name w:val="index 6"/>
    <w:basedOn w:val="1"/>
    <w:next w:val="1"/>
    <w:qFormat/>
    <w:uiPriority w:val="99"/>
    <w:pPr>
      <w:ind w:left="2100"/>
    </w:pPr>
  </w:style>
  <w:style w:type="paragraph" w:styleId="7">
    <w:name w:val="Body Text"/>
    <w:basedOn w:val="1"/>
    <w:next w:val="8"/>
    <w:qFormat/>
    <w:uiPriority w:val="0"/>
    <w:pPr>
      <w:spacing w:after="120" w:afterLines="0" w:afterAutospacing="0"/>
    </w:pPr>
  </w:style>
  <w:style w:type="paragraph" w:styleId="8">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9">
    <w:name w:val="Date"/>
    <w:basedOn w:val="1"/>
    <w:next w:val="1"/>
    <w:link w:val="19"/>
    <w:unhideWhenUsed/>
    <w:qFormat/>
    <w:uiPriority w:val="0"/>
    <w:pPr>
      <w:ind w:left="100" w:leftChars="2500"/>
    </w:pPr>
  </w:style>
  <w:style w:type="paragraph" w:styleId="10">
    <w:name w:val="Balloon Text"/>
    <w:basedOn w:val="1"/>
    <w:link w:val="20"/>
    <w:qFormat/>
    <w:uiPriority w:val="0"/>
    <w:rPr>
      <w:sz w:val="18"/>
      <w:szCs w:val="18"/>
    </w:rPr>
  </w:style>
  <w:style w:type="paragraph" w:styleId="11">
    <w:name w:val="footer"/>
    <w:basedOn w:val="1"/>
    <w:next w:val="1"/>
    <w:link w:val="21"/>
    <w:qFormat/>
    <w:uiPriority w:val="99"/>
    <w:pPr>
      <w:tabs>
        <w:tab w:val="center" w:pos="4153"/>
        <w:tab w:val="right" w:pos="8306"/>
      </w:tabs>
      <w:snapToGrid w:val="0"/>
      <w:jc w:val="left"/>
    </w:pPr>
    <w:rPr>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customStyle="1" w:styleId="19">
    <w:name w:val="日期 Char"/>
    <w:link w:val="9"/>
    <w:semiHidden/>
    <w:qFormat/>
    <w:uiPriority w:val="0"/>
    <w:rPr>
      <w:kern w:val="2"/>
      <w:sz w:val="21"/>
      <w:szCs w:val="22"/>
    </w:rPr>
  </w:style>
  <w:style w:type="character" w:customStyle="1" w:styleId="20">
    <w:name w:val="批注框文本 Char"/>
    <w:link w:val="10"/>
    <w:qFormat/>
    <w:uiPriority w:val="0"/>
    <w:rPr>
      <w:kern w:val="2"/>
      <w:sz w:val="18"/>
      <w:szCs w:val="18"/>
    </w:rPr>
  </w:style>
  <w:style w:type="character" w:customStyle="1" w:styleId="21">
    <w:name w:val="页脚 Char"/>
    <w:link w:val="11"/>
    <w:qFormat/>
    <w:uiPriority w:val="99"/>
    <w:rPr>
      <w:kern w:val="2"/>
      <w:sz w:val="18"/>
      <w:szCs w:val="18"/>
    </w:rPr>
  </w:style>
  <w:style w:type="character" w:customStyle="1" w:styleId="22">
    <w:name w:val="页眉 Char"/>
    <w:link w:val="12"/>
    <w:qFormat/>
    <w:uiPriority w:val="99"/>
    <w:rPr>
      <w:kern w:val="2"/>
      <w:sz w:val="18"/>
      <w:szCs w:val="18"/>
    </w:rPr>
  </w:style>
  <w:style w:type="paragraph" w:customStyle="1" w:styleId="23">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24">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styleId="25">
    <w:name w:val="List Paragraph"/>
    <w:basedOn w:val="1"/>
    <w:qFormat/>
    <w:uiPriority w:val="99"/>
    <w:pPr>
      <w:ind w:firstLine="420" w:firstLineChars="200"/>
    </w:pPr>
  </w:style>
  <w:style w:type="paragraph" w:customStyle="1" w:styleId="2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7">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2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9">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0">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2">
    <w:name w:val="正文1"/>
    <w:qFormat/>
    <w:uiPriority w:val="0"/>
    <w:pPr>
      <w:jc w:val="both"/>
    </w:pPr>
    <w:rPr>
      <w:rFonts w:cs="宋体"/>
      <w:kern w:val="2"/>
      <w:sz w:val="21"/>
      <w:szCs w:val="21"/>
      <w:lang w:val="en-US" w:eastAsia="zh-CN" w:bidi="ar-SA"/>
    </w:rPr>
  </w:style>
  <w:style w:type="paragraph" w:customStyle="1" w:styleId="33">
    <w:name w:val="NormalIndent"/>
    <w:qFormat/>
    <w:uiPriority w:val="0"/>
    <w:pPr>
      <w:widowControl w:val="0"/>
      <w:ind w:firstLine="42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5</Pages>
  <Words>2470</Words>
  <Characters>2526</Characters>
  <Lines>25</Lines>
  <Paragraphs>7</Paragraphs>
  <TotalTime>5.33333333333333</TotalTime>
  <ScaleCrop>false</ScaleCrop>
  <LinksUpToDate>false</LinksUpToDate>
  <CharactersWithSpaces>2636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2023-01-22T19:12:00Z</dcterms:created>
  <dc:creator>梁晖</dc:creator>
  <cp:lastModifiedBy>墨迹夏子</cp:lastModifiedBy>
  <cp:lastPrinted>2024-04-08T10:48:54Z</cp:lastPrinted>
  <dcterms:modified xsi:type="dcterms:W3CDTF">2026-01-05T09:39:27Z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F18CF67AB6E144B2AB4E09F23DEFC428_13</vt:lpwstr>
  </property>
  <property fmtid="{D5CDD505-2E9C-101B-9397-08002B2CF9AE}" pid="4" name="KSOTemplateDocerSaveRecord">
    <vt:lpwstr>eyJoZGlkIjoiYzY5ZDFkYjAwZjNhYTM1NDBlZTczZjFiNGMyNzYxN2IiLCJ1c2VySWQiOiIzNjAwMjk3NDgifQ==</vt:lpwstr>
  </property>
</Properties>
</file>