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6D4BE">
      <w:pPr>
        <w:keepNext w:val="0"/>
        <w:keepLines w:val="0"/>
        <w:widowControl/>
        <w:suppressLineNumbers w:val="0"/>
        <w:shd w:val="clear" w:color="auto" w:fill="auto"/>
        <w:jc w:val="both"/>
        <w:rPr>
          <w:rFonts w:hint="default" w:ascii="Times New Roman" w:hAnsi="Times New Roman" w:eastAsia="黑体" w:cs="Times New Roman"/>
          <w:b w:val="0"/>
          <w:bCs/>
          <w:i w:val="0"/>
          <w:caps w:val="0"/>
          <w:color w:val="000000"/>
          <w:spacing w:val="0"/>
          <w:kern w:val="0"/>
          <w:sz w:val="32"/>
          <w:szCs w:val="32"/>
          <w:shd w:val="clear" w:color="auto" w:fill="FFFFFF"/>
          <w:lang w:val="en-US" w:eastAsia="zh-CN" w:bidi="ar"/>
        </w:rPr>
      </w:pPr>
      <w:bookmarkStart w:id="0" w:name="_GoBack"/>
      <w:bookmarkEnd w:id="0"/>
      <w:r>
        <w:rPr>
          <w:rFonts w:hint="default" w:ascii="Times New Roman" w:hAnsi="Times New Roman" w:eastAsia="黑体" w:cs="Times New Roman"/>
          <w:b w:val="0"/>
          <w:bCs/>
          <w:i w:val="0"/>
          <w:caps w:val="0"/>
          <w:color w:val="000000"/>
          <w:spacing w:val="0"/>
          <w:kern w:val="0"/>
          <w:sz w:val="32"/>
          <w:szCs w:val="32"/>
          <w:shd w:val="clear" w:color="auto" w:fill="FFFFFF"/>
          <w:lang w:val="en-US" w:eastAsia="zh-CN" w:bidi="ar"/>
        </w:rPr>
        <w:t>附件</w:t>
      </w:r>
    </w:p>
    <w:p w14:paraId="09EFA27F">
      <w:pPr>
        <w:keepNext w:val="0"/>
        <w:keepLines w:val="0"/>
        <w:pageBreakBefore w:val="0"/>
        <w:shd w:val="clear" w:color="auto" w:fill="auto"/>
        <w:kinsoku/>
        <w:wordWrap/>
        <w:overflowPunct/>
        <w:topLinePunct w:val="0"/>
        <w:autoSpaceDN/>
        <w:bidi w:val="0"/>
        <w:adjustRightInd/>
        <w:spacing w:line="580" w:lineRule="exact"/>
        <w:textAlignment w:val="auto"/>
        <w:rPr>
          <w:rFonts w:hint="default" w:ascii="Times New Roman" w:hAnsi="Times New Roman" w:eastAsia="黑体" w:cs="Times New Roman"/>
          <w:lang w:eastAsia="zh-CN"/>
        </w:rPr>
      </w:pPr>
    </w:p>
    <w:p w14:paraId="132875F8">
      <w:pPr>
        <w:pStyle w:val="4"/>
        <w:keepNext w:val="0"/>
        <w:keepLines w:val="0"/>
        <w:pageBreakBefore w:val="0"/>
        <w:shd w:val="clear" w:color="auto" w:fill="auto"/>
        <w:kinsoku/>
        <w:wordWrap/>
        <w:overflowPunct/>
        <w:topLinePunct w:val="0"/>
        <w:autoSpaceDN/>
        <w:bidi w:val="0"/>
        <w:adjustRightInd/>
        <w:spacing w:line="58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广西壮族自治区人民政府关于促进全社会加大研发经费投入的实施意见</w:t>
      </w:r>
    </w:p>
    <w:p w14:paraId="5DC18775">
      <w:pPr>
        <w:pStyle w:val="6"/>
        <w:keepNext w:val="0"/>
        <w:keepLines w:val="0"/>
        <w:pageBreakBefore w:val="0"/>
        <w:widowControl/>
        <w:suppressLineNumbers w:val="0"/>
        <w:shd w:val="clear" w:color="auto" w:fill="auto"/>
        <w:kinsoku/>
        <w:wordWrap/>
        <w:overflowPunct/>
        <w:topLinePunct w:val="0"/>
        <w:autoSpaceDE w:val="0"/>
        <w:autoSpaceDN/>
        <w:bidi w:val="0"/>
        <w:adjustRightInd/>
        <w:snapToGrid w:val="0"/>
        <w:spacing w:before="0" w:beforeAutospacing="0" w:after="0" w:afterAutospacing="0" w:line="580" w:lineRule="exact"/>
        <w:jc w:val="center"/>
        <w:textAlignment w:val="auto"/>
        <w:rPr>
          <w:rFonts w:hint="default" w:ascii="Times New Roman" w:hAnsi="Times New Roman" w:eastAsia="华文楷体" w:cs="Times New Roman"/>
          <w:spacing w:val="0"/>
          <w:kern w:val="0"/>
          <w:sz w:val="32"/>
          <w:szCs w:val="32"/>
        </w:rPr>
      </w:pPr>
      <w:r>
        <w:rPr>
          <w:rFonts w:hint="default" w:ascii="Times New Roman" w:hAnsi="Times New Roman" w:eastAsia="华文楷体" w:cs="Times New Roman"/>
          <w:spacing w:val="0"/>
          <w:kern w:val="0"/>
          <w:sz w:val="32"/>
          <w:szCs w:val="32"/>
        </w:rPr>
        <w:t>（</w:t>
      </w:r>
      <w:r>
        <w:rPr>
          <w:rFonts w:hint="default" w:ascii="Times New Roman" w:hAnsi="Times New Roman" w:eastAsia="华文楷体" w:cs="Times New Roman"/>
          <w:spacing w:val="0"/>
          <w:kern w:val="0"/>
          <w:sz w:val="32"/>
          <w:szCs w:val="32"/>
          <w:lang w:eastAsia="zh-CN"/>
        </w:rPr>
        <w:t>第二次</w:t>
      </w:r>
      <w:r>
        <w:rPr>
          <w:rFonts w:hint="default" w:ascii="Times New Roman" w:hAnsi="Times New Roman" w:eastAsia="华文楷体" w:cs="Times New Roman"/>
          <w:spacing w:val="0"/>
          <w:kern w:val="0"/>
          <w:sz w:val="32"/>
          <w:szCs w:val="32"/>
        </w:rPr>
        <w:t>征求意见稿）</w:t>
      </w:r>
    </w:p>
    <w:p w14:paraId="35558AD7">
      <w:pPr>
        <w:pStyle w:val="6"/>
        <w:keepNext w:val="0"/>
        <w:keepLines w:val="0"/>
        <w:pageBreakBefore w:val="0"/>
        <w:widowControl/>
        <w:suppressLineNumbers w:val="0"/>
        <w:shd w:val="clear" w:color="auto" w:fill="auto"/>
        <w:kinsoku/>
        <w:wordWrap/>
        <w:overflowPunct/>
        <w:topLinePunct w:val="0"/>
        <w:autoSpaceDE w:val="0"/>
        <w:autoSpaceDN/>
        <w:bidi w:val="0"/>
        <w:adjustRightInd/>
        <w:snapToGrid w:val="0"/>
        <w:spacing w:before="0" w:beforeAutospacing="0" w:after="0" w:afterAutospacing="0" w:line="580" w:lineRule="exact"/>
        <w:jc w:val="center"/>
        <w:textAlignment w:val="auto"/>
        <w:rPr>
          <w:rFonts w:hint="default" w:ascii="Times New Roman" w:hAnsi="Times New Roman" w:eastAsia="华文楷体" w:cs="Times New Roman"/>
          <w:spacing w:val="0"/>
          <w:kern w:val="0"/>
          <w:sz w:val="32"/>
          <w:szCs w:val="32"/>
        </w:rPr>
      </w:pPr>
    </w:p>
    <w:p w14:paraId="44880E31">
      <w:pPr>
        <w:pStyle w:val="6"/>
        <w:keepNext w:val="0"/>
        <w:keepLines w:val="0"/>
        <w:pageBreakBefore w:val="0"/>
        <w:widowControl/>
        <w:suppressLineNumbers w:val="0"/>
        <w:shd w:val="clear" w:color="auto" w:fill="auto"/>
        <w:kinsoku/>
        <w:wordWrap/>
        <w:overflowPunct/>
        <w:topLinePunct w:val="0"/>
        <w:autoSpaceDE w:val="0"/>
        <w:autoSpaceDN/>
        <w:bidi w:val="0"/>
        <w:adjustRightInd/>
        <w:snapToGrid w:val="0"/>
        <w:spacing w:before="0" w:beforeAutospacing="0" w:after="0" w:afterAutospacing="0" w:line="580" w:lineRule="exact"/>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各市、县人民政府，自治区人民政府各组成部门、各直属机构：</w:t>
      </w:r>
    </w:p>
    <w:p w14:paraId="656641F1">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为激发全社会创新活力，加快</w:t>
      </w:r>
      <w:r>
        <w:rPr>
          <w:rFonts w:hint="eastAsia" w:ascii="Times New Roman" w:hAnsi="Times New Roman" w:eastAsia="仿宋_GB2312" w:cs="Times New Roman"/>
          <w:kern w:val="0"/>
          <w:sz w:val="32"/>
          <w:szCs w:val="32"/>
          <w:lang w:eastAsia="zh-CN"/>
        </w:rPr>
        <w:t>高水平</w:t>
      </w:r>
      <w:r>
        <w:rPr>
          <w:rFonts w:hint="default" w:ascii="Times New Roman" w:hAnsi="Times New Roman" w:eastAsia="仿宋_GB2312" w:cs="Times New Roman"/>
          <w:kern w:val="0"/>
          <w:sz w:val="32"/>
          <w:szCs w:val="32"/>
        </w:rPr>
        <w:t>创新型广西建设，现就促进全社会加大研发经费投入提出如下意见。</w:t>
      </w:r>
    </w:p>
    <w:p w14:paraId="6426AA79">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Style w:val="10"/>
          <w:rFonts w:hint="default" w:ascii="Times New Roman" w:hAnsi="Times New Roman" w:eastAsia="楷体_GB2312" w:cs="Times New Roman"/>
          <w:b/>
          <w:bCs/>
          <w:sz w:val="32"/>
          <w:szCs w:val="32"/>
        </w:rPr>
      </w:pPr>
      <w:r>
        <w:rPr>
          <w:rStyle w:val="10"/>
          <w:rFonts w:hint="default" w:ascii="Times New Roman" w:hAnsi="Times New Roman" w:eastAsia="黑体" w:cs="Times New Roman"/>
          <w:b w:val="0"/>
          <w:kern w:val="2"/>
          <w:sz w:val="32"/>
          <w:szCs w:val="32"/>
          <w:lang w:bidi="ar-SA"/>
        </w:rPr>
        <w:t>一、强化主体作用，激励企业提高研发投入比例</w:t>
      </w:r>
    </w:p>
    <w:p w14:paraId="65F14A5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楷体_GB2312" w:cs="Times New Roman"/>
          <w:b w:val="0"/>
          <w:kern w:val="0"/>
          <w:sz w:val="32"/>
          <w:szCs w:val="32"/>
          <w:lang w:eastAsia="zh-CN"/>
        </w:rPr>
      </w:pPr>
      <w:r>
        <w:rPr>
          <w:rStyle w:val="10"/>
          <w:rFonts w:hint="default" w:ascii="Times New Roman" w:hAnsi="Times New Roman" w:eastAsia="楷体_GB2312" w:cs="Times New Roman"/>
          <w:b/>
          <w:bCs/>
          <w:kern w:val="2"/>
          <w:sz w:val="32"/>
          <w:szCs w:val="32"/>
          <w:lang w:bidi="ar-SA"/>
        </w:rPr>
        <w:t>（一）引进培育</w:t>
      </w:r>
      <w:r>
        <w:rPr>
          <w:rStyle w:val="10"/>
          <w:rFonts w:hint="default" w:ascii="Times New Roman" w:hAnsi="Times New Roman" w:eastAsia="楷体_GB2312" w:cs="Times New Roman"/>
          <w:b/>
          <w:bCs/>
          <w:kern w:val="2"/>
          <w:sz w:val="32"/>
          <w:szCs w:val="32"/>
          <w:lang w:val="en-US" w:eastAsia="zh-CN" w:bidi="ar-SA"/>
        </w:rPr>
        <w:t>科技</w:t>
      </w:r>
      <w:r>
        <w:rPr>
          <w:rStyle w:val="10"/>
          <w:rFonts w:hint="default" w:ascii="Times New Roman" w:hAnsi="Times New Roman" w:eastAsia="楷体_GB2312" w:cs="Times New Roman"/>
          <w:b/>
          <w:bCs/>
          <w:kern w:val="2"/>
          <w:sz w:val="32"/>
          <w:szCs w:val="32"/>
          <w:lang w:bidi="ar-SA"/>
        </w:rPr>
        <w:t>领军企业</w:t>
      </w:r>
      <w:r>
        <w:rPr>
          <w:rStyle w:val="10"/>
          <w:rFonts w:hint="default" w:ascii="Times New Roman" w:hAnsi="Times New Roman" w:eastAsia="楷体_GB2312" w:cs="Times New Roman"/>
          <w:b/>
          <w:bCs/>
          <w:kern w:val="2"/>
          <w:sz w:val="32"/>
          <w:szCs w:val="32"/>
          <w:lang w:eastAsia="zh-CN" w:bidi="ar-SA"/>
        </w:rPr>
        <w:t>及链主龙头企业</w:t>
      </w:r>
    </w:p>
    <w:p w14:paraId="4C9EF169">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Style w:val="10"/>
          <w:rFonts w:hint="default" w:ascii="Times New Roman" w:hAnsi="Times New Roman" w:eastAsia="楷体_GB2312" w:cs="Times New Roman"/>
          <w:b/>
          <w:bCs/>
          <w:sz w:val="32"/>
          <w:szCs w:val="32"/>
        </w:rPr>
      </w:pPr>
      <w:r>
        <w:rPr>
          <w:rFonts w:hint="default" w:ascii="Times New Roman" w:hAnsi="Times New Roman" w:eastAsia="仿宋_GB2312" w:cs="Times New Roman"/>
          <w:kern w:val="0"/>
          <w:sz w:val="32"/>
          <w:szCs w:val="32"/>
          <w:lang w:val="en-US" w:eastAsia="zh-CN"/>
        </w:rPr>
        <w:t>结合各地产业发展实际，在广西重点发展的行业领域</w:t>
      </w:r>
      <w:r>
        <w:rPr>
          <w:rFonts w:hint="default" w:ascii="Times New Roman" w:hAnsi="Times New Roman" w:eastAsia="仿宋_GB2312" w:cs="Times New Roman"/>
          <w:kern w:val="0"/>
          <w:sz w:val="32"/>
          <w:szCs w:val="32"/>
        </w:rPr>
        <w:t>重点引进一批跨国公司、行业领军企业和有发展潜力的创新型企业，培育有竞争力的</w:t>
      </w:r>
      <w:r>
        <w:rPr>
          <w:rFonts w:hint="default" w:ascii="Times New Roman" w:hAnsi="Times New Roman" w:eastAsia="仿宋_GB2312" w:cs="Times New Roman"/>
          <w:sz w:val="32"/>
          <w:szCs w:val="32"/>
        </w:rPr>
        <w:t>科技领军企业</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链主龙头企业</w:t>
      </w:r>
      <w:r>
        <w:rPr>
          <w:rFonts w:hint="default" w:ascii="Times New Roman" w:hAnsi="Times New Roman" w:eastAsia="仿宋_GB2312" w:cs="Times New Roman"/>
          <w:kern w:val="0"/>
          <w:sz w:val="32"/>
          <w:szCs w:val="32"/>
        </w:rPr>
        <w:t>。对符合自治区招商引资文件规定的公司或企业，鼓励其积极申报争取相关政策扶持。</w:t>
      </w:r>
      <w:r>
        <w:rPr>
          <w:rFonts w:hint="default" w:ascii="Times New Roman" w:hAnsi="Times New Roman" w:eastAsia="仿宋_GB2312" w:cs="Times New Roman"/>
          <w:kern w:val="0"/>
          <w:sz w:val="32"/>
          <w:szCs w:val="32"/>
          <w:lang w:val="en-US" w:eastAsia="zh-CN"/>
        </w:rPr>
        <w:t>支持外商在广西投资设立研发中心。</w:t>
      </w:r>
    </w:p>
    <w:p w14:paraId="5FD47C29">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（二）壮大高新技术企业群</w:t>
      </w:r>
    </w:p>
    <w:p w14:paraId="69649E7D">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推动高新技术企业高质量发展，</w:t>
      </w:r>
      <w:r>
        <w:rPr>
          <w:rFonts w:hint="default" w:ascii="Times New Roman" w:hAnsi="Times New Roman" w:eastAsia="仿宋_GB2312" w:cs="Times New Roman"/>
          <w:kern w:val="0"/>
          <w:sz w:val="32"/>
          <w:szCs w:val="32"/>
        </w:rPr>
        <w:t>支持有效期内的高新技术企业在国家重点支持的八大高新技术领域范围内开展技术研发、科技成果转化与应用示范，</w:t>
      </w:r>
      <w:r>
        <w:rPr>
          <w:rFonts w:hint="default" w:ascii="Times New Roman" w:hAnsi="Times New Roman" w:eastAsia="仿宋_GB2312" w:cs="Times New Roman"/>
          <w:kern w:val="0"/>
          <w:sz w:val="32"/>
          <w:szCs w:val="32"/>
          <w:lang w:eastAsia="zh-CN"/>
        </w:rPr>
        <w:t>单个项目资助不超过80万元</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优化高企认定服务，</w:t>
      </w:r>
      <w:r>
        <w:rPr>
          <w:rFonts w:hint="default" w:ascii="Times New Roman" w:hAnsi="Times New Roman" w:eastAsia="仿宋_GB2312" w:cs="Times New Roman"/>
          <w:kern w:val="0"/>
          <w:sz w:val="32"/>
          <w:szCs w:val="32"/>
        </w:rPr>
        <w:t>支持市县人民政府加</w:t>
      </w:r>
      <w:r>
        <w:rPr>
          <w:rFonts w:hint="eastAsia" w:ascii="Times New Roman" w:hAnsi="Times New Roman" w:eastAsia="仿宋_GB2312" w:cs="Times New Roman"/>
          <w:kern w:val="0"/>
          <w:sz w:val="32"/>
          <w:szCs w:val="32"/>
          <w:lang w:eastAsia="zh-CN"/>
        </w:rPr>
        <w:t>强</w:t>
      </w:r>
      <w:r>
        <w:rPr>
          <w:rFonts w:hint="default" w:ascii="Times New Roman" w:hAnsi="Times New Roman" w:eastAsia="仿宋_GB2312" w:cs="Times New Roman"/>
          <w:kern w:val="0"/>
          <w:sz w:val="32"/>
          <w:szCs w:val="32"/>
        </w:rPr>
        <w:t>高新技术企业培育工作，对高新技术企业培育成效显著的市、县（市、区），自治区在分配相关科技专项资金时予以倾斜支持。</w:t>
      </w:r>
    </w:p>
    <w:p w14:paraId="38AEAF35">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（三）培育发展“瞪羚企业”</w:t>
      </w:r>
    </w:p>
    <w:p w14:paraId="428F0314">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highlight w:val="yellow"/>
          <w:lang w:val="en-US" w:eastAsia="zh-CN"/>
        </w:rPr>
      </w:pPr>
      <w:r>
        <w:rPr>
          <w:rFonts w:hint="default" w:ascii="Times New Roman" w:hAnsi="Times New Roman" w:eastAsia="仿宋_GB2312" w:cs="Times New Roman"/>
          <w:sz w:val="32"/>
          <w:szCs w:val="32"/>
        </w:rPr>
        <w:t>调整瞪羚企业认定管理方式，支持瞪羚企业更便捷享受优惠政策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每年重点遴选一批创新能力强、成长速度快的“瞪羚企业”，通过科技计划支持其开展创新活动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支持企业</w:t>
      </w:r>
      <w:r>
        <w:rPr>
          <w:rFonts w:hint="default" w:ascii="Times New Roman" w:hAnsi="Times New Roman" w:eastAsia="仿宋_GB2312" w:cs="Times New Roman"/>
          <w:kern w:val="0"/>
          <w:sz w:val="32"/>
          <w:szCs w:val="32"/>
        </w:rPr>
        <w:t>开展技术研发、科技成果转化与应用示范，进一步提升高新技术企业研发能力</w:t>
      </w:r>
      <w:r>
        <w:rPr>
          <w:rFonts w:hint="default" w:ascii="Times New Roman" w:hAnsi="Times New Roman" w:eastAsia="仿宋_GB2312" w:cs="Times New Roman"/>
          <w:kern w:val="0"/>
          <w:sz w:val="32"/>
          <w:szCs w:val="32"/>
          <w:lang w:eastAsia="zh-CN"/>
        </w:rPr>
        <w:t>，单个项目资助不超过120万元</w:t>
      </w:r>
      <w:r>
        <w:rPr>
          <w:rFonts w:hint="default" w:ascii="Times New Roman" w:hAnsi="Times New Roman" w:eastAsia="仿宋_GB2312" w:cs="Times New Roman"/>
          <w:kern w:val="0"/>
          <w:sz w:val="32"/>
          <w:szCs w:val="32"/>
        </w:rPr>
        <w:t>。</w:t>
      </w:r>
    </w:p>
    <w:p w14:paraId="1976CA3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（四）引导规模以上工业企业提高研发经费比例</w:t>
      </w:r>
    </w:p>
    <w:p w14:paraId="5AEE0AB6">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Style w:val="10"/>
          <w:rFonts w:hint="default" w:ascii="Times New Roman" w:hAnsi="Times New Roman" w:eastAsia="楷体_GB2312" w:cs="Times New Roman"/>
          <w:b/>
          <w:bCs/>
          <w:sz w:val="32"/>
          <w:szCs w:val="32"/>
        </w:rPr>
      </w:pPr>
      <w:r>
        <w:rPr>
          <w:rFonts w:hint="default" w:ascii="Times New Roman" w:hAnsi="Times New Roman" w:eastAsia="仿宋_GB2312" w:cs="Times New Roman"/>
          <w:kern w:val="0"/>
          <w:sz w:val="32"/>
          <w:szCs w:val="32"/>
        </w:rPr>
        <w:t>规模以上工业企业申报科技、</w:t>
      </w:r>
      <w:r>
        <w:rPr>
          <w:rFonts w:hint="default" w:ascii="Times New Roman" w:hAnsi="Times New Roman" w:eastAsia="仿宋_GB2312" w:cs="Times New Roman"/>
          <w:kern w:val="0"/>
          <w:sz w:val="32"/>
          <w:szCs w:val="32"/>
          <w:lang w:val="en" w:eastAsia="zh-CN"/>
        </w:rPr>
        <w:t>统筹支持工业振兴专项资金</w:t>
      </w:r>
      <w:r>
        <w:rPr>
          <w:rFonts w:hint="default" w:ascii="Times New Roman" w:hAnsi="Times New Roman" w:eastAsia="仿宋_GB2312" w:cs="Times New Roman"/>
          <w:kern w:val="0"/>
          <w:sz w:val="32"/>
          <w:szCs w:val="32"/>
        </w:rPr>
        <w:t>支持的项目时，研发经费投入将作为重要审核指标。</w:t>
      </w:r>
      <w:r>
        <w:rPr>
          <w:rFonts w:hint="default" w:ascii="Times New Roman" w:hAnsi="Times New Roman" w:eastAsia="仿宋_GB2312" w:cs="Times New Roman"/>
          <w:kern w:val="0"/>
          <w:sz w:val="32"/>
          <w:szCs w:val="32"/>
          <w:highlight w:val="none"/>
        </w:rPr>
        <w:t>对上年度研发经费占主营业务收入的比重达到</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%以上</w:t>
      </w:r>
      <w:r>
        <w:rPr>
          <w:rFonts w:hint="default" w:ascii="Times New Roman" w:hAnsi="Times New Roman" w:eastAsia="仿宋_GB2312" w:cs="Times New Roman"/>
          <w:kern w:val="0"/>
          <w:sz w:val="32"/>
          <w:szCs w:val="32"/>
          <w:highlight w:val="none"/>
          <w:lang w:eastAsia="zh-CN"/>
        </w:rPr>
        <w:t>或研发经费达</w:t>
      </w:r>
      <w:r>
        <w:rPr>
          <w:rFonts w:hint="default" w:ascii="Times New Roman" w:hAnsi="Times New Roman" w:eastAsia="仿宋_GB2312" w:cs="Times New Roman"/>
          <w:kern w:val="0"/>
          <w:sz w:val="32"/>
          <w:szCs w:val="32"/>
          <w:highlight w:val="none"/>
          <w:lang w:val="en-US" w:eastAsia="zh-CN"/>
        </w:rPr>
        <w:t>10000万元以上</w:t>
      </w:r>
      <w:r>
        <w:rPr>
          <w:rFonts w:hint="default" w:ascii="Times New Roman" w:hAnsi="Times New Roman" w:eastAsia="仿宋_GB2312" w:cs="Times New Roman"/>
          <w:kern w:val="0"/>
          <w:sz w:val="32"/>
          <w:szCs w:val="32"/>
          <w:highlight w:val="none"/>
        </w:rPr>
        <w:t>的规模以上工业企业要优先支持。</w:t>
      </w:r>
      <w:r>
        <w:rPr>
          <w:rFonts w:hint="default" w:ascii="Times New Roman" w:hAnsi="Times New Roman" w:eastAsia="仿宋_GB2312" w:cs="Times New Roman"/>
          <w:kern w:val="0"/>
          <w:sz w:val="32"/>
          <w:szCs w:val="32"/>
        </w:rPr>
        <w:t>规模以上工业企业对申报科技专项资金支持的项目，要按不低于申报支持额度3倍的比例配套投入研发经费。</w:t>
      </w:r>
    </w:p>
    <w:p w14:paraId="72346791">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w:t>
      </w:r>
      <w:r>
        <w:rPr>
          <w:rStyle w:val="10"/>
          <w:rFonts w:hint="default" w:ascii="Times New Roman" w:hAnsi="Times New Roman" w:eastAsia="楷体_GB2312" w:cs="Times New Roman"/>
          <w:b/>
          <w:bCs/>
          <w:kern w:val="2"/>
          <w:sz w:val="32"/>
          <w:szCs w:val="32"/>
          <w:lang w:eastAsia="zh-CN" w:bidi="ar-SA"/>
        </w:rPr>
        <w:t>五</w:t>
      </w:r>
      <w:r>
        <w:rPr>
          <w:rStyle w:val="10"/>
          <w:rFonts w:hint="default" w:ascii="Times New Roman" w:hAnsi="Times New Roman" w:eastAsia="楷体_GB2312" w:cs="Times New Roman"/>
          <w:b/>
          <w:bCs/>
          <w:kern w:val="2"/>
          <w:sz w:val="32"/>
          <w:szCs w:val="32"/>
          <w:lang w:bidi="ar-SA"/>
        </w:rPr>
        <w:t>）鼓励企业建立研发机构</w:t>
      </w:r>
    </w:p>
    <w:p w14:paraId="0C118D7B">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Style w:val="10"/>
          <w:rFonts w:hint="default" w:ascii="Times New Roman" w:hAnsi="Times New Roman" w:eastAsia="黑体" w:cs="Times New Roman"/>
          <w:b w:val="0"/>
          <w:kern w:val="2"/>
          <w:sz w:val="32"/>
          <w:szCs w:val="32"/>
          <w:lang w:bidi="ar-SA"/>
        </w:rPr>
      </w:pPr>
      <w:r>
        <w:rPr>
          <w:rFonts w:hint="default" w:ascii="Times New Roman" w:hAnsi="Times New Roman" w:eastAsia="仿宋_GB2312" w:cs="Times New Roman"/>
          <w:kern w:val="0"/>
          <w:sz w:val="32"/>
          <w:szCs w:val="32"/>
          <w:highlight w:val="none"/>
        </w:rPr>
        <w:t>编制广西企业研发机构发展规划，全力提高规模以上工业企业研发机构覆盖率。鼓励企业与高等学校、科研院所共同设立研发机构、技术转移机构、产业技术创新战略联盟等。</w:t>
      </w:r>
      <w:r>
        <w:rPr>
          <w:rFonts w:hint="default" w:ascii="Times New Roman" w:hAnsi="Times New Roman" w:eastAsia="仿宋_GB2312" w:cs="Times New Roman"/>
          <w:sz w:val="32"/>
          <w:szCs w:val="32"/>
        </w:rPr>
        <w:t>通过“科技项目＋创新平台”方式，支持科技领军企业牵头创建国家技术创新中心、新兴产业创新中心、制造业创新中心及全国重点实验室等高水平创新平台，建设期内给予每家不低于5000万元的自治区科技计划项目支持；支持企业牵头组建自治区实验室、自治区技术创新中心，建设期内给予每家不高于5000万元的自治区科技计划项目支持。支持企业牵头组建自治区重点实验室、科技成果转化中试研究基地、创新联合体、新型研发机构等创新平台，根据评价结果择优给予自治区科技计划项目支持。</w:t>
      </w:r>
      <w:r>
        <w:rPr>
          <w:rFonts w:hint="default" w:ascii="Times New Roman" w:hAnsi="Times New Roman" w:eastAsia="仿宋_GB2312" w:cs="Times New Roman"/>
          <w:kern w:val="0"/>
          <w:sz w:val="32"/>
          <w:szCs w:val="32"/>
          <w:highlight w:val="none"/>
        </w:rPr>
        <w:t>对新认定的国家级创新研发平台，</w:t>
      </w:r>
      <w:r>
        <w:rPr>
          <w:rFonts w:hint="default" w:ascii="Times New Roman" w:hAnsi="Times New Roman" w:eastAsia="仿宋_GB2312" w:cs="Times New Roman"/>
          <w:kern w:val="0"/>
          <w:sz w:val="32"/>
          <w:szCs w:val="32"/>
          <w:highlight w:val="none"/>
          <w:lang w:val="en-US" w:eastAsia="zh-CN"/>
        </w:rPr>
        <w:t>给予不低于3000万元的财政支持</w:t>
      </w:r>
      <w:r>
        <w:rPr>
          <w:rFonts w:hint="default" w:ascii="Times New Roman" w:hAnsi="Times New Roman" w:eastAsia="仿宋_GB2312" w:cs="Times New Roman"/>
          <w:kern w:val="0"/>
          <w:sz w:val="32"/>
          <w:szCs w:val="32"/>
          <w:highlight w:val="none"/>
        </w:rPr>
        <w:t>；对经评定的自治区级创新研发平台，按广西重大科技创新基地等自治区有关扶持政策给予</w:t>
      </w:r>
      <w:r>
        <w:rPr>
          <w:rFonts w:hint="default" w:ascii="Times New Roman" w:hAnsi="Times New Roman" w:eastAsia="仿宋_GB2312" w:cs="Times New Roman"/>
          <w:kern w:val="0"/>
          <w:sz w:val="32"/>
          <w:szCs w:val="32"/>
          <w:highlight w:val="none"/>
          <w:lang w:eastAsia="zh-CN"/>
        </w:rPr>
        <w:t>支持</w:t>
      </w:r>
      <w:r>
        <w:rPr>
          <w:rFonts w:hint="default" w:ascii="Times New Roman" w:hAnsi="Times New Roman" w:eastAsia="仿宋_GB2312" w:cs="Times New Roman"/>
          <w:kern w:val="0"/>
          <w:sz w:val="32"/>
          <w:szCs w:val="32"/>
          <w:highlight w:val="none"/>
        </w:rPr>
        <w:t>。对世界500强、国内100强企业在广西新设立的独立研发机构，经认定并在广西实现产业化目标后，给予最高200万元的</w:t>
      </w:r>
      <w:r>
        <w:rPr>
          <w:rFonts w:hint="default" w:ascii="Times New Roman" w:hAnsi="Times New Roman" w:eastAsia="仿宋_GB2312" w:cs="Times New Roman"/>
          <w:kern w:val="0"/>
          <w:sz w:val="32"/>
          <w:szCs w:val="32"/>
          <w:highlight w:val="none"/>
          <w:lang w:eastAsia="zh-CN"/>
        </w:rPr>
        <w:t>财政支持</w:t>
      </w:r>
      <w:r>
        <w:rPr>
          <w:rFonts w:hint="default" w:ascii="Times New Roman" w:hAnsi="Times New Roman" w:eastAsia="仿宋_GB2312" w:cs="Times New Roman"/>
          <w:kern w:val="0"/>
          <w:sz w:val="32"/>
          <w:szCs w:val="32"/>
          <w:highlight w:val="none"/>
        </w:rPr>
        <w:t>。</w:t>
      </w:r>
    </w:p>
    <w:p w14:paraId="112F6027">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Style w:val="10"/>
          <w:rFonts w:hint="default" w:ascii="Times New Roman" w:hAnsi="Times New Roman" w:eastAsia="仿宋_GB2312" w:cs="Times New Roman"/>
          <w:b w:val="0"/>
          <w:sz w:val="32"/>
          <w:szCs w:val="32"/>
          <w:highlight w:val="none"/>
          <w:lang w:eastAsia="zh-CN"/>
        </w:rPr>
      </w:pPr>
      <w:r>
        <w:rPr>
          <w:rStyle w:val="10"/>
          <w:rFonts w:hint="default" w:ascii="Times New Roman" w:hAnsi="Times New Roman" w:eastAsia="黑体" w:cs="Times New Roman"/>
          <w:b w:val="0"/>
          <w:kern w:val="2"/>
          <w:sz w:val="32"/>
          <w:szCs w:val="32"/>
          <w:lang w:bidi="ar-SA"/>
        </w:rPr>
        <w:t>二、强化协同作用，鼓励高等学校、科研院所加大研发投入</w:t>
      </w:r>
    </w:p>
    <w:p w14:paraId="4D2AFA96">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（一）优化高等学校、科研院所研发投入结构</w:t>
      </w:r>
    </w:p>
    <w:p w14:paraId="17516BAF">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b/>
          <w:bCs/>
          <w:kern w:val="0"/>
          <w:sz w:val="32"/>
          <w:szCs w:val="32"/>
          <w:lang w:eastAsia="zh-CN"/>
        </w:rPr>
      </w:pPr>
      <w:r>
        <w:rPr>
          <w:rFonts w:hint="default" w:ascii="Times New Roman" w:hAnsi="Times New Roman" w:eastAsia="仿宋_GB2312" w:cs="Times New Roman"/>
          <w:kern w:val="0"/>
          <w:sz w:val="32"/>
          <w:szCs w:val="32"/>
        </w:rPr>
        <w:t>落实自治区关于促进科技成果转化的政策措施，鼓励高等学校、科研院所开展以市场为导向、企业为主体的产学研用合作，高等学校、科研院所取得的科技成果转化收益留归单位，纳入预算管理，不上缴国库。科技成果转化收益按照《广西壮族自治区人民政府办公厅转发科技厅财政厅关于事业单位科技成果使用处置和收益管理暂行规定的通知》（桂政办发〔2015〕135号）</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《广西促进科技成果转化实施股权和分红奖励办法》（桂政办发〔2020〕53号）的相关规定进行分配。</w:t>
      </w:r>
    </w:p>
    <w:p w14:paraId="700D9987">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（二）加强高层次人才团队建设</w:t>
      </w:r>
    </w:p>
    <w:p w14:paraId="5F8D09F9">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0"/>
          <w:sz w:val="32"/>
          <w:szCs w:val="32"/>
        </w:rPr>
        <w:t>落实自治区重大人才政策，鼓励高等学校、科研院所加强前沿科技人才团队的引进与培育，对符合条件的人才，按照《自治区党委办公厅 自治区人民政府办公厅印发〈关于深化高校和科研院所体制机制改革的实施意见〉〈关于加强高层次创新型人才队伍建设的实施办法〉的通知》（桂办发〔2016〕42号）的相关规定予以支持。对高层次人才主持开展的科研项目和主导建设的科研平台，在同等条件下优先予以支持。</w:t>
      </w:r>
      <w:r>
        <w:rPr>
          <w:rFonts w:hint="default" w:ascii="Times New Roman" w:hAnsi="Times New Roman" w:eastAsia="仿宋_GB2312" w:cs="Times New Roman"/>
          <w:kern w:val="0"/>
          <w:sz w:val="32"/>
          <w:szCs w:val="32"/>
          <w:lang w:eastAsia="zh-CN"/>
        </w:rPr>
        <w:t>支持区内支柱产业和龙头企业引进培育高层次创新人才及团队，在科研项目和科研平台建设方面给予一定支持。</w:t>
      </w:r>
    </w:p>
    <w:p w14:paraId="2E90769D">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cs="Times New Roman"/>
          <w:sz w:val="32"/>
          <w:szCs w:val="32"/>
          <w:lang w:eastAsia="zh-CN"/>
        </w:rPr>
      </w:pPr>
      <w:r>
        <w:rPr>
          <w:rStyle w:val="10"/>
          <w:rFonts w:hint="default" w:ascii="Times New Roman" w:hAnsi="Times New Roman" w:eastAsia="黑体" w:cs="Times New Roman"/>
          <w:b w:val="0"/>
          <w:kern w:val="2"/>
          <w:sz w:val="32"/>
          <w:szCs w:val="32"/>
          <w:lang w:bidi="ar-SA"/>
        </w:rPr>
        <w:t>三、强化引导作用，提高财政科技投入效能</w:t>
      </w:r>
    </w:p>
    <w:p w14:paraId="05C1DE59">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（一）加大对研发经费支出的支持力度</w:t>
      </w:r>
    </w:p>
    <w:p w14:paraId="473505D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lang w:val="en" w:eastAsia="zh-CN"/>
        </w:rPr>
      </w:pPr>
      <w:r>
        <w:rPr>
          <w:rFonts w:hint="default" w:ascii="Times New Roman" w:hAnsi="Times New Roman" w:eastAsia="仿宋_GB2312" w:cs="Times New Roman"/>
          <w:kern w:val="0"/>
          <w:sz w:val="32"/>
          <w:szCs w:val="32"/>
          <w:highlight w:val="none"/>
        </w:rPr>
        <w:t>全区各级人民政府每年要根据本级事业发展需要和财力可能，将科技支出作为预算保障的重点。</w:t>
      </w:r>
      <w:r>
        <w:rPr>
          <w:rFonts w:hint="default" w:ascii="Times New Roman" w:hAnsi="Times New Roman" w:eastAsia="仿宋_GB2312" w:cs="Times New Roman"/>
          <w:kern w:val="0"/>
          <w:sz w:val="32"/>
          <w:szCs w:val="32"/>
        </w:rPr>
        <w:t>在具体预算安排时，要重点向应用研究、技术研究与开发以及基础研究倾斜。对新增的预算安排，原则上要投入到上述研究领域，不断加大对研发经费支出的支持力度</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lang w:val="en" w:eastAsia="zh-CN"/>
        </w:rPr>
        <w:t>各市、县（市、区）贯彻落实自治区对所属国有企业、规模以上工业企业以及其他企业增加研发经费投入的补助办法。</w:t>
      </w:r>
    </w:p>
    <w:p w14:paraId="4CAC4BA5">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（二）加大对重大科技项目的资助</w:t>
      </w:r>
    </w:p>
    <w:p w14:paraId="211E18A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0"/>
          <w:sz w:val="32"/>
          <w:szCs w:val="32"/>
        </w:rPr>
        <w:t>对新承接国家科技重大专项或国家级重大工程项目（科研任务部分）且需要广西地方财政配套支持的，</w:t>
      </w:r>
      <w:r>
        <w:rPr>
          <w:rFonts w:hint="default" w:ascii="Times New Roman" w:hAnsi="Times New Roman" w:eastAsia="仿宋_GB2312" w:cs="Times New Roman"/>
          <w:kern w:val="0"/>
          <w:sz w:val="32"/>
          <w:szCs w:val="32"/>
          <w:highlight w:val="none"/>
        </w:rPr>
        <w:t>自治区本级和市、县（市、区）财政在财政科技资金中安排相应额度予以资助。对项目完成后在自治区内进行成果转化应用的，根据项目实际需要，</w:t>
      </w:r>
      <w:r>
        <w:rPr>
          <w:rFonts w:hint="default" w:ascii="Times New Roman" w:hAnsi="Times New Roman" w:eastAsia="仿宋_GB2312" w:cs="Times New Roman"/>
          <w:kern w:val="0"/>
          <w:sz w:val="32"/>
          <w:szCs w:val="32"/>
          <w:highlight w:val="none"/>
          <w:lang w:eastAsia="zh-CN"/>
        </w:rPr>
        <w:t>由自治区本级财政按不超过国家项目经费的3%给予支持，转化应用所在地财政根据已有政策给予适当支持</w:t>
      </w:r>
      <w:r>
        <w:rPr>
          <w:rFonts w:hint="default"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对引进国家科技重大专项、重点研发计划取得的重大成果并实现产业化的项目，给予滚动支持。</w:t>
      </w:r>
    </w:p>
    <w:p w14:paraId="670C3ED5">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仿宋_GB2312" w:cs="Times New Roman"/>
          <w:kern w:val="0"/>
          <w:sz w:val="32"/>
          <w:szCs w:val="32"/>
        </w:rPr>
      </w:pPr>
      <w:r>
        <w:rPr>
          <w:rStyle w:val="10"/>
          <w:rFonts w:hint="default" w:ascii="Times New Roman" w:hAnsi="Times New Roman" w:eastAsia="楷体_GB2312" w:cs="Times New Roman"/>
          <w:b/>
          <w:bCs/>
          <w:kern w:val="2"/>
          <w:sz w:val="32"/>
          <w:szCs w:val="32"/>
          <w:lang w:bidi="ar-SA"/>
        </w:rPr>
        <w:t>（三）优化财政资金投入方向</w:t>
      </w:r>
    </w:p>
    <w:p w14:paraId="7EF36426">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以国家级自主创新示范区、高新技术产业开发区、经济技术开发区等关键区域为投入重点，形成研发与创新集聚区。优化科技计划配置，集中财力加大对事关我区产业发展的重大科技项目实施、共性关键技术攻关、重大科技成果转化、应用基础研究等支持，向产学研用协同创新的项目倾斜。探索实施</w:t>
      </w:r>
      <w:r>
        <w:rPr>
          <w:rFonts w:hint="default" w:ascii="Times New Roman" w:hAnsi="Times New Roman" w:eastAsia="仿宋_GB2312" w:cs="Times New Roman"/>
          <w:sz w:val="32"/>
          <w:szCs w:val="32"/>
        </w:rPr>
        <w:t>科技成果转化项目</w:t>
      </w:r>
      <w:r>
        <w:rPr>
          <w:rFonts w:hint="default" w:ascii="Times New Roman" w:hAnsi="Times New Roman" w:eastAsia="仿宋_GB2312" w:cs="Times New Roman"/>
          <w:kern w:val="0"/>
          <w:sz w:val="32"/>
          <w:szCs w:val="32"/>
        </w:rPr>
        <w:t>“拨转投”等财政支持新模式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全区各级财政投入的研发资金应重点投向创新型企业、高等学校、科研院所、新型研发机构等关键研发执行主体，以及承担自治区产业优化升级和经济结构布局调整任务的大型骨干企业，</w:t>
      </w:r>
      <w:r>
        <w:rPr>
          <w:rFonts w:hint="default" w:ascii="Times New Roman" w:hAnsi="Times New Roman" w:eastAsia="仿宋_GB2312" w:cs="Times New Roman"/>
          <w:kern w:val="0"/>
          <w:sz w:val="32"/>
          <w:szCs w:val="32"/>
          <w:lang w:val="en" w:eastAsia="zh-CN"/>
        </w:rPr>
        <w:t>自治区财政优先支持主营业务收入较高或研发经费投入较多的企业。</w:t>
      </w:r>
      <w:r>
        <w:rPr>
          <w:rFonts w:hint="default" w:ascii="Times New Roman" w:hAnsi="Times New Roman" w:eastAsia="仿宋_GB2312" w:cs="Times New Roman"/>
          <w:kern w:val="0"/>
          <w:sz w:val="32"/>
          <w:szCs w:val="32"/>
        </w:rPr>
        <w:t>将研发经费支出列入企业、高等学校、科研院所、新型研发机构等申请高新技术企业、科技创新基地、财政科技资金支持项目的评审条件之一，优先支持研发经费支出高的申报主体。</w:t>
      </w:r>
    </w:p>
    <w:p w14:paraId="6A639073">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（四）引导市县财政加大研发经费投入</w:t>
      </w:r>
    </w:p>
    <w:p w14:paraId="40AB40B2">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highlight w:val="none"/>
        </w:rPr>
        <w:t>将市县财政对研发经费的投入作为自治区测算分配中央引导地方科技发展专项资金、</w:t>
      </w:r>
      <w:r>
        <w:rPr>
          <w:rFonts w:hint="default" w:ascii="Times New Roman" w:hAnsi="Times New Roman" w:eastAsia="仿宋_GB2312" w:cs="Times New Roman"/>
          <w:kern w:val="0"/>
          <w:sz w:val="32"/>
          <w:szCs w:val="32"/>
          <w:highlight w:val="none"/>
          <w:lang w:val="en" w:eastAsia="zh-CN"/>
        </w:rPr>
        <w:t>统筹支持工业振兴专项资金</w:t>
      </w:r>
      <w:r>
        <w:rPr>
          <w:rFonts w:hint="default" w:ascii="Times New Roman" w:hAnsi="Times New Roman" w:eastAsia="仿宋_GB2312" w:cs="Times New Roman"/>
          <w:kern w:val="0"/>
          <w:sz w:val="32"/>
          <w:szCs w:val="32"/>
          <w:highlight w:val="none"/>
        </w:rPr>
        <w:t>等专项资金的重要因素之一，作为自治区本级财政科技计划项目立项的重要参考。鼓励市、县（市、区）改进政府对科技投入的支持方式，对科技计划多采用后补助的投入方式，对企业等的支持多采用贷</w:t>
      </w:r>
      <w:r>
        <w:rPr>
          <w:rFonts w:hint="default" w:ascii="Times New Roman" w:hAnsi="Times New Roman" w:eastAsia="仿宋_GB2312" w:cs="Times New Roman"/>
          <w:kern w:val="0"/>
          <w:sz w:val="32"/>
          <w:szCs w:val="32"/>
        </w:rPr>
        <w:t>款贴息、风险补偿等方式。</w:t>
      </w:r>
    </w:p>
    <w:p w14:paraId="46846B09">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黑体" w:cs="Times New Roman"/>
          <w:b w:val="0"/>
          <w:kern w:val="0"/>
          <w:sz w:val="32"/>
          <w:szCs w:val="32"/>
        </w:rPr>
      </w:pPr>
      <w:r>
        <w:rPr>
          <w:rStyle w:val="10"/>
          <w:rFonts w:hint="default" w:ascii="Times New Roman" w:hAnsi="Times New Roman" w:eastAsia="黑体" w:cs="Times New Roman"/>
          <w:b w:val="0"/>
          <w:kern w:val="2"/>
          <w:sz w:val="32"/>
          <w:szCs w:val="32"/>
          <w:lang w:bidi="ar-SA"/>
        </w:rPr>
        <w:t>四、强化激励作用，增强财税优惠政策实施效果</w:t>
      </w:r>
    </w:p>
    <w:p w14:paraId="4A6A5309">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（一）加大对重点企业的税收服务力度</w:t>
      </w:r>
    </w:p>
    <w:p w14:paraId="6336F2FB">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color w:val="0000FF"/>
          <w:sz w:val="32"/>
          <w:szCs w:val="32"/>
          <w:lang w:val="en" w:eastAsia="zh-CN"/>
        </w:rPr>
      </w:pPr>
      <w:r>
        <w:rPr>
          <w:rFonts w:hint="default" w:ascii="Times New Roman" w:hAnsi="Times New Roman" w:eastAsia="仿宋_GB2312" w:cs="Times New Roman"/>
          <w:kern w:val="0"/>
          <w:sz w:val="32"/>
          <w:szCs w:val="32"/>
        </w:rPr>
        <w:t>重点围绕研发经费税前加计扣除、</w:t>
      </w:r>
      <w:r>
        <w:rPr>
          <w:rFonts w:hint="default" w:ascii="Times New Roman" w:hAnsi="Times New Roman" w:eastAsia="仿宋_GB2312" w:cs="Times New Roman"/>
          <w:kern w:val="0"/>
          <w:sz w:val="32"/>
          <w:szCs w:val="32"/>
          <w:highlight w:val="none"/>
        </w:rPr>
        <w:t>高新技术企业所得税减免</w:t>
      </w:r>
      <w:r>
        <w:rPr>
          <w:rFonts w:hint="default" w:ascii="Times New Roman" w:hAnsi="Times New Roman" w:eastAsia="仿宋_GB2312" w:cs="Times New Roman"/>
          <w:kern w:val="0"/>
          <w:sz w:val="32"/>
          <w:szCs w:val="32"/>
        </w:rPr>
        <w:t>、固定资产加速折旧、股权激励和分红、技术服务和转让税收优惠等激励政策</w:t>
      </w:r>
      <w:r>
        <w:rPr>
          <w:rFonts w:hint="default" w:ascii="Times New Roman" w:hAnsi="Times New Roman" w:eastAsia="仿宋_GB2312" w:cs="Times New Roman"/>
          <w:kern w:val="0"/>
          <w:sz w:val="32"/>
          <w:szCs w:val="32"/>
          <w:highlight w:val="none"/>
        </w:rPr>
        <w:t>，针对大型国有企业、规模以上企业进行“一对一”税务服务。</w:t>
      </w:r>
    </w:p>
    <w:p w14:paraId="75930033">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（二）鼓励社会资金投资企业研发</w:t>
      </w:r>
    </w:p>
    <w:p w14:paraId="2BA0912F">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0"/>
          <w:sz w:val="32"/>
          <w:szCs w:val="32"/>
        </w:rPr>
        <w:t>创投企业采取股权投资方式投资未上市中小高新技术企业2年以上，且符合规定条件的，可以按其对未上市中小高新技术企业投资额的70%，在股权持有满2年的当年抵扣该创投企业的应纳税所得额，当年不足抵扣的，可在以后纳税年度结转抵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 w:eastAsia="zh-CN"/>
        </w:rPr>
        <w:t>国家有新规定的，从其规定。</w:t>
      </w:r>
    </w:p>
    <w:p w14:paraId="2BBACE15">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（三）加大对重大技术产品的奖励力度</w:t>
      </w:r>
    </w:p>
    <w:p w14:paraId="74DFFE02">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支持企业产品迭代与创新，优化完善广西国内首台（套）重大技术装备认定与奖励政策。对未获得财政性科技资金资助，获</w:t>
      </w:r>
      <w:r>
        <w:rPr>
          <w:rFonts w:hint="default" w:ascii="Times New Roman" w:hAnsi="Times New Roman" w:eastAsia="仿宋_GB2312" w:cs="Times New Roman"/>
          <w:kern w:val="0"/>
          <w:sz w:val="32"/>
          <w:szCs w:val="32"/>
          <w:lang w:eastAsia="zh-CN"/>
        </w:rPr>
        <w:t>批认定</w:t>
      </w:r>
      <w:r>
        <w:rPr>
          <w:rFonts w:hint="default" w:ascii="Times New Roman" w:hAnsi="Times New Roman" w:eastAsia="仿宋_GB2312" w:cs="Times New Roman"/>
          <w:kern w:val="0"/>
          <w:sz w:val="32"/>
          <w:szCs w:val="32"/>
        </w:rPr>
        <w:t>广西国内首台（套）重大技术装备的生产企业，</w:t>
      </w:r>
      <w:r>
        <w:rPr>
          <w:rFonts w:hint="default" w:ascii="Times New Roman" w:hAnsi="Times New Roman" w:eastAsia="仿宋_GB2312" w:cs="Times New Roman"/>
          <w:kern w:val="0"/>
          <w:sz w:val="32"/>
          <w:szCs w:val="32"/>
          <w:highlight w:val="none"/>
        </w:rPr>
        <w:t>按照销售价格的50%给予奖励，单台（套）装备奖励最高金额不超过200万元</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sz w:val="32"/>
          <w:szCs w:val="32"/>
        </w:rPr>
        <w:t>对获批认定广西首版次软件和首批次新材料的</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，按照产品销售累计金额20%的比例，给予不超过200万元的一次性奖励。</w:t>
      </w:r>
    </w:p>
    <w:p w14:paraId="25E84D8A">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（四）促进科技成果技术交易</w:t>
      </w:r>
    </w:p>
    <w:p w14:paraId="093EED4F">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支持企业原创成果就地转化、引进重大成果落地转化，单个项目资助100万</w:t>
      </w:r>
      <w:r>
        <w:rPr>
          <w:rFonts w:hint="eastAsia"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500万元。对建设重大中试平台的产业龙头企业，给予不超过1000万元的自治区科技计划项目支持。引导高校、科研院所等按照“先使用后付费”方式将科技成果许可企业使用。</w:t>
      </w:r>
      <w:r>
        <w:rPr>
          <w:rFonts w:hint="default" w:ascii="Times New Roman" w:hAnsi="Times New Roman" w:eastAsia="仿宋_GB2312" w:cs="Times New Roman"/>
          <w:kern w:val="0"/>
          <w:sz w:val="32"/>
          <w:szCs w:val="32"/>
        </w:rPr>
        <w:t>鼓励企业承接高等学校、科研院所的科研成果。</w:t>
      </w:r>
      <w:r>
        <w:rPr>
          <w:rFonts w:hint="default" w:ascii="Times New Roman" w:hAnsi="Times New Roman" w:eastAsia="仿宋_GB2312" w:cs="Times New Roman"/>
          <w:color w:val="auto"/>
          <w:sz w:val="32"/>
          <w:szCs w:val="32"/>
          <w:highlight w:val="none"/>
          <w:lang w:val="en-US" w:eastAsia="zh-CN"/>
        </w:rPr>
        <w:t>对企业通过出资购买、作价入股、委托开发、合作开发以及科技招商等方式实施科技成果转化的，按科技成果技术交易额20%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40%的比例给予后补助</w:t>
      </w:r>
      <w:r>
        <w:rPr>
          <w:rFonts w:hint="default" w:ascii="Times New Roman" w:hAnsi="Times New Roman" w:eastAsia="仿宋_GB2312" w:cs="Times New Roman"/>
          <w:kern w:val="0"/>
          <w:sz w:val="32"/>
          <w:szCs w:val="32"/>
          <w:highlight w:val="none"/>
        </w:rPr>
        <w:t>，单项科技成果转化的最高奖励不超过500万元。</w:t>
      </w:r>
    </w:p>
    <w:p w14:paraId="6BE113CD">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黑体" w:cs="Times New Roman"/>
          <w:b w:val="0"/>
          <w:kern w:val="0"/>
          <w:sz w:val="32"/>
          <w:szCs w:val="32"/>
        </w:rPr>
      </w:pPr>
      <w:r>
        <w:rPr>
          <w:rStyle w:val="10"/>
          <w:rFonts w:hint="default" w:ascii="Times New Roman" w:hAnsi="Times New Roman" w:eastAsia="黑体" w:cs="Times New Roman"/>
          <w:b w:val="0"/>
          <w:kern w:val="2"/>
          <w:sz w:val="32"/>
          <w:szCs w:val="32"/>
          <w:lang w:bidi="ar-SA"/>
        </w:rPr>
        <w:t>五、强化联动作用，发挥财政金融政策合力效应</w:t>
      </w:r>
    </w:p>
    <w:p w14:paraId="7E066216">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（一）发挥政府投资引导基金的带动作用</w:t>
      </w:r>
    </w:p>
    <w:p w14:paraId="215600BA">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highlight w:val="none"/>
          <w:lang w:val="en" w:eastAsia="zh-CN"/>
        </w:rPr>
        <w:t>广西政府投资引导基金积极发挥引导作用，鼓励各类合格投资者按市场化方式发起设立聚焦科技成果转化的科技创投基金集群，与各设区市人民政府共同带动社会资本、金融机构、国有企业分别设立适合当地优势产业特点和创新能力的科技创投基金。</w:t>
      </w:r>
      <w:r>
        <w:rPr>
          <w:rFonts w:hint="default" w:ascii="Times New Roman" w:hAnsi="Times New Roman" w:eastAsia="仿宋_GB2312" w:cs="Times New Roman"/>
          <w:kern w:val="0"/>
          <w:sz w:val="32"/>
          <w:szCs w:val="32"/>
        </w:rPr>
        <w:t>强化科技成果转化母基金引领作用，市场化遴选优秀子基金管理人与创投机构，集聚创投资源。</w:t>
      </w:r>
      <w:r>
        <w:rPr>
          <w:rFonts w:hint="default" w:ascii="Times New Roman" w:hAnsi="Times New Roman" w:eastAsia="仿宋_GB2312" w:cs="Times New Roman"/>
          <w:kern w:val="0"/>
          <w:sz w:val="32"/>
          <w:szCs w:val="32"/>
          <w:highlight w:val="none"/>
          <w:lang w:val="en" w:eastAsia="zh-CN"/>
        </w:rPr>
        <w:t>对重点扶持的科技创投基金，适当提高广西政府投资引导基金参与出资的比例，</w:t>
      </w:r>
      <w:r>
        <w:rPr>
          <w:rFonts w:hint="default" w:ascii="Times New Roman" w:hAnsi="Times New Roman" w:eastAsia="仿宋_GB2312" w:cs="Times New Roman"/>
          <w:kern w:val="0"/>
          <w:sz w:val="32"/>
          <w:szCs w:val="32"/>
        </w:rPr>
        <w:t>对于以投资种子期、初创期、成长期的科技型、创新型企业为主的科技成果转化子基金，政府投资基金出资到单支基金的比例最高不超过50%，多级财政共同出资比例合计最高不超过70%，并可按绩效考核结果给予适当让利</w:t>
      </w:r>
      <w:r>
        <w:rPr>
          <w:rFonts w:hint="default" w:ascii="Times New Roman" w:hAnsi="Times New Roman" w:eastAsia="仿宋_GB2312" w:cs="Times New Roman"/>
          <w:kern w:val="0"/>
          <w:sz w:val="32"/>
          <w:szCs w:val="32"/>
          <w:highlight w:val="none"/>
          <w:lang w:val="en" w:eastAsia="zh-CN"/>
        </w:rPr>
        <w:t>。</w:t>
      </w:r>
      <w:r>
        <w:rPr>
          <w:rFonts w:hint="default" w:ascii="Times New Roman" w:hAnsi="Times New Roman" w:eastAsia="仿宋_GB2312" w:cs="Times New Roman"/>
          <w:kern w:val="0"/>
          <w:sz w:val="32"/>
          <w:szCs w:val="32"/>
        </w:rPr>
        <w:t>对广西政府投资引导基金及其参股并运作规范的子基金投资项目，鼓励银行、信托等金融机构开展投贷结合予以跟进，并优先纳入担保代偿、信贷风险补偿及有关贴息政策的扶持范围。建立以尽职合规为核心的容错机制，对非主观因素导致的投资损失，经第三方评估后尽职免责，免责案例可作后续参考。</w:t>
      </w:r>
    </w:p>
    <w:p w14:paraId="3C0172A7">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宋体" w:cs="Times New Roman"/>
          <w:b w:val="0"/>
          <w:kern w:val="0"/>
          <w:sz w:val="32"/>
          <w:szCs w:val="32"/>
          <w:highlight w:val="none"/>
          <w:lang w:eastAsia="zh-CN"/>
        </w:rPr>
      </w:pPr>
      <w:r>
        <w:rPr>
          <w:rStyle w:val="10"/>
          <w:rFonts w:hint="default" w:ascii="Times New Roman" w:hAnsi="Times New Roman" w:eastAsia="楷体_GB2312" w:cs="Times New Roman"/>
          <w:b/>
          <w:bCs/>
          <w:kern w:val="2"/>
          <w:sz w:val="32"/>
          <w:szCs w:val="32"/>
          <w:highlight w:val="none"/>
          <w:lang w:bidi="ar-SA"/>
        </w:rPr>
        <w:t>（</w:t>
      </w:r>
      <w:r>
        <w:rPr>
          <w:rStyle w:val="10"/>
          <w:rFonts w:hint="default" w:ascii="Times New Roman" w:hAnsi="Times New Roman" w:eastAsia="楷体_GB2312" w:cs="Times New Roman"/>
          <w:b/>
          <w:bCs/>
          <w:kern w:val="2"/>
          <w:sz w:val="32"/>
          <w:szCs w:val="32"/>
          <w:highlight w:val="none"/>
          <w:lang w:eastAsia="zh-CN" w:bidi="ar-SA"/>
        </w:rPr>
        <w:t>二</w:t>
      </w:r>
      <w:r>
        <w:rPr>
          <w:rStyle w:val="10"/>
          <w:rFonts w:hint="default" w:ascii="Times New Roman" w:hAnsi="Times New Roman" w:eastAsia="楷体_GB2312" w:cs="Times New Roman"/>
          <w:b/>
          <w:bCs/>
          <w:kern w:val="2"/>
          <w:sz w:val="32"/>
          <w:szCs w:val="32"/>
          <w:highlight w:val="none"/>
          <w:lang w:bidi="ar-SA"/>
        </w:rPr>
        <w:t>）实施</w:t>
      </w:r>
      <w:r>
        <w:rPr>
          <w:rStyle w:val="10"/>
          <w:rFonts w:hint="default" w:ascii="Times New Roman" w:hAnsi="Times New Roman" w:eastAsia="楷体_GB2312" w:cs="Times New Roman"/>
          <w:b/>
          <w:bCs/>
          <w:kern w:val="2"/>
          <w:sz w:val="32"/>
          <w:szCs w:val="32"/>
          <w:highlight w:val="none"/>
          <w:lang w:eastAsia="zh-CN" w:bidi="ar-SA"/>
        </w:rPr>
        <w:t>知识产权</w:t>
      </w:r>
      <w:r>
        <w:rPr>
          <w:rStyle w:val="10"/>
          <w:rFonts w:hint="default" w:ascii="Times New Roman" w:hAnsi="Times New Roman" w:eastAsia="楷体_GB2312" w:cs="Times New Roman"/>
          <w:b/>
          <w:bCs/>
          <w:kern w:val="2"/>
          <w:sz w:val="32"/>
          <w:szCs w:val="32"/>
          <w:highlight w:val="none"/>
          <w:lang w:bidi="ar-SA"/>
        </w:rPr>
        <w:t>质押融资政策</w:t>
      </w:r>
    </w:p>
    <w:p w14:paraId="383BF1BA">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iCs w:val="0"/>
          <w:color w:val="auto"/>
          <w:kern w:val="0"/>
          <w:sz w:val="32"/>
          <w:szCs w:val="32"/>
          <w:lang w:eastAsia="zh-CN"/>
        </w:rPr>
        <w:t>健全风险分担机制，以“政府引导、市场化运作、参与方共担风险”为原则，由地方政府牵头设立风险补偿资金池，对合作金融机构服务时产生的部分风险损失给予一定的补偿，进一步鼓励引导银行机构加大对知识产权质押融资的贷款支持力度，保险公司优化保险保障服务。</w:t>
      </w:r>
      <w:r>
        <w:rPr>
          <w:rFonts w:hint="default" w:ascii="Times New Roman" w:hAnsi="Times New Roman" w:eastAsia="仿宋_GB2312" w:cs="Times New Roman"/>
          <w:kern w:val="0"/>
          <w:sz w:val="32"/>
          <w:szCs w:val="32"/>
        </w:rPr>
        <w:t>通过贷款贴息、保险费、担保费以及专利评估费补助等对融资成本进行补贴。探索知识产权中长期质押、专利集群质押和知识产权证券化。支持符合条件的银行开展知识产权内部评估，指导银行金融机构开展知识产权质押登记全流程无纸化办理，推动知识产权交易中心实现质物处置线上办理。</w:t>
      </w:r>
    </w:p>
    <w:p w14:paraId="2392300B">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w:t>
      </w:r>
      <w:r>
        <w:rPr>
          <w:rStyle w:val="10"/>
          <w:rFonts w:hint="default" w:ascii="Times New Roman" w:hAnsi="Times New Roman" w:eastAsia="楷体_GB2312" w:cs="Times New Roman"/>
          <w:b/>
          <w:bCs/>
          <w:kern w:val="2"/>
          <w:sz w:val="32"/>
          <w:szCs w:val="32"/>
          <w:lang w:eastAsia="zh-CN" w:bidi="ar-SA"/>
        </w:rPr>
        <w:t>三</w:t>
      </w:r>
      <w:r>
        <w:rPr>
          <w:rStyle w:val="10"/>
          <w:rFonts w:hint="default" w:ascii="Times New Roman" w:hAnsi="Times New Roman" w:eastAsia="楷体_GB2312" w:cs="Times New Roman"/>
          <w:b/>
          <w:bCs/>
          <w:kern w:val="2"/>
          <w:sz w:val="32"/>
          <w:szCs w:val="32"/>
          <w:lang w:bidi="ar-SA"/>
        </w:rPr>
        <w:t>）鼓励扩大科技信贷规模</w:t>
      </w:r>
    </w:p>
    <w:p w14:paraId="406F453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鼓励商业银行设立科技金融专业或特色分支机构，支持有条件的银行金融机构探索较长周期的科技创新贷款内部绩效考核方案，完善尽职免责机制。</w:t>
      </w:r>
      <w:r>
        <w:rPr>
          <w:rFonts w:hint="default" w:ascii="Times New Roman" w:hAnsi="Times New Roman" w:eastAsia="仿宋_GB2312" w:cs="Times New Roman"/>
          <w:kern w:val="0"/>
          <w:sz w:val="32"/>
          <w:szCs w:val="32"/>
        </w:rPr>
        <w:t>对符合条件的科技创新活动和研发项目提供免质押贷款服务，有针对性地设计一些低利率和长周期的金融产品，增加对科技型中小企业的信贷支持。引导银行机构构建科技企业专属信用评价模型，将研发投入、知识产权、创新积分等纳入评估维度。推行科技企业“共同成长计划”，通过“贷款协议+中长期战略合作协议”模式，提供中长期信贷及综合金融服务，实现银企风险共担、收益共享。</w:t>
      </w:r>
      <w:r>
        <w:rPr>
          <w:rFonts w:hint="default" w:ascii="Times New Roman" w:hAnsi="Times New Roman" w:eastAsia="仿宋_GB2312" w:cs="Times New Roman"/>
          <w:kern w:val="0"/>
          <w:sz w:val="32"/>
          <w:szCs w:val="32"/>
          <w:lang w:val="en-US" w:eastAsia="zh-CN"/>
        </w:rPr>
        <w:t>鼓励银行机构</w:t>
      </w:r>
      <w:r>
        <w:rPr>
          <w:rFonts w:hint="default" w:ascii="Times New Roman" w:hAnsi="Times New Roman" w:eastAsia="仿宋_GB2312" w:cs="Times New Roman"/>
          <w:kern w:val="0"/>
          <w:sz w:val="32"/>
          <w:szCs w:val="32"/>
          <w:highlight w:val="none"/>
        </w:rPr>
        <w:t>开展“科技贷”、股权质押贷款等业务。</w:t>
      </w:r>
      <w:r>
        <w:rPr>
          <w:rFonts w:hint="default" w:ascii="Times New Roman" w:hAnsi="Times New Roman" w:eastAsia="仿宋_GB2312" w:cs="Times New Roman"/>
          <w:kern w:val="0"/>
          <w:sz w:val="32"/>
          <w:szCs w:val="32"/>
        </w:rPr>
        <w:t>探索推动银行科技信贷产品资产证券化。小微型科技企业不良贷款容忍度可较各项贷款不良率提高不超过3个百分点。</w:t>
      </w:r>
    </w:p>
    <w:p w14:paraId="4FD32F2D">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w:t>
      </w:r>
      <w:r>
        <w:rPr>
          <w:rStyle w:val="10"/>
          <w:rFonts w:hint="default" w:ascii="Times New Roman" w:hAnsi="Times New Roman" w:eastAsia="楷体_GB2312" w:cs="Times New Roman"/>
          <w:b/>
          <w:bCs/>
          <w:kern w:val="2"/>
          <w:sz w:val="32"/>
          <w:szCs w:val="32"/>
          <w:lang w:eastAsia="zh-CN" w:bidi="ar-SA"/>
        </w:rPr>
        <w:t>四</w:t>
      </w:r>
      <w:r>
        <w:rPr>
          <w:rStyle w:val="10"/>
          <w:rFonts w:hint="default" w:ascii="Times New Roman" w:hAnsi="Times New Roman" w:eastAsia="楷体_GB2312" w:cs="Times New Roman"/>
          <w:b/>
          <w:bCs/>
          <w:kern w:val="2"/>
          <w:sz w:val="32"/>
          <w:szCs w:val="32"/>
          <w:lang w:bidi="ar-SA"/>
        </w:rPr>
        <w:t>）</w:t>
      </w:r>
      <w:r>
        <w:rPr>
          <w:rStyle w:val="10"/>
          <w:rFonts w:hint="default" w:ascii="Times New Roman" w:hAnsi="Times New Roman" w:eastAsia="楷体_GB2312" w:cs="Times New Roman"/>
          <w:b/>
          <w:bCs/>
          <w:kern w:val="2"/>
          <w:sz w:val="32"/>
          <w:szCs w:val="32"/>
          <w:lang w:eastAsia="zh-CN" w:bidi="ar-SA"/>
        </w:rPr>
        <w:t>继续</w:t>
      </w:r>
      <w:r>
        <w:rPr>
          <w:rStyle w:val="10"/>
          <w:rFonts w:hint="default" w:ascii="Times New Roman" w:hAnsi="Times New Roman" w:eastAsia="楷体_GB2312" w:cs="Times New Roman"/>
          <w:b/>
          <w:bCs/>
          <w:kern w:val="2"/>
          <w:sz w:val="32"/>
          <w:szCs w:val="32"/>
          <w:lang w:bidi="ar-SA"/>
        </w:rPr>
        <w:t>积极推广“保贷联动”险种</w:t>
      </w:r>
    </w:p>
    <w:p w14:paraId="035D0E0F">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鼓励保险机构开发推广“保贷联动”险种，引导银行贷款投向科技企业。引导保险公司设立科技金融事业部，开发覆盖科技企业全生命周期的保险产品。</w:t>
      </w:r>
      <w:r>
        <w:rPr>
          <w:rFonts w:hint="default" w:ascii="Times New Roman" w:hAnsi="Times New Roman" w:eastAsia="仿宋_GB2312" w:cs="Times New Roman"/>
          <w:kern w:val="0"/>
          <w:sz w:val="32"/>
          <w:szCs w:val="32"/>
          <w:highlight w:val="none"/>
        </w:rPr>
        <w:t>重点支持专利保险</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首台（套）</w:t>
      </w:r>
      <w:r>
        <w:rPr>
          <w:rFonts w:hint="default" w:ascii="Times New Roman" w:hAnsi="Times New Roman" w:eastAsia="仿宋_GB2312" w:cs="Times New Roman"/>
          <w:kern w:val="0"/>
          <w:sz w:val="32"/>
          <w:szCs w:val="32"/>
          <w:highlight w:val="none"/>
          <w:lang w:eastAsia="zh-CN"/>
        </w:rPr>
        <w:t>重大技术装备、首批次新材料</w:t>
      </w:r>
      <w:r>
        <w:rPr>
          <w:rFonts w:hint="default" w:ascii="Times New Roman" w:hAnsi="Times New Roman" w:eastAsia="仿宋_GB2312" w:cs="Times New Roman"/>
          <w:kern w:val="0"/>
          <w:sz w:val="32"/>
          <w:szCs w:val="32"/>
          <w:highlight w:val="none"/>
        </w:rPr>
        <w:t>保险</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科技企业研发责任保险</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关键研发设备保险等险种，分散企业科技创新、成果转化和产业化风险。围绕科技研发、成果转化、应用推广、知识产权运用保护等关键环节，强化研发费用、设备损失、专利保护等领域保障。探索重大技术攻关、中试阶段风险共保机制，由多家保险机构联合承保，分散高风险领域创新风险。对广西境内购买区内企业生产的国内首台（套）重大技术装备</w:t>
      </w:r>
      <w:r>
        <w:rPr>
          <w:rFonts w:hint="default" w:ascii="Times New Roman" w:hAnsi="Times New Roman" w:eastAsia="仿宋_GB2312" w:cs="Times New Roman"/>
          <w:kern w:val="0"/>
          <w:sz w:val="32"/>
          <w:szCs w:val="32"/>
          <w:highlight w:val="none"/>
          <w:lang w:eastAsia="zh-CN"/>
        </w:rPr>
        <w:t>、首批次新材料</w:t>
      </w:r>
      <w:r>
        <w:rPr>
          <w:rFonts w:hint="default" w:ascii="Times New Roman" w:hAnsi="Times New Roman" w:eastAsia="仿宋_GB2312" w:cs="Times New Roman"/>
          <w:kern w:val="0"/>
          <w:sz w:val="32"/>
          <w:szCs w:val="32"/>
          <w:highlight w:val="none"/>
        </w:rPr>
        <w:t>的企业采取保费补贴方式，</w:t>
      </w:r>
      <w:r>
        <w:rPr>
          <w:rFonts w:hint="default" w:ascii="Times New Roman" w:hAnsi="Times New Roman" w:eastAsia="仿宋_GB2312" w:cs="Times New Roman"/>
          <w:kern w:val="0"/>
          <w:sz w:val="32"/>
          <w:szCs w:val="32"/>
        </w:rPr>
        <w:t>实际投保费率按3%的费率上限及实际投保年度保费的80%给予补贴，补贴时间按保险期限据实核算，原则上不超过3年。对经自治区人民政府批准的重大项目，支持比例可不受上述标准限制。实施科技保险财政保费补贴政策，对科技企业购买科技保险给予最高50%保费补贴。对同一企业，已经享受国家补贴支持的，自治区再按实际投保年度保费的10%给予补贴。</w:t>
      </w:r>
    </w:p>
    <w:p w14:paraId="5BE53AA8">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黑体" w:cs="Times New Roman"/>
          <w:b w:val="0"/>
          <w:kern w:val="0"/>
          <w:sz w:val="32"/>
          <w:szCs w:val="32"/>
        </w:rPr>
      </w:pPr>
      <w:r>
        <w:rPr>
          <w:rStyle w:val="10"/>
          <w:rFonts w:hint="default" w:ascii="Times New Roman" w:hAnsi="Times New Roman" w:eastAsia="黑体" w:cs="Times New Roman"/>
          <w:b w:val="0"/>
          <w:kern w:val="2"/>
          <w:sz w:val="32"/>
          <w:szCs w:val="32"/>
          <w:lang w:bidi="ar-SA"/>
        </w:rPr>
        <w:t>六、强化保障作用，发挥组织协调监督效力</w:t>
      </w:r>
    </w:p>
    <w:p w14:paraId="53627E56">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（一）加强组织领导</w:t>
      </w:r>
    </w:p>
    <w:p w14:paraId="453D7154">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自治区层面建立健全重大任务部门会商机制。自治区有关部门与各市、县（市、区）人民政府要落实主体责任，压实领导责任。加快建立统一管理、科学分工、各方联动、信息共享的研发投入统计工作机制；进一步完善科技统计制度方法，研究制定科技统计数据质量控制制度，加强对全区企业科技统计人员的业务培训，确保依法统计、应统尽统。</w:t>
      </w:r>
    </w:p>
    <w:p w14:paraId="35D78518">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kern w:val="0"/>
          <w:sz w:val="32"/>
          <w:szCs w:val="32"/>
        </w:rPr>
      </w:pPr>
      <w:r>
        <w:rPr>
          <w:rStyle w:val="10"/>
          <w:rFonts w:hint="default" w:ascii="Times New Roman" w:hAnsi="Times New Roman" w:eastAsia="楷体_GB2312" w:cs="Times New Roman"/>
          <w:b/>
          <w:bCs/>
          <w:kern w:val="2"/>
          <w:sz w:val="32"/>
          <w:szCs w:val="32"/>
          <w:lang w:bidi="ar-SA"/>
        </w:rPr>
        <w:t>（二）加强政策配套</w:t>
      </w:r>
    </w:p>
    <w:p w14:paraId="5561B2D9">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cs="Times New Roman"/>
          <w:sz w:val="32"/>
          <w:szCs w:val="32"/>
          <w:highlight w:val="yellow"/>
          <w:lang w:eastAsia="zh-CN"/>
        </w:rPr>
      </w:pPr>
      <w:r>
        <w:rPr>
          <w:rFonts w:hint="default" w:ascii="Times New Roman" w:hAnsi="Times New Roman" w:eastAsia="仿宋_GB2312" w:cs="Times New Roman"/>
          <w:kern w:val="0"/>
          <w:sz w:val="32"/>
          <w:szCs w:val="32"/>
        </w:rPr>
        <w:t>自治区有关部门要研究出台相关配套政策，自治区层面现有扶持政策已明确经费支持渠道的按原渠道解决，未明确支持渠道且涉及新增支出的，原则上从创新驱动发展专项资金、科技发展专项资金等自治区本级财政专项资金中统筹解决。</w:t>
      </w:r>
      <w:r>
        <w:rPr>
          <w:rFonts w:hint="default" w:ascii="Times New Roman" w:hAnsi="Times New Roman" w:eastAsia="仿宋_GB2312" w:cs="Times New Roman"/>
          <w:kern w:val="0"/>
          <w:sz w:val="32"/>
          <w:szCs w:val="32"/>
          <w:lang w:val="en" w:eastAsia="zh-CN"/>
        </w:rPr>
        <w:t>各市、县（市、区）人民政府应结合本地实际，以本意见为指导，加强政策宣传执行力度，合力促进全社会加大研发经费投入。</w:t>
      </w:r>
    </w:p>
    <w:p w14:paraId="0A6E5AA8">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default" w:ascii="Times New Roman" w:hAnsi="Times New Roman" w:eastAsia="华文楷体" w:cs="Times New Roman"/>
          <w:b w:val="0"/>
          <w:sz w:val="32"/>
          <w:szCs w:val="32"/>
        </w:rPr>
      </w:pPr>
      <w:r>
        <w:rPr>
          <w:rStyle w:val="10"/>
          <w:rFonts w:hint="default" w:ascii="Times New Roman" w:hAnsi="Times New Roman" w:eastAsia="楷体_GB2312" w:cs="Times New Roman"/>
          <w:b/>
          <w:bCs/>
          <w:kern w:val="2"/>
          <w:sz w:val="32"/>
          <w:szCs w:val="32"/>
          <w:lang w:bidi="ar-SA"/>
        </w:rPr>
        <w:t>（三）加强考核评价</w:t>
      </w:r>
    </w:p>
    <w:p w14:paraId="05B7EA1F">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宋体" w:cs="Times New Roman"/>
          <w:b w:val="0"/>
          <w:sz w:val="32"/>
          <w:szCs w:val="32"/>
          <w:highlight w:val="yellow"/>
          <w:lang w:eastAsia="zh-CN"/>
        </w:rPr>
      </w:pPr>
      <w:r>
        <w:rPr>
          <w:rFonts w:hint="default" w:ascii="Times New Roman" w:hAnsi="Times New Roman" w:eastAsia="仿宋_GB2312" w:cs="Times New Roman"/>
          <w:kern w:val="0"/>
          <w:sz w:val="32"/>
          <w:szCs w:val="32"/>
        </w:rPr>
        <w:t>自治区有关部门要建立研发经费投入绩效考核制度。自治区每年对各市、县（市、区）人民政府和自治区直属国有企业、高校、科研院所研发经费投入情况开展专项督查，</w:t>
      </w:r>
      <w:r>
        <w:rPr>
          <w:rFonts w:hint="default" w:ascii="Times New Roman" w:hAnsi="Times New Roman" w:eastAsia="仿宋_GB2312" w:cs="Times New Roman"/>
          <w:kern w:val="0"/>
          <w:sz w:val="32"/>
          <w:szCs w:val="32"/>
          <w:lang w:val="en" w:eastAsia="zh-CN"/>
        </w:rPr>
        <w:t>并将结果作为评价各市、县（市、区）人民政府领导班子和主要负责人的重要参考。</w:t>
      </w:r>
    </w:p>
    <w:p w14:paraId="6CF12AE6">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rPr>
        <w:t>本意见自公布之日起实施，201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rPr>
        <w:t>日印发的《广西壮族自治区人民政府关于促进全社会加大研发经费投入的实施意见》（桂政发〔201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57号</w:t>
      </w:r>
      <w:r>
        <w:rPr>
          <w:rFonts w:hint="default" w:ascii="Times New Roman" w:hAnsi="Times New Roman" w:eastAsia="仿宋_GB2312" w:cs="Times New Roman"/>
          <w:kern w:val="0"/>
          <w:sz w:val="32"/>
          <w:szCs w:val="32"/>
        </w:rPr>
        <w:t>）同时废止。</w:t>
      </w:r>
    </w:p>
    <w:p w14:paraId="6BE1FBFC">
      <w:pPr>
        <w:pStyle w:val="3"/>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ind w:left="0" w:firstLine="640" w:firstLineChars="200"/>
        <w:textAlignment w:val="auto"/>
        <w:rPr>
          <w:rFonts w:hint="default" w:ascii="Times New Roman" w:hAnsi="Times New Roman" w:cs="Times New Roman"/>
          <w:sz w:val="32"/>
          <w:szCs w:val="32"/>
          <w:lang w:val="en-US" w:eastAsia="zh-CN"/>
        </w:rPr>
      </w:pPr>
    </w:p>
    <w:p w14:paraId="23816438">
      <w:pPr>
        <w:shd w:val="clear" w:color="auto" w:fill="auto"/>
        <w:rPr>
          <w:rFonts w:hint="default" w:ascii="Times New Roman" w:hAnsi="Times New Roman" w:cs="Times New Roman"/>
        </w:rPr>
      </w:pPr>
    </w:p>
    <w:sectPr>
      <w:footerReference r:id="rId3" w:type="default"/>
      <w:pgSz w:w="11906" w:h="16838"/>
      <w:pgMar w:top="2098" w:right="1531" w:bottom="1701" w:left="1531" w:header="850" w:footer="1474"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35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3BD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413BD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54EC6"/>
    <w:rsid w:val="3EAB0813"/>
    <w:rsid w:val="5FF7060E"/>
    <w:rsid w:val="67FFA47C"/>
    <w:rsid w:val="6B7EA559"/>
    <w:rsid w:val="6F3B1568"/>
    <w:rsid w:val="9FF6310B"/>
    <w:rsid w:val="BBFBE41C"/>
    <w:rsid w:val="C3BF244F"/>
    <w:rsid w:val="F47A699A"/>
    <w:rsid w:val="F576283B"/>
    <w:rsid w:val="F7E51D50"/>
    <w:rsid w:val="F8D64602"/>
    <w:rsid w:val="FFFD1E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footer"/>
    <w:next w:val="3"/>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9">
    <w:name w:val="样式1"/>
    <w:qFormat/>
    <w:uiPriority w:val="0"/>
    <w:pPr>
      <w:widowControl w:val="0"/>
      <w:spacing w:line="540" w:lineRule="exact"/>
      <w:jc w:val="both"/>
    </w:pPr>
    <w:rPr>
      <w:rFonts w:ascii="Calibri" w:hAnsi="Calibri" w:eastAsia="仿宋_GB2312" w:cs="Times New Roman"/>
      <w:kern w:val="2"/>
      <w:sz w:val="32"/>
      <w:szCs w:val="24"/>
      <w:lang w:val="en-US" w:eastAsia="zh-CN" w:bidi="ar-SA"/>
    </w:rPr>
  </w:style>
  <w:style w:type="character" w:customStyle="1" w:styleId="10">
    <w:name w:val="15"/>
    <w:qFormat/>
    <w:uiPriority w:val="0"/>
    <w:rPr>
      <w:rFonts w:hint="default" w:ascii="Wingdings" w:hAnsi="Wingdings" w:cs="Wingdings"/>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499</Words>
  <Characters>542</Characters>
  <Lines>0</Lines>
  <Paragraphs>0</Paragraphs>
  <TotalTime>20</TotalTime>
  <ScaleCrop>false</ScaleCrop>
  <LinksUpToDate>false</LinksUpToDate>
  <CharactersWithSpaces>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墨迹夏子</cp:lastModifiedBy>
  <cp:lastPrinted>2026-04-10T00:49:37Z</cp:lastPrinted>
  <dcterms:modified xsi:type="dcterms:W3CDTF">2026-04-09T10:37:12Z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BFC84D5BE8AD4F3493D6DE7764D3679E_13</vt:lpwstr>
  </property>
  <property fmtid="{D5CDD505-2E9C-101B-9397-08002B2CF9AE}" pid="4" name="KSOTemplateDocerSaveRecord">
    <vt:lpwstr>eyJoZGlkIjoiYzY5ZDFkYjAwZjNhYTM1NDBlZTczZjFiNGMyNzYxN2IiLCJ1c2VySWQiOiIzNjAwMjk3NDgifQ==</vt:lpwstr>
  </property>
</Properties>
</file>