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cs="ArialUnicodeMS"/>
          <w:kern w:val="0"/>
          <w:sz w:val="32"/>
          <w:szCs w:val="32"/>
        </w:rPr>
      </w:pPr>
    </w:p>
    <w:p>
      <w:pPr>
        <w:rPr>
          <w:rFonts w:hint="eastAsia" w:ascii="黑体" w:eastAsia="黑体" w:cs="ArialUnicodeMS"/>
          <w:kern w:val="0"/>
          <w:sz w:val="72"/>
          <w:szCs w:val="72"/>
        </w:rPr>
      </w:pPr>
    </w:p>
    <w:p>
      <w:pPr>
        <w:jc w:val="both"/>
        <w:rPr>
          <w:rFonts w:hint="eastAsia" w:ascii="方正小标宋简体" w:eastAsia="方正小标宋简体" w:cs="ArialUnicodeMS"/>
          <w:kern w:val="0"/>
          <w:sz w:val="52"/>
          <w:szCs w:val="52"/>
        </w:rPr>
      </w:pPr>
    </w:p>
    <w:p>
      <w:pPr>
        <w:jc w:val="center"/>
        <w:rPr>
          <w:rFonts w:hint="eastAsia" w:ascii="方正小标宋简体" w:hAnsi="黑体" w:eastAsia="方正小标宋简体"/>
          <w:bCs/>
          <w:color w:val="000000"/>
          <w:w w:val="90"/>
          <w:sz w:val="52"/>
          <w:szCs w:val="52"/>
          <w:lang w:val="en-US" w:eastAsia="zh-CN"/>
        </w:rPr>
      </w:pPr>
      <w:r>
        <w:rPr>
          <w:rFonts w:hint="eastAsia" w:ascii="方正小标宋简体" w:eastAsia="方正小标宋简体" w:cs="ArialUnicodeMS"/>
          <w:w w:val="90"/>
          <w:kern w:val="0"/>
          <w:sz w:val="52"/>
          <w:szCs w:val="52"/>
        </w:rPr>
        <w:t>广西壮族自治区</w:t>
      </w:r>
      <w:r>
        <w:rPr>
          <w:rFonts w:hint="eastAsia" w:ascii="方正小标宋简体" w:eastAsia="方正小标宋简体" w:cs="ArialUnicodeMS"/>
          <w:w w:val="90"/>
          <w:kern w:val="0"/>
          <w:sz w:val="52"/>
          <w:szCs w:val="52"/>
          <w:lang w:eastAsia="zh-CN"/>
        </w:rPr>
        <w:t>建材产品质量检验站</w:t>
      </w:r>
    </w:p>
    <w:p>
      <w:pPr>
        <w:jc w:val="center"/>
        <w:rPr>
          <w:rFonts w:hint="eastAsia" w:ascii="方正小标宋简体" w:eastAsia="方正小标宋简体" w:cs="ArialUnicodeMS"/>
          <w:kern w:val="0"/>
          <w:sz w:val="52"/>
          <w:szCs w:val="52"/>
        </w:rPr>
      </w:pPr>
      <w:r>
        <w:rPr>
          <w:rFonts w:hint="eastAsia" w:ascii="方正小标宋简体" w:eastAsia="方正小标宋简体"/>
          <w:kern w:val="0"/>
          <w:sz w:val="52"/>
          <w:szCs w:val="52"/>
        </w:rPr>
        <w:t>2020</w:t>
      </w:r>
      <w:r>
        <w:rPr>
          <w:rFonts w:hint="eastAsia" w:ascii="方正小标宋简体" w:eastAsia="方正小标宋简体" w:cs="ArialUnicodeMS"/>
          <w:kern w:val="0"/>
          <w:sz w:val="52"/>
          <w:szCs w:val="52"/>
        </w:rPr>
        <w:t>年度部门决算</w:t>
      </w:r>
    </w:p>
    <w:p>
      <w:pPr>
        <w:rPr>
          <w:rFonts w:hint="eastAsia" w:ascii="方正小标宋简体" w:eastAsia="方正小标宋简体" w:cs="ArialUnicodeMS"/>
          <w:kern w:val="0"/>
          <w:sz w:val="84"/>
          <w:szCs w:val="84"/>
        </w:rPr>
      </w:pPr>
    </w:p>
    <w:p>
      <w:pPr>
        <w:rPr>
          <w:rFonts w:hint="eastAsia" w:ascii="ArialUnicodeMS" w:eastAsia="ArialUnicodeMS" w:cs="ArialUnicodeMS"/>
          <w:kern w:val="0"/>
          <w:sz w:val="84"/>
          <w:szCs w:val="84"/>
        </w:rPr>
      </w:pPr>
    </w:p>
    <w:p>
      <w:pPr>
        <w:rPr>
          <w:rFonts w:hint="eastAsia" w:ascii="ArialUnicodeMS" w:eastAsia="ArialUnicodeMS" w:cs="ArialUnicodeMS"/>
          <w:kern w:val="0"/>
          <w:sz w:val="84"/>
          <w:szCs w:val="84"/>
        </w:rPr>
      </w:pPr>
    </w:p>
    <w:p>
      <w:pPr>
        <w:rPr>
          <w:rFonts w:hint="eastAsia" w:ascii="ArialUnicodeMS" w:eastAsia="ArialUnicodeMS" w:cs="ArialUnicodeMS"/>
          <w:kern w:val="0"/>
          <w:sz w:val="84"/>
          <w:szCs w:val="84"/>
        </w:rPr>
      </w:pPr>
    </w:p>
    <w:p>
      <w:pPr>
        <w:rPr>
          <w:rFonts w:hint="eastAsia" w:ascii="ArialUnicodeMS" w:eastAsia="ArialUnicodeMS" w:cs="ArialUnicodeMS"/>
          <w:kern w:val="0"/>
          <w:sz w:val="84"/>
          <w:szCs w:val="84"/>
        </w:rPr>
      </w:pPr>
    </w:p>
    <w:p>
      <w:pPr>
        <w:jc w:val="center"/>
        <w:rPr>
          <w:rFonts w:hint="eastAsia" w:ascii="黑体" w:eastAsia="黑体" w:cs="黑体"/>
          <w:kern w:val="0"/>
          <w:sz w:val="44"/>
          <w:szCs w:val="44"/>
        </w:rPr>
      </w:pPr>
    </w:p>
    <w:p>
      <w:pPr>
        <w:jc w:val="center"/>
        <w:rPr>
          <w:rFonts w:hint="eastAsia" w:ascii="黑体" w:eastAsia="黑体" w:cs="黑体"/>
          <w:kern w:val="0"/>
          <w:sz w:val="44"/>
          <w:szCs w:val="44"/>
        </w:rPr>
      </w:pPr>
    </w:p>
    <w:p>
      <w:pPr>
        <w:ind w:firstLine="646"/>
        <w:jc w:val="center"/>
        <w:rPr>
          <w:rFonts w:hint="eastAsia" w:ascii="方正小标宋简体" w:eastAsia="方正小标宋简体"/>
          <w:b/>
          <w:sz w:val="44"/>
          <w:szCs w:val="44"/>
        </w:rPr>
      </w:pPr>
    </w:p>
    <w:p>
      <w:pPr>
        <w:ind w:firstLine="646"/>
        <w:jc w:val="center"/>
        <w:rPr>
          <w:rFonts w:hint="eastAsia" w:ascii="方正小标宋简体" w:eastAsia="方正小标宋简体"/>
          <w:b/>
          <w:sz w:val="44"/>
          <w:szCs w:val="44"/>
        </w:rPr>
      </w:pPr>
    </w:p>
    <w:p>
      <w:pPr>
        <w:ind w:firstLine="646"/>
        <w:jc w:val="center"/>
        <w:rPr>
          <w:rFonts w:hint="eastAsia" w:ascii="方正小标宋简体" w:eastAsia="方正小标宋简体"/>
          <w:b/>
          <w:sz w:val="44"/>
          <w:szCs w:val="44"/>
        </w:rPr>
      </w:pPr>
    </w:p>
    <w:p>
      <w:pPr>
        <w:ind w:firstLine="646"/>
        <w:jc w:val="center"/>
        <w:rPr>
          <w:rFonts w:hint="eastAsia" w:ascii="方正小标宋简体" w:eastAsia="方正小标宋简体"/>
          <w:b/>
          <w:sz w:val="44"/>
          <w:szCs w:val="44"/>
        </w:rPr>
        <w:sectPr>
          <w:pgSz w:w="11906" w:h="16838"/>
          <w:pgMar w:top="1440" w:right="1800" w:bottom="1440" w:left="1800" w:header="851" w:footer="992" w:gutter="0"/>
          <w:cols w:space="425" w:num="1"/>
          <w:docGrid w:type="lines" w:linePitch="312" w:charSpace="0"/>
        </w:sectPr>
      </w:pPr>
    </w:p>
    <w:p>
      <w:pPr>
        <w:ind w:firstLine="646"/>
        <w:jc w:val="center"/>
        <w:rPr>
          <w:rFonts w:hint="eastAsia" w:ascii="方正小标宋简体" w:eastAsia="方正小标宋简体"/>
          <w:b/>
          <w:sz w:val="44"/>
          <w:szCs w:val="44"/>
        </w:rPr>
      </w:pPr>
    </w:p>
    <w:p>
      <w:pPr>
        <w:ind w:firstLine="646"/>
        <w:jc w:val="center"/>
        <w:rPr>
          <w:rFonts w:hint="eastAsia" w:ascii="方正小标宋简体" w:eastAsia="方正小标宋简体"/>
          <w:b/>
          <w:sz w:val="44"/>
          <w:szCs w:val="44"/>
        </w:rPr>
      </w:pPr>
      <w:r>
        <w:rPr>
          <w:rFonts w:hint="eastAsia" w:ascii="方正小标宋简体" w:eastAsia="方正小标宋简体"/>
          <w:b/>
          <w:sz w:val="44"/>
          <w:szCs w:val="44"/>
        </w:rPr>
        <w:t>目    录</w:t>
      </w:r>
    </w:p>
    <w:p>
      <w:pPr>
        <w:ind w:firstLine="645"/>
        <w:rPr>
          <w:rFonts w:hint="eastAsia" w:ascii="仿宋_GB2312" w:eastAsia="仿宋_GB2312"/>
          <w:b/>
          <w:sz w:val="32"/>
          <w:szCs w:val="32"/>
        </w:rPr>
      </w:pPr>
    </w:p>
    <w:p>
      <w:pPr>
        <w:ind w:firstLine="645"/>
        <w:rPr>
          <w:rFonts w:hint="eastAsia" w:ascii="黑体" w:hAnsi="黑体" w:eastAsia="黑体"/>
          <w:sz w:val="32"/>
          <w:szCs w:val="32"/>
        </w:rPr>
      </w:pPr>
      <w:r>
        <w:rPr>
          <w:rFonts w:hint="eastAsia" w:ascii="黑体" w:hAnsi="黑体" w:eastAsia="黑体"/>
          <w:sz w:val="32"/>
          <w:szCs w:val="32"/>
        </w:rPr>
        <w:t>第一部分：</w:t>
      </w:r>
      <w:r>
        <w:rPr>
          <w:rFonts w:hint="eastAsia" w:ascii="黑体" w:hAnsi="黑体" w:eastAsia="黑体"/>
          <w:bCs/>
          <w:color w:val="000000"/>
          <w:sz w:val="32"/>
          <w:szCs w:val="32"/>
          <w:u w:val="none"/>
          <w:lang w:eastAsia="zh-CN"/>
        </w:rPr>
        <w:t>广西壮族自治区建材产品质量检验站</w:t>
      </w:r>
      <w:r>
        <w:rPr>
          <w:rFonts w:hint="eastAsia" w:ascii="黑体" w:hAnsi="黑体" w:eastAsia="黑体"/>
          <w:sz w:val="32"/>
          <w:szCs w:val="32"/>
        </w:rPr>
        <w:t>概况</w:t>
      </w:r>
    </w:p>
    <w:p>
      <w:pPr>
        <w:ind w:firstLine="645"/>
        <w:rPr>
          <w:rFonts w:hint="default" w:ascii="仿宋_GB2312" w:eastAsia="仿宋_GB2312"/>
          <w:sz w:val="32"/>
          <w:szCs w:val="32"/>
          <w:lang w:val="en-US" w:eastAsia="zh-CN"/>
        </w:rPr>
      </w:pPr>
      <w:r>
        <w:rPr>
          <w:rFonts w:hint="eastAsia" w:ascii="仿宋_GB2312" w:eastAsia="仿宋_GB2312"/>
          <w:sz w:val="32"/>
          <w:szCs w:val="32"/>
        </w:rPr>
        <w:t>一、主要职能</w:t>
      </w:r>
    </w:p>
    <w:p>
      <w:pPr>
        <w:ind w:firstLine="645"/>
        <w:rPr>
          <w:rFonts w:hint="eastAsia" w:ascii="仿宋_GB2312" w:eastAsia="仿宋_GB2312"/>
          <w:sz w:val="32"/>
          <w:szCs w:val="32"/>
        </w:rPr>
      </w:pPr>
      <w:r>
        <w:rPr>
          <w:rFonts w:hint="eastAsia" w:ascii="仿宋_GB2312" w:eastAsia="仿宋_GB2312"/>
          <w:sz w:val="32"/>
          <w:szCs w:val="32"/>
        </w:rPr>
        <w:t>二、部门决算单位构成</w:t>
      </w:r>
    </w:p>
    <w:p>
      <w:pPr>
        <w:ind w:firstLine="645"/>
        <w:rPr>
          <w:rFonts w:hint="eastAsia" w:ascii="黑体" w:hAnsi="黑体" w:eastAsia="黑体"/>
          <w:sz w:val="32"/>
          <w:szCs w:val="32"/>
        </w:rPr>
      </w:pPr>
      <w:r>
        <w:rPr>
          <w:rFonts w:hint="eastAsia" w:ascii="黑体" w:hAnsi="黑体" w:eastAsia="黑体"/>
          <w:sz w:val="32"/>
          <w:szCs w:val="32"/>
        </w:rPr>
        <w:t>第二部分：</w:t>
      </w:r>
      <w:r>
        <w:rPr>
          <w:rFonts w:hint="eastAsia" w:ascii="黑体" w:hAnsi="黑体" w:eastAsia="黑体"/>
          <w:bCs/>
          <w:color w:val="000000"/>
          <w:sz w:val="32"/>
          <w:szCs w:val="32"/>
          <w:u w:val="none"/>
          <w:lang w:eastAsia="zh-CN"/>
        </w:rPr>
        <w:t>广西壮族自治区建材产品质量检验站</w:t>
      </w:r>
      <w:r>
        <w:rPr>
          <w:rFonts w:hint="eastAsia" w:ascii="黑体" w:hAnsi="黑体" w:eastAsia="黑体"/>
          <w:sz w:val="32"/>
          <w:szCs w:val="32"/>
        </w:rPr>
        <w:t>2020年度部门决算报表</w:t>
      </w:r>
    </w:p>
    <w:p>
      <w:pPr>
        <w:ind w:left="645"/>
        <w:rPr>
          <w:rFonts w:hint="eastAsia" w:ascii="仿宋_GB2312" w:eastAsia="仿宋_GB2312"/>
          <w:sz w:val="32"/>
          <w:szCs w:val="32"/>
        </w:rPr>
      </w:pPr>
      <w:r>
        <w:rPr>
          <w:rFonts w:hint="eastAsia" w:ascii="仿宋_GB2312" w:eastAsia="仿宋_GB2312"/>
          <w:sz w:val="32"/>
          <w:szCs w:val="32"/>
        </w:rPr>
        <w:t>表一：收入支出决算总表</w:t>
      </w:r>
    </w:p>
    <w:p>
      <w:pPr>
        <w:ind w:left="645"/>
        <w:rPr>
          <w:rFonts w:hint="default" w:ascii="仿宋_GB2312" w:eastAsia="仿宋_GB2312"/>
          <w:sz w:val="32"/>
          <w:szCs w:val="32"/>
          <w:lang w:val="en-US" w:eastAsia="zh-CN"/>
        </w:rPr>
      </w:pPr>
      <w:r>
        <w:rPr>
          <w:rFonts w:hint="eastAsia" w:ascii="仿宋_GB2312" w:eastAsia="仿宋_GB2312"/>
          <w:sz w:val="32"/>
          <w:szCs w:val="32"/>
        </w:rPr>
        <w:t>表二：收入决算表</w:t>
      </w:r>
    </w:p>
    <w:p>
      <w:pPr>
        <w:ind w:left="645"/>
        <w:rPr>
          <w:rFonts w:hint="default" w:ascii="仿宋_GB2312" w:eastAsia="仿宋_GB2312"/>
          <w:sz w:val="32"/>
          <w:szCs w:val="32"/>
          <w:lang w:val="en-US" w:eastAsia="zh-CN"/>
        </w:rPr>
      </w:pPr>
      <w:r>
        <w:rPr>
          <w:rFonts w:hint="eastAsia" w:ascii="仿宋_GB2312" w:eastAsia="仿宋_GB2312"/>
          <w:sz w:val="32"/>
          <w:szCs w:val="32"/>
        </w:rPr>
        <w:t>表三：支出决算表</w:t>
      </w:r>
    </w:p>
    <w:p>
      <w:pPr>
        <w:ind w:left="645"/>
        <w:rPr>
          <w:rFonts w:hint="default" w:ascii="仿宋_GB2312" w:eastAsia="仿宋_GB2312"/>
          <w:sz w:val="32"/>
          <w:szCs w:val="32"/>
          <w:lang w:val="en-US" w:eastAsia="zh-CN"/>
        </w:rPr>
      </w:pPr>
      <w:r>
        <w:rPr>
          <w:rFonts w:hint="eastAsia" w:ascii="仿宋_GB2312" w:eastAsia="仿宋_GB2312"/>
          <w:sz w:val="32"/>
          <w:szCs w:val="32"/>
        </w:rPr>
        <w:t>表四：财政拨款收入支出决算总表</w:t>
      </w:r>
    </w:p>
    <w:p>
      <w:pPr>
        <w:ind w:left="645"/>
        <w:rPr>
          <w:rFonts w:hint="default" w:ascii="仿宋_GB2312" w:eastAsia="仿宋_GB2312"/>
          <w:sz w:val="32"/>
          <w:szCs w:val="32"/>
          <w:lang w:val="en-US" w:eastAsia="zh-CN"/>
        </w:rPr>
      </w:pPr>
      <w:r>
        <w:rPr>
          <w:rFonts w:hint="eastAsia" w:ascii="仿宋_GB2312" w:eastAsia="仿宋_GB2312"/>
          <w:sz w:val="32"/>
          <w:szCs w:val="32"/>
        </w:rPr>
        <w:t>表五：一般公共预算财政拨款支出决算表</w:t>
      </w:r>
    </w:p>
    <w:p>
      <w:pPr>
        <w:ind w:left="645"/>
        <w:rPr>
          <w:rFonts w:hint="default" w:ascii="仿宋_GB2312" w:eastAsia="仿宋_GB2312"/>
          <w:sz w:val="32"/>
          <w:szCs w:val="32"/>
          <w:lang w:val="en-US" w:eastAsia="zh-CN"/>
        </w:rPr>
      </w:pPr>
      <w:r>
        <w:rPr>
          <w:rFonts w:hint="eastAsia" w:ascii="仿宋_GB2312" w:eastAsia="仿宋_GB2312"/>
          <w:sz w:val="32"/>
          <w:szCs w:val="32"/>
        </w:rPr>
        <w:t>表六：一般公共预算财政拨款基本支出决算表</w:t>
      </w:r>
    </w:p>
    <w:p>
      <w:pPr>
        <w:ind w:left="645"/>
        <w:rPr>
          <w:rFonts w:hint="default" w:ascii="仿宋_GB2312" w:eastAsia="仿宋_GB2312"/>
          <w:sz w:val="32"/>
          <w:szCs w:val="32"/>
          <w:lang w:val="en-US" w:eastAsia="zh-CN"/>
        </w:rPr>
      </w:pPr>
      <w:r>
        <w:rPr>
          <w:rFonts w:hint="eastAsia" w:ascii="仿宋_GB2312" w:eastAsia="仿宋_GB2312"/>
          <w:sz w:val="32"/>
          <w:szCs w:val="32"/>
        </w:rPr>
        <w:t>表七：一般公共预算财政拨款安排的“三公”经费支出决算表</w:t>
      </w:r>
    </w:p>
    <w:p>
      <w:pPr>
        <w:ind w:left="645"/>
        <w:rPr>
          <w:rFonts w:hint="default" w:ascii="仿宋_GB2312" w:eastAsia="仿宋_GB2312"/>
          <w:sz w:val="32"/>
          <w:szCs w:val="32"/>
          <w:lang w:val="en-US" w:eastAsia="zh-CN"/>
        </w:rPr>
      </w:pPr>
      <w:r>
        <w:rPr>
          <w:rFonts w:hint="eastAsia" w:ascii="仿宋_GB2312" w:eastAsia="仿宋_GB2312"/>
          <w:sz w:val="32"/>
          <w:szCs w:val="32"/>
        </w:rPr>
        <w:t>表八：政府性基金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ind w:left="645"/>
        <w:rPr>
          <w:rFonts w:hint="eastAsia" w:ascii="仿宋_GB2312" w:eastAsia="仿宋_GB2312"/>
          <w:sz w:val="32"/>
          <w:szCs w:val="32"/>
        </w:rPr>
      </w:pPr>
      <w:r>
        <w:rPr>
          <w:rFonts w:hint="eastAsia" w:ascii="仿宋_GB2312" w:eastAsia="仿宋_GB2312"/>
          <w:sz w:val="32"/>
          <w:szCs w:val="32"/>
        </w:rPr>
        <w:t>表九：国有资本经营预算</w:t>
      </w:r>
      <w:r>
        <w:rPr>
          <w:rFonts w:hint="eastAsia" w:ascii="仿宋_GB2312" w:hAnsi="黑体" w:eastAsia="仿宋_GB2312"/>
          <w:sz w:val="32"/>
          <w:szCs w:val="32"/>
        </w:rPr>
        <w:t>财政拨款</w:t>
      </w:r>
      <w:r>
        <w:rPr>
          <w:rFonts w:hint="eastAsia" w:ascii="仿宋_GB2312" w:eastAsia="仿宋_GB2312"/>
          <w:sz w:val="32"/>
          <w:szCs w:val="32"/>
        </w:rPr>
        <w:t>收入支出决算表</w:t>
      </w:r>
    </w:p>
    <w:p>
      <w:pPr>
        <w:ind w:firstLine="645"/>
        <w:rPr>
          <w:rFonts w:hint="eastAsia" w:ascii="黑体" w:hAnsi="黑体" w:eastAsia="黑体"/>
          <w:sz w:val="32"/>
          <w:szCs w:val="32"/>
        </w:rPr>
      </w:pPr>
      <w:r>
        <w:rPr>
          <w:rFonts w:hint="eastAsia" w:ascii="黑体" w:hAnsi="黑体" w:eastAsia="黑体"/>
          <w:sz w:val="32"/>
          <w:szCs w:val="32"/>
        </w:rPr>
        <w:t>第三部分：</w:t>
      </w:r>
      <w:r>
        <w:rPr>
          <w:rFonts w:hint="eastAsia" w:ascii="黑体" w:hAnsi="黑体" w:eastAsia="黑体"/>
          <w:bCs/>
          <w:color w:val="000000"/>
          <w:sz w:val="32"/>
          <w:szCs w:val="32"/>
          <w:u w:val="none"/>
          <w:lang w:eastAsia="zh-CN"/>
        </w:rPr>
        <w:t>广西壮族自治区建材产品质量检验站</w:t>
      </w:r>
      <w:r>
        <w:rPr>
          <w:rFonts w:hint="eastAsia" w:ascii="黑体" w:hAnsi="黑体" w:eastAsia="黑体"/>
          <w:sz w:val="32"/>
          <w:szCs w:val="32"/>
        </w:rPr>
        <w:t>2020年度部门决算情况说明</w:t>
      </w:r>
    </w:p>
    <w:p>
      <w:pPr>
        <w:autoSpaceDE w:val="0"/>
        <w:autoSpaceDN w:val="0"/>
        <w:adjustRightInd w:val="0"/>
        <w:ind w:firstLine="640" w:firstLineChars="200"/>
        <w:jc w:val="left"/>
        <w:rPr>
          <w:rFonts w:hint="default" w:ascii="仿宋_GB2312" w:eastAsia="仿宋_GB2312" w:cs="仿宋_GB2312"/>
          <w:kern w:val="0"/>
          <w:sz w:val="32"/>
          <w:szCs w:val="32"/>
          <w:lang w:val="en-US" w:eastAsia="zh-CN"/>
        </w:rPr>
      </w:pPr>
      <w:r>
        <w:rPr>
          <w:rFonts w:hint="eastAsia" w:ascii="仿宋_GB2312" w:eastAsia="仿宋_GB2312" w:cs="仿宋_GB2312"/>
          <w:kern w:val="0"/>
          <w:sz w:val="32"/>
          <w:szCs w:val="32"/>
        </w:rPr>
        <w:t>一、</w:t>
      </w:r>
      <w:r>
        <w:rPr>
          <w:rFonts w:hint="eastAsia" w:ascii="仿宋_GB2312" w:eastAsia="仿宋_GB2312"/>
          <w:kern w:val="0"/>
          <w:sz w:val="32"/>
          <w:szCs w:val="32"/>
        </w:rPr>
        <w:t>2020</w:t>
      </w:r>
      <w:r>
        <w:rPr>
          <w:rFonts w:hint="eastAsia" w:ascii="仿宋_GB2312" w:eastAsia="仿宋_GB2312" w:cs="仿宋_GB2312"/>
          <w:kern w:val="0"/>
          <w:sz w:val="32"/>
          <w:szCs w:val="32"/>
        </w:rPr>
        <w:t>年度收入支出决算总体情况。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二、</w:t>
      </w:r>
      <w:r>
        <w:rPr>
          <w:rFonts w:hint="eastAsia" w:ascii="仿宋_GB2312" w:eastAsia="仿宋_GB2312"/>
          <w:kern w:val="0"/>
          <w:sz w:val="32"/>
          <w:szCs w:val="32"/>
        </w:rPr>
        <w:t>2020</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公共预算财政拨款支出决算情况。</w:t>
      </w:r>
    </w:p>
    <w:p>
      <w:pPr>
        <w:autoSpaceDE w:val="0"/>
        <w:autoSpaceDN w:val="0"/>
        <w:adjustRightInd w:val="0"/>
        <w:ind w:firstLine="640" w:firstLineChars="200"/>
        <w:jc w:val="left"/>
        <w:rPr>
          <w:rFonts w:hint="default" w:ascii="仿宋_GB2312" w:eastAsia="仿宋_GB2312" w:cs="仿宋_GB2312"/>
          <w:kern w:val="0"/>
          <w:sz w:val="32"/>
          <w:szCs w:val="32"/>
          <w:lang w:val="en-US" w:eastAsia="zh-CN"/>
        </w:rPr>
      </w:pPr>
      <w:r>
        <w:rPr>
          <w:rFonts w:hint="eastAsia" w:ascii="仿宋_GB2312" w:eastAsia="仿宋_GB2312" w:cs="仿宋_GB2312"/>
          <w:kern w:val="0"/>
          <w:sz w:val="32"/>
          <w:szCs w:val="32"/>
        </w:rPr>
        <w:t>三、2020年度一般公共预算财政拨款基本支出决算情况说明。</w:t>
      </w:r>
    </w:p>
    <w:p>
      <w:pPr>
        <w:autoSpaceDE w:val="0"/>
        <w:autoSpaceDN w:val="0"/>
        <w:adjustRightInd w:val="0"/>
        <w:ind w:firstLine="640" w:firstLineChars="200"/>
        <w:jc w:val="left"/>
        <w:rPr>
          <w:rFonts w:hint="default" w:ascii="仿宋_GB2312" w:eastAsia="仿宋_GB2312" w:cs="仿宋_GB2312"/>
          <w:kern w:val="0"/>
          <w:sz w:val="32"/>
          <w:szCs w:val="32"/>
          <w:lang w:val="en-US" w:eastAsia="zh-CN"/>
        </w:rPr>
      </w:pPr>
      <w:r>
        <w:rPr>
          <w:rFonts w:hint="eastAsia" w:ascii="仿宋_GB2312" w:eastAsia="仿宋_GB2312" w:cs="仿宋_GB2312"/>
          <w:kern w:val="0"/>
          <w:sz w:val="32"/>
          <w:szCs w:val="32"/>
        </w:rPr>
        <w:t>四、</w:t>
      </w:r>
      <w:r>
        <w:rPr>
          <w:rFonts w:hint="eastAsia" w:ascii="仿宋_GB2312" w:eastAsia="仿宋_GB2312"/>
          <w:kern w:val="0"/>
          <w:sz w:val="32"/>
          <w:szCs w:val="32"/>
        </w:rPr>
        <w:t>2020</w:t>
      </w:r>
      <w:r>
        <w:rPr>
          <w:rFonts w:hint="eastAsia" w:ascii="仿宋_GB2312" w:eastAsia="仿宋_GB2312" w:cs="仿宋_GB2312"/>
          <w:kern w:val="0"/>
          <w:sz w:val="32"/>
          <w:szCs w:val="32"/>
        </w:rPr>
        <w:t>年度政府性基金支出决算情况。</w:t>
      </w:r>
    </w:p>
    <w:p>
      <w:pPr>
        <w:autoSpaceDE w:val="0"/>
        <w:autoSpaceDN w:val="0"/>
        <w:adjustRightInd w:val="0"/>
        <w:ind w:firstLine="640" w:firstLineChars="200"/>
        <w:jc w:val="left"/>
        <w:rPr>
          <w:rFonts w:hint="default" w:ascii="仿宋_GB2312" w:eastAsia="仿宋_GB2312" w:cs="仿宋_GB2312"/>
          <w:kern w:val="0"/>
          <w:sz w:val="32"/>
          <w:szCs w:val="32"/>
          <w:lang w:val="en-US" w:eastAsia="zh-CN"/>
        </w:rPr>
      </w:pPr>
      <w:r>
        <w:rPr>
          <w:rFonts w:hint="eastAsia" w:ascii="仿宋_GB2312" w:eastAsia="仿宋_GB2312" w:cs="仿宋_GB2312"/>
          <w:kern w:val="0"/>
          <w:sz w:val="32"/>
          <w:szCs w:val="32"/>
        </w:rPr>
        <w:t>五、2020年度国有资本经营预算支出决算情况</w:t>
      </w:r>
    </w:p>
    <w:p>
      <w:pPr>
        <w:autoSpaceDE w:val="0"/>
        <w:autoSpaceDN w:val="0"/>
        <w:adjustRightInd w:val="0"/>
        <w:ind w:firstLine="640" w:firstLineChars="200"/>
        <w:jc w:val="left"/>
        <w:rPr>
          <w:rFonts w:hint="default" w:ascii="仿宋_GB2312" w:eastAsia="仿宋_GB2312" w:cs="仿宋_GB2312"/>
          <w:kern w:val="0"/>
          <w:sz w:val="32"/>
          <w:szCs w:val="32"/>
          <w:lang w:val="en-US" w:eastAsia="zh-CN"/>
        </w:rPr>
      </w:pPr>
      <w:r>
        <w:rPr>
          <w:rFonts w:hint="eastAsia" w:ascii="仿宋_GB2312" w:eastAsia="仿宋_GB2312" w:cs="仿宋_GB2312"/>
          <w:kern w:val="0"/>
          <w:sz w:val="32"/>
          <w:szCs w:val="32"/>
        </w:rPr>
        <w:t>六、</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公共预算财政拨款安排的“三公”经费支出决算情况说明。</w:t>
      </w:r>
    </w:p>
    <w:p>
      <w:pPr>
        <w:autoSpaceDE w:val="0"/>
        <w:autoSpaceDN w:val="0"/>
        <w:adjustRightInd w:val="0"/>
        <w:ind w:firstLine="640" w:firstLineChars="200"/>
        <w:jc w:val="left"/>
        <w:rPr>
          <w:rFonts w:hint="default" w:ascii="仿宋_GB2312" w:eastAsia="仿宋_GB2312" w:cs="仿宋_GB2312"/>
          <w:kern w:val="0"/>
          <w:sz w:val="32"/>
          <w:szCs w:val="32"/>
          <w:lang w:val="en-US" w:eastAsia="zh-CN"/>
        </w:rPr>
      </w:pPr>
      <w:r>
        <w:rPr>
          <w:rFonts w:hint="eastAsia" w:ascii="仿宋_GB2312" w:eastAsia="仿宋_GB2312" w:cs="仿宋_GB2312"/>
          <w:kern w:val="0"/>
          <w:sz w:val="32"/>
          <w:szCs w:val="32"/>
        </w:rPr>
        <w:t>七、其他重要事项情况说明。</w:t>
      </w:r>
    </w:p>
    <w:p>
      <w:pPr>
        <w:autoSpaceDE w:val="0"/>
        <w:autoSpaceDN w:val="0"/>
        <w:adjustRightInd w:val="0"/>
        <w:ind w:firstLine="640" w:firstLineChars="200"/>
        <w:jc w:val="left"/>
        <w:rPr>
          <w:rFonts w:hint="default" w:ascii="黑体" w:hAnsi="黑体" w:eastAsia="黑体" w:cs="仿宋_GB2312"/>
          <w:kern w:val="0"/>
          <w:sz w:val="32"/>
          <w:szCs w:val="32"/>
          <w:lang w:val="en-US" w:eastAsia="zh-CN"/>
        </w:rPr>
      </w:pPr>
      <w:r>
        <w:rPr>
          <w:rFonts w:hint="eastAsia" w:ascii="黑体" w:hAnsi="黑体" w:eastAsia="黑体" w:cs="仿宋_GB2312"/>
          <w:kern w:val="0"/>
          <w:sz w:val="32"/>
          <w:szCs w:val="32"/>
        </w:rPr>
        <w:t>第四部分：名词解释</w:t>
      </w:r>
    </w:p>
    <w:p>
      <w:pPr>
        <w:jc w:val="center"/>
        <w:rPr>
          <w:rFonts w:hint="eastAsia" w:ascii="仿宋_GB2312" w:eastAsia="仿宋_GB231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r>
        <w:rPr>
          <w:rFonts w:hint="eastAsia" w:ascii="黑体" w:hAnsi="黑体" w:eastAsia="黑体"/>
          <w:sz w:val="32"/>
          <w:szCs w:val="32"/>
        </w:rPr>
        <w:t>第一部分：</w:t>
      </w:r>
      <w:r>
        <w:rPr>
          <w:rFonts w:hint="eastAsia" w:ascii="黑体" w:hAnsi="黑体" w:eastAsia="黑体"/>
          <w:bCs/>
          <w:color w:val="000000"/>
          <w:sz w:val="32"/>
          <w:szCs w:val="32"/>
          <w:u w:val="none"/>
          <w:lang w:eastAsia="zh-CN"/>
        </w:rPr>
        <w:t>广西壮族自治区建材产品质量检验站</w:t>
      </w:r>
      <w:r>
        <w:rPr>
          <w:rFonts w:hint="eastAsia" w:ascii="黑体" w:hAnsi="黑体" w:eastAsia="黑体"/>
          <w:sz w:val="32"/>
          <w:szCs w:val="32"/>
        </w:rPr>
        <w:t>概况</w:t>
      </w:r>
    </w:p>
    <w:p>
      <w:pPr>
        <w:ind w:firstLine="640" w:firstLineChars="200"/>
        <w:jc w:val="left"/>
        <w:rPr>
          <w:rFonts w:hint="eastAsia" w:ascii="黑体" w:hAnsi="黑体" w:eastAsia="黑体"/>
          <w:bCs/>
          <w:color w:val="000000"/>
          <w:sz w:val="32"/>
          <w:szCs w:val="32"/>
          <w:u w:val="none"/>
          <w:lang w:eastAsia="zh-CN"/>
        </w:rPr>
      </w:pPr>
      <w:r>
        <w:rPr>
          <w:rFonts w:hint="eastAsia" w:ascii="黑体" w:hAnsi="黑体" w:eastAsia="黑体"/>
          <w:bCs/>
          <w:color w:val="000000"/>
          <w:sz w:val="32"/>
          <w:szCs w:val="32"/>
          <w:u w:val="none"/>
          <w:lang w:eastAsia="zh-CN"/>
        </w:rPr>
        <w:t>一、主要职能</w:t>
      </w:r>
    </w:p>
    <w:p>
      <w:pPr>
        <w:spacing w:line="360" w:lineRule="auto"/>
        <w:ind w:firstLine="640" w:firstLineChars="200"/>
        <w:rPr>
          <w:rFonts w:hint="eastAsia" w:ascii="仿宋_GB2312" w:eastAsia="仿宋_GB2312"/>
          <w:sz w:val="32"/>
          <w:szCs w:val="32"/>
        </w:rPr>
      </w:pPr>
      <w:r>
        <w:rPr>
          <w:rFonts w:hint="eastAsia" w:ascii="宋体" w:hAnsi="宋体" w:eastAsia="仿宋_GB2312"/>
          <w:sz w:val="32"/>
          <w:szCs w:val="32"/>
        </w:rPr>
        <w:t>广西壮族自治区建材产品质量检验站承担全区建材产品质量监督检验及建材生产企业的节能环保检测的技术性和事务性工作。</w:t>
      </w:r>
    </w:p>
    <w:p>
      <w:pPr>
        <w:ind w:firstLine="640" w:firstLineChars="200"/>
        <w:jc w:val="left"/>
        <w:rPr>
          <w:rFonts w:hint="eastAsia" w:ascii="黑体" w:hAnsi="黑体" w:eastAsia="黑体"/>
          <w:bCs/>
          <w:color w:val="000000"/>
          <w:sz w:val="32"/>
          <w:szCs w:val="32"/>
          <w:u w:val="none"/>
          <w:lang w:eastAsia="zh-CN"/>
        </w:rPr>
      </w:pPr>
      <w:r>
        <w:rPr>
          <w:rFonts w:hint="eastAsia" w:ascii="黑体" w:hAnsi="黑体" w:eastAsia="黑体"/>
          <w:bCs/>
          <w:color w:val="000000"/>
          <w:sz w:val="32"/>
          <w:szCs w:val="32"/>
          <w:u w:val="none"/>
          <w:lang w:eastAsia="zh-CN"/>
        </w:rPr>
        <w:t>二、部门决算单位构成</w:t>
      </w:r>
    </w:p>
    <w:p>
      <w:pPr>
        <w:ind w:firstLine="640" w:firstLineChars="200"/>
        <w:rPr>
          <w:rFonts w:hint="eastAsia" w:ascii="黑体" w:hAnsi="黑体" w:eastAsia="黑体"/>
          <w:sz w:val="32"/>
          <w:szCs w:val="32"/>
        </w:rPr>
      </w:pPr>
      <w:r>
        <w:rPr>
          <w:rFonts w:hint="eastAsia" w:ascii="宋体" w:hAnsi="宋体" w:eastAsia="仿宋_GB2312"/>
          <w:sz w:val="32"/>
          <w:szCs w:val="32"/>
        </w:rPr>
        <w:t>广西壮族自治区建材产品质量检验站</w:t>
      </w:r>
      <w:r>
        <w:rPr>
          <w:rFonts w:ascii="Calibri" w:hAnsi="Calibri" w:eastAsia="仿宋_GB2312" w:cs="Arial"/>
          <w:sz w:val="32"/>
          <w:szCs w:val="32"/>
        </w:rPr>
        <w:t>为</w:t>
      </w:r>
      <w:r>
        <w:rPr>
          <w:rFonts w:hint="eastAsia" w:ascii="仿宋_GB2312" w:hAnsi="宋体" w:eastAsia="仿宋_GB2312" w:cs="Arial"/>
          <w:color w:val="000000"/>
          <w:sz w:val="32"/>
          <w:szCs w:val="32"/>
        </w:rPr>
        <w:t>广西壮族自治区科学技术厅</w:t>
      </w:r>
      <w:r>
        <w:rPr>
          <w:rFonts w:ascii="Calibri" w:hAnsi="Calibri" w:eastAsia="仿宋_GB2312" w:cs="Arial"/>
          <w:sz w:val="32"/>
          <w:szCs w:val="32"/>
        </w:rPr>
        <w:t>所属</w:t>
      </w:r>
      <w:r>
        <w:rPr>
          <w:rFonts w:hint="eastAsia" w:ascii="仿宋_GB2312" w:hAnsi="宋体" w:eastAsia="仿宋_GB2312" w:cs="Arial"/>
          <w:color w:val="000000"/>
          <w:sz w:val="32"/>
          <w:szCs w:val="32"/>
        </w:rPr>
        <w:t>二级</w:t>
      </w:r>
      <w:r>
        <w:rPr>
          <w:rFonts w:ascii="Calibri" w:hAnsi="Calibri" w:eastAsia="仿宋_GB2312" w:cs="Arial"/>
          <w:sz w:val="32"/>
          <w:szCs w:val="32"/>
        </w:rPr>
        <w:t>预算单位,</w:t>
      </w:r>
      <w:r>
        <w:rPr>
          <w:rFonts w:hint="eastAsia" w:ascii="仿宋_GB2312" w:hAnsi="宋体" w:eastAsia="仿宋_GB2312" w:cs="Arial"/>
          <w:color w:val="000000"/>
          <w:sz w:val="32"/>
          <w:szCs w:val="32"/>
        </w:rPr>
        <w:t xml:space="preserve"> 单位性质为财政补助事业单位，决算编报类型为单户</w:t>
      </w:r>
      <w:r>
        <w:rPr>
          <w:rFonts w:ascii="Calibri" w:hAnsi="Calibri" w:eastAsia="仿宋_GB2312" w:cs="Arial"/>
          <w:sz w:val="32"/>
          <w:szCs w:val="32"/>
        </w:rPr>
        <w:t>,按照</w:t>
      </w:r>
      <w:r>
        <w:rPr>
          <w:rFonts w:hint="eastAsia" w:ascii="Calibri" w:hAnsi="Calibri" w:eastAsia="仿宋_GB2312" w:cs="Arial"/>
          <w:sz w:val="32"/>
          <w:szCs w:val="32"/>
        </w:rPr>
        <w:t>政府</w:t>
      </w:r>
      <w:r>
        <w:rPr>
          <w:rFonts w:ascii="Calibri" w:hAnsi="Calibri" w:eastAsia="仿宋_GB2312" w:cs="Arial"/>
          <w:sz w:val="32"/>
          <w:szCs w:val="32"/>
        </w:rPr>
        <w:t>会计制度填报决算数据。</w:t>
      </w:r>
    </w:p>
    <w:p>
      <w:pPr>
        <w:ind w:firstLine="645"/>
        <w:rPr>
          <w:rFonts w:hint="eastAsia" w:ascii="黑体" w:hAnsi="黑体" w:eastAsia="黑体"/>
          <w:sz w:val="32"/>
          <w:szCs w:val="32"/>
        </w:rPr>
      </w:pPr>
      <w:r>
        <w:rPr>
          <w:rFonts w:hint="eastAsia" w:ascii="黑体" w:hAnsi="黑体" w:eastAsia="黑体"/>
          <w:sz w:val="32"/>
          <w:szCs w:val="32"/>
        </w:rPr>
        <w:t>第二部分：</w:t>
      </w:r>
      <w:r>
        <w:rPr>
          <w:rFonts w:hint="eastAsia" w:ascii="黑体" w:hAnsi="黑体" w:eastAsia="黑体"/>
          <w:bCs/>
          <w:color w:val="000000"/>
          <w:sz w:val="32"/>
          <w:szCs w:val="32"/>
          <w:u w:val="none"/>
          <w:lang w:eastAsia="zh-CN"/>
        </w:rPr>
        <w:t>广西壮族自治区建材产品质量检验站</w:t>
      </w:r>
      <w:r>
        <w:rPr>
          <w:rFonts w:hint="eastAsia" w:ascii="黑体" w:hAnsi="黑体" w:eastAsia="黑体"/>
          <w:sz w:val="32"/>
          <w:szCs w:val="32"/>
        </w:rPr>
        <w:t>2020年度部门决算报表</w:t>
      </w:r>
    </w:p>
    <w:p>
      <w:pPr>
        <w:ind w:left="645"/>
        <w:rPr>
          <w:rFonts w:hint="eastAsia" w:ascii="仿宋_GB2312" w:eastAsia="仿宋_GB2312"/>
          <w:sz w:val="32"/>
          <w:szCs w:val="32"/>
        </w:rPr>
      </w:pPr>
    </w:p>
    <w:p>
      <w:pPr>
        <w:ind w:left="645"/>
        <w:rPr>
          <w:rFonts w:hint="eastAsia" w:ascii="仿宋_GB2312" w:eastAsia="仿宋_GB2312"/>
          <w:sz w:val="32"/>
          <w:szCs w:val="32"/>
        </w:rPr>
      </w:pPr>
      <w:r>
        <w:rPr>
          <w:rFonts w:hint="eastAsia" w:ascii="仿宋_GB2312" w:eastAsia="仿宋_GB2312"/>
          <w:sz w:val="32"/>
          <w:szCs w:val="32"/>
        </w:rPr>
        <w:t>表一：收入支出决算总表</w:t>
      </w:r>
    </w:p>
    <w:tbl>
      <w:tblPr>
        <w:tblStyle w:val="4"/>
        <w:tblW w:w="8435" w:type="dxa"/>
        <w:tblInd w:w="93" w:type="dxa"/>
        <w:tblLayout w:type="fixed"/>
        <w:tblCellMar>
          <w:top w:w="0" w:type="dxa"/>
          <w:left w:w="108" w:type="dxa"/>
          <w:bottom w:w="0" w:type="dxa"/>
          <w:right w:w="108" w:type="dxa"/>
        </w:tblCellMar>
      </w:tblPr>
      <w:tblGrid>
        <w:gridCol w:w="2184"/>
        <w:gridCol w:w="356"/>
        <w:gridCol w:w="900"/>
        <w:gridCol w:w="3113"/>
        <w:gridCol w:w="938"/>
        <w:gridCol w:w="944"/>
      </w:tblGrid>
      <w:tr>
        <w:tblPrEx>
          <w:tblCellMar>
            <w:top w:w="0" w:type="dxa"/>
            <w:left w:w="108" w:type="dxa"/>
            <w:bottom w:w="0" w:type="dxa"/>
            <w:right w:w="108" w:type="dxa"/>
          </w:tblCellMar>
        </w:tblPrEx>
        <w:trPr>
          <w:trHeight w:val="390" w:hRule="atLeast"/>
        </w:trPr>
        <w:tc>
          <w:tcPr>
            <w:tcW w:w="8435" w:type="dxa"/>
            <w:gridSpan w:val="6"/>
            <w:tcBorders>
              <w:top w:val="nil"/>
              <w:left w:val="nil"/>
              <w:bottom w:val="nil"/>
              <w:right w:val="nil"/>
            </w:tcBorders>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CellMar>
            <w:top w:w="0" w:type="dxa"/>
            <w:left w:w="108" w:type="dxa"/>
            <w:bottom w:w="0" w:type="dxa"/>
            <w:right w:w="108" w:type="dxa"/>
          </w:tblCellMar>
        </w:tblPrEx>
        <w:trPr>
          <w:trHeight w:val="255" w:hRule="atLeast"/>
        </w:trPr>
        <w:tc>
          <w:tcPr>
            <w:tcW w:w="218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5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995"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CellMar>
            <w:top w:w="0" w:type="dxa"/>
            <w:left w:w="108" w:type="dxa"/>
            <w:bottom w:w="0" w:type="dxa"/>
            <w:right w:w="108" w:type="dxa"/>
          </w:tblCellMar>
        </w:tblPrEx>
        <w:trPr>
          <w:trHeight w:val="255" w:hRule="atLeast"/>
        </w:trPr>
        <w:tc>
          <w:tcPr>
            <w:tcW w:w="3440" w:type="dxa"/>
            <w:gridSpan w:val="3"/>
            <w:tcBorders>
              <w:top w:val="nil"/>
              <w:left w:val="nil"/>
              <w:bottom w:val="nil"/>
              <w:right w:val="nil"/>
            </w:tcBorders>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部门：广西壮族自治区建材产品质量检验站</w:t>
            </w:r>
          </w:p>
        </w:tc>
        <w:tc>
          <w:tcPr>
            <w:tcW w:w="4995"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CellMar>
            <w:top w:w="0" w:type="dxa"/>
            <w:left w:w="108" w:type="dxa"/>
            <w:bottom w:w="0" w:type="dxa"/>
            <w:right w:w="108" w:type="dxa"/>
          </w:tblCellMar>
        </w:tblPrEx>
        <w:trPr>
          <w:trHeight w:val="308" w:hRule="atLeast"/>
        </w:trPr>
        <w:tc>
          <w:tcPr>
            <w:tcW w:w="3440"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收入</w:t>
            </w:r>
          </w:p>
        </w:tc>
        <w:tc>
          <w:tcPr>
            <w:tcW w:w="4995" w:type="dxa"/>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支出</w:t>
            </w:r>
          </w:p>
        </w:tc>
      </w:tr>
      <w:tr>
        <w:tblPrEx>
          <w:tblCellMar>
            <w:top w:w="0" w:type="dxa"/>
            <w:left w:w="108" w:type="dxa"/>
            <w:bottom w:w="0" w:type="dxa"/>
            <w:right w:w="108" w:type="dxa"/>
          </w:tblCellMar>
        </w:tblPrEx>
        <w:trPr>
          <w:trHeight w:val="308" w:hRule="atLeast"/>
        </w:trPr>
        <w:tc>
          <w:tcPr>
            <w:tcW w:w="218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项目</w:t>
            </w:r>
          </w:p>
        </w:tc>
        <w:tc>
          <w:tcPr>
            <w:tcW w:w="3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行次</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金额</w:t>
            </w:r>
          </w:p>
        </w:tc>
        <w:tc>
          <w:tcPr>
            <w:tcW w:w="31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项目</w:t>
            </w:r>
          </w:p>
        </w:tc>
        <w:tc>
          <w:tcPr>
            <w:tcW w:w="9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行次</w:t>
            </w:r>
          </w:p>
        </w:tc>
        <w:tc>
          <w:tcPr>
            <w:tcW w:w="9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金额</w:t>
            </w:r>
          </w:p>
        </w:tc>
      </w:tr>
      <w:tr>
        <w:tblPrEx>
          <w:tblCellMar>
            <w:top w:w="0" w:type="dxa"/>
            <w:left w:w="108" w:type="dxa"/>
            <w:bottom w:w="0" w:type="dxa"/>
            <w:right w:w="108" w:type="dxa"/>
          </w:tblCellMar>
        </w:tblPrEx>
        <w:trPr>
          <w:trHeight w:val="308" w:hRule="atLeast"/>
        </w:trPr>
        <w:tc>
          <w:tcPr>
            <w:tcW w:w="218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栏次</w:t>
            </w:r>
          </w:p>
        </w:tc>
        <w:tc>
          <w:tcPr>
            <w:tcW w:w="356"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auto"/>
                <w:sz w:val="22"/>
                <w:szCs w:val="22"/>
                <w:u w:val="none"/>
                <w:shd w:val="clear" w:color="auto" w:fill="auto"/>
              </w:rPr>
            </w:pP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1</w:t>
            </w:r>
          </w:p>
        </w:tc>
        <w:tc>
          <w:tcPr>
            <w:tcW w:w="31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栏次</w:t>
            </w:r>
          </w:p>
        </w:tc>
        <w:tc>
          <w:tcPr>
            <w:tcW w:w="938"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auto"/>
                <w:sz w:val="22"/>
                <w:szCs w:val="22"/>
                <w:u w:val="none"/>
                <w:shd w:val="clear" w:color="auto" w:fill="auto"/>
              </w:rPr>
            </w:pPr>
          </w:p>
        </w:tc>
        <w:tc>
          <w:tcPr>
            <w:tcW w:w="9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2</w:t>
            </w:r>
          </w:p>
        </w:tc>
      </w:tr>
      <w:tr>
        <w:tblPrEx>
          <w:tblCellMar>
            <w:top w:w="0" w:type="dxa"/>
            <w:left w:w="108" w:type="dxa"/>
            <w:bottom w:w="0" w:type="dxa"/>
            <w:right w:w="108" w:type="dxa"/>
          </w:tblCellMar>
        </w:tblPrEx>
        <w:trPr>
          <w:trHeight w:val="308" w:hRule="atLeast"/>
        </w:trPr>
        <w:tc>
          <w:tcPr>
            <w:tcW w:w="218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一、一般公共预算财政拨款收入</w:t>
            </w:r>
          </w:p>
        </w:tc>
        <w:tc>
          <w:tcPr>
            <w:tcW w:w="3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1</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237.61</w:t>
            </w:r>
          </w:p>
        </w:tc>
        <w:tc>
          <w:tcPr>
            <w:tcW w:w="31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一、一般公共服务支出</w:t>
            </w:r>
          </w:p>
        </w:tc>
        <w:tc>
          <w:tcPr>
            <w:tcW w:w="9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32</w:t>
            </w:r>
          </w:p>
        </w:tc>
        <w:tc>
          <w:tcPr>
            <w:tcW w:w="9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0.00</w:t>
            </w:r>
          </w:p>
        </w:tc>
      </w:tr>
      <w:tr>
        <w:tblPrEx>
          <w:tblCellMar>
            <w:top w:w="0" w:type="dxa"/>
            <w:left w:w="108" w:type="dxa"/>
            <w:bottom w:w="0" w:type="dxa"/>
            <w:right w:w="108" w:type="dxa"/>
          </w:tblCellMar>
        </w:tblPrEx>
        <w:trPr>
          <w:trHeight w:val="308" w:hRule="atLeast"/>
        </w:trPr>
        <w:tc>
          <w:tcPr>
            <w:tcW w:w="218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二、政府性基金预算财政拨款收入</w:t>
            </w:r>
          </w:p>
        </w:tc>
        <w:tc>
          <w:tcPr>
            <w:tcW w:w="3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2</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0.00</w:t>
            </w:r>
          </w:p>
        </w:tc>
        <w:tc>
          <w:tcPr>
            <w:tcW w:w="31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二、外交支出</w:t>
            </w:r>
          </w:p>
        </w:tc>
        <w:tc>
          <w:tcPr>
            <w:tcW w:w="9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33</w:t>
            </w:r>
          </w:p>
        </w:tc>
        <w:tc>
          <w:tcPr>
            <w:tcW w:w="9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0.00</w:t>
            </w:r>
          </w:p>
        </w:tc>
      </w:tr>
      <w:tr>
        <w:tblPrEx>
          <w:tblCellMar>
            <w:top w:w="0" w:type="dxa"/>
            <w:left w:w="108" w:type="dxa"/>
            <w:bottom w:w="0" w:type="dxa"/>
            <w:right w:w="108" w:type="dxa"/>
          </w:tblCellMar>
        </w:tblPrEx>
        <w:trPr>
          <w:trHeight w:val="308" w:hRule="atLeast"/>
        </w:trPr>
        <w:tc>
          <w:tcPr>
            <w:tcW w:w="218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三、国有资本经营预算财政拨款收入</w:t>
            </w:r>
          </w:p>
        </w:tc>
        <w:tc>
          <w:tcPr>
            <w:tcW w:w="3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3</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0.00</w:t>
            </w:r>
          </w:p>
        </w:tc>
        <w:tc>
          <w:tcPr>
            <w:tcW w:w="31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三、国防支出</w:t>
            </w:r>
          </w:p>
        </w:tc>
        <w:tc>
          <w:tcPr>
            <w:tcW w:w="9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34</w:t>
            </w:r>
          </w:p>
        </w:tc>
        <w:tc>
          <w:tcPr>
            <w:tcW w:w="9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0.00</w:t>
            </w:r>
          </w:p>
        </w:tc>
      </w:tr>
      <w:tr>
        <w:tblPrEx>
          <w:tblCellMar>
            <w:top w:w="0" w:type="dxa"/>
            <w:left w:w="108" w:type="dxa"/>
            <w:bottom w:w="0" w:type="dxa"/>
            <w:right w:w="108" w:type="dxa"/>
          </w:tblCellMar>
        </w:tblPrEx>
        <w:trPr>
          <w:trHeight w:val="308" w:hRule="atLeast"/>
        </w:trPr>
        <w:tc>
          <w:tcPr>
            <w:tcW w:w="218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四、上级补助收入</w:t>
            </w:r>
          </w:p>
        </w:tc>
        <w:tc>
          <w:tcPr>
            <w:tcW w:w="3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4</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0.00</w:t>
            </w:r>
          </w:p>
        </w:tc>
        <w:tc>
          <w:tcPr>
            <w:tcW w:w="31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四、公共安全支出</w:t>
            </w:r>
          </w:p>
        </w:tc>
        <w:tc>
          <w:tcPr>
            <w:tcW w:w="9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35</w:t>
            </w:r>
          </w:p>
        </w:tc>
        <w:tc>
          <w:tcPr>
            <w:tcW w:w="9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0.00</w:t>
            </w:r>
          </w:p>
        </w:tc>
      </w:tr>
      <w:tr>
        <w:tblPrEx>
          <w:tblCellMar>
            <w:top w:w="0" w:type="dxa"/>
            <w:left w:w="108" w:type="dxa"/>
            <w:bottom w:w="0" w:type="dxa"/>
            <w:right w:w="108" w:type="dxa"/>
          </w:tblCellMar>
        </w:tblPrEx>
        <w:trPr>
          <w:trHeight w:val="308" w:hRule="atLeast"/>
        </w:trPr>
        <w:tc>
          <w:tcPr>
            <w:tcW w:w="218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五、事业收入</w:t>
            </w:r>
          </w:p>
        </w:tc>
        <w:tc>
          <w:tcPr>
            <w:tcW w:w="3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5</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500.00</w:t>
            </w:r>
          </w:p>
        </w:tc>
        <w:tc>
          <w:tcPr>
            <w:tcW w:w="31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五、教育支出</w:t>
            </w:r>
          </w:p>
        </w:tc>
        <w:tc>
          <w:tcPr>
            <w:tcW w:w="9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36</w:t>
            </w:r>
          </w:p>
        </w:tc>
        <w:tc>
          <w:tcPr>
            <w:tcW w:w="9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0.00</w:t>
            </w:r>
          </w:p>
        </w:tc>
      </w:tr>
      <w:tr>
        <w:tblPrEx>
          <w:tblCellMar>
            <w:top w:w="0" w:type="dxa"/>
            <w:left w:w="108" w:type="dxa"/>
            <w:bottom w:w="0" w:type="dxa"/>
            <w:right w:w="108" w:type="dxa"/>
          </w:tblCellMar>
        </w:tblPrEx>
        <w:trPr>
          <w:trHeight w:val="308" w:hRule="atLeast"/>
        </w:trPr>
        <w:tc>
          <w:tcPr>
            <w:tcW w:w="218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六、经营收入</w:t>
            </w:r>
          </w:p>
        </w:tc>
        <w:tc>
          <w:tcPr>
            <w:tcW w:w="3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6</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0.00</w:t>
            </w:r>
          </w:p>
        </w:tc>
        <w:tc>
          <w:tcPr>
            <w:tcW w:w="31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六、科学技术支出</w:t>
            </w:r>
          </w:p>
        </w:tc>
        <w:tc>
          <w:tcPr>
            <w:tcW w:w="9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37</w:t>
            </w:r>
          </w:p>
        </w:tc>
        <w:tc>
          <w:tcPr>
            <w:tcW w:w="9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721.49</w:t>
            </w:r>
          </w:p>
        </w:tc>
      </w:tr>
      <w:tr>
        <w:tblPrEx>
          <w:tblCellMar>
            <w:top w:w="0" w:type="dxa"/>
            <w:left w:w="108" w:type="dxa"/>
            <w:bottom w:w="0" w:type="dxa"/>
            <w:right w:w="108" w:type="dxa"/>
          </w:tblCellMar>
        </w:tblPrEx>
        <w:trPr>
          <w:trHeight w:val="308" w:hRule="atLeast"/>
        </w:trPr>
        <w:tc>
          <w:tcPr>
            <w:tcW w:w="218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七、附属单位上缴收入</w:t>
            </w:r>
          </w:p>
        </w:tc>
        <w:tc>
          <w:tcPr>
            <w:tcW w:w="3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7</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0.00</w:t>
            </w:r>
          </w:p>
        </w:tc>
        <w:tc>
          <w:tcPr>
            <w:tcW w:w="31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七、文化旅游体育与传媒支出</w:t>
            </w:r>
          </w:p>
        </w:tc>
        <w:tc>
          <w:tcPr>
            <w:tcW w:w="9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38</w:t>
            </w:r>
          </w:p>
        </w:tc>
        <w:tc>
          <w:tcPr>
            <w:tcW w:w="9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0.00</w:t>
            </w:r>
          </w:p>
        </w:tc>
      </w:tr>
      <w:tr>
        <w:tblPrEx>
          <w:tblCellMar>
            <w:top w:w="0" w:type="dxa"/>
            <w:left w:w="108" w:type="dxa"/>
            <w:bottom w:w="0" w:type="dxa"/>
            <w:right w:w="108" w:type="dxa"/>
          </w:tblCellMar>
        </w:tblPrEx>
        <w:trPr>
          <w:trHeight w:val="308" w:hRule="atLeast"/>
        </w:trPr>
        <w:tc>
          <w:tcPr>
            <w:tcW w:w="218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八、其他收入</w:t>
            </w:r>
          </w:p>
        </w:tc>
        <w:tc>
          <w:tcPr>
            <w:tcW w:w="3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8</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0.00</w:t>
            </w:r>
          </w:p>
        </w:tc>
        <w:tc>
          <w:tcPr>
            <w:tcW w:w="31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八、社会保障和就业支出</w:t>
            </w:r>
          </w:p>
        </w:tc>
        <w:tc>
          <w:tcPr>
            <w:tcW w:w="9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39</w:t>
            </w:r>
          </w:p>
        </w:tc>
        <w:tc>
          <w:tcPr>
            <w:tcW w:w="9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23.86</w:t>
            </w:r>
          </w:p>
        </w:tc>
      </w:tr>
      <w:tr>
        <w:tblPrEx>
          <w:tblCellMar>
            <w:top w:w="0" w:type="dxa"/>
            <w:left w:w="108" w:type="dxa"/>
            <w:bottom w:w="0" w:type="dxa"/>
            <w:right w:w="108" w:type="dxa"/>
          </w:tblCellMar>
        </w:tblPrEx>
        <w:trPr>
          <w:trHeight w:val="308" w:hRule="atLeast"/>
        </w:trPr>
        <w:tc>
          <w:tcPr>
            <w:tcW w:w="218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shd w:val="clear" w:color="auto" w:fill="auto"/>
              </w:rPr>
            </w:pPr>
          </w:p>
        </w:tc>
        <w:tc>
          <w:tcPr>
            <w:tcW w:w="3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9</w:t>
            </w:r>
          </w:p>
        </w:tc>
        <w:tc>
          <w:tcPr>
            <w:tcW w:w="9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shd w:val="clear" w:color="auto" w:fill="auto"/>
              </w:rPr>
            </w:pPr>
          </w:p>
        </w:tc>
        <w:tc>
          <w:tcPr>
            <w:tcW w:w="31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九、卫生健康支出</w:t>
            </w:r>
          </w:p>
        </w:tc>
        <w:tc>
          <w:tcPr>
            <w:tcW w:w="9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40</w:t>
            </w:r>
          </w:p>
        </w:tc>
        <w:tc>
          <w:tcPr>
            <w:tcW w:w="9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8.67</w:t>
            </w:r>
          </w:p>
        </w:tc>
      </w:tr>
      <w:tr>
        <w:tblPrEx>
          <w:tblCellMar>
            <w:top w:w="0" w:type="dxa"/>
            <w:left w:w="108" w:type="dxa"/>
            <w:bottom w:w="0" w:type="dxa"/>
            <w:right w:w="108" w:type="dxa"/>
          </w:tblCellMar>
        </w:tblPrEx>
        <w:trPr>
          <w:trHeight w:val="308" w:hRule="atLeast"/>
        </w:trPr>
        <w:tc>
          <w:tcPr>
            <w:tcW w:w="218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shd w:val="clear" w:color="auto" w:fill="auto"/>
              </w:rPr>
            </w:pPr>
          </w:p>
        </w:tc>
        <w:tc>
          <w:tcPr>
            <w:tcW w:w="3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10</w:t>
            </w:r>
          </w:p>
        </w:tc>
        <w:tc>
          <w:tcPr>
            <w:tcW w:w="9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shd w:val="clear" w:color="auto" w:fill="auto"/>
              </w:rPr>
            </w:pPr>
          </w:p>
        </w:tc>
        <w:tc>
          <w:tcPr>
            <w:tcW w:w="31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十、节能环保支出</w:t>
            </w:r>
          </w:p>
        </w:tc>
        <w:tc>
          <w:tcPr>
            <w:tcW w:w="9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41</w:t>
            </w:r>
          </w:p>
        </w:tc>
        <w:tc>
          <w:tcPr>
            <w:tcW w:w="9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0.00</w:t>
            </w:r>
          </w:p>
        </w:tc>
      </w:tr>
      <w:tr>
        <w:tblPrEx>
          <w:tblCellMar>
            <w:top w:w="0" w:type="dxa"/>
            <w:left w:w="108" w:type="dxa"/>
            <w:bottom w:w="0" w:type="dxa"/>
            <w:right w:w="108" w:type="dxa"/>
          </w:tblCellMar>
        </w:tblPrEx>
        <w:trPr>
          <w:trHeight w:val="308" w:hRule="atLeast"/>
        </w:trPr>
        <w:tc>
          <w:tcPr>
            <w:tcW w:w="218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shd w:val="clear" w:color="auto" w:fill="auto"/>
              </w:rPr>
            </w:pPr>
          </w:p>
        </w:tc>
        <w:tc>
          <w:tcPr>
            <w:tcW w:w="3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11</w:t>
            </w:r>
          </w:p>
        </w:tc>
        <w:tc>
          <w:tcPr>
            <w:tcW w:w="9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shd w:val="clear" w:color="auto" w:fill="auto"/>
              </w:rPr>
            </w:pPr>
          </w:p>
        </w:tc>
        <w:tc>
          <w:tcPr>
            <w:tcW w:w="31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十一、城乡社区支出</w:t>
            </w:r>
          </w:p>
        </w:tc>
        <w:tc>
          <w:tcPr>
            <w:tcW w:w="9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42</w:t>
            </w:r>
          </w:p>
        </w:tc>
        <w:tc>
          <w:tcPr>
            <w:tcW w:w="9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0.00</w:t>
            </w:r>
          </w:p>
        </w:tc>
      </w:tr>
      <w:tr>
        <w:tblPrEx>
          <w:tblCellMar>
            <w:top w:w="0" w:type="dxa"/>
            <w:left w:w="108" w:type="dxa"/>
            <w:bottom w:w="0" w:type="dxa"/>
            <w:right w:w="108" w:type="dxa"/>
          </w:tblCellMar>
        </w:tblPrEx>
        <w:trPr>
          <w:trHeight w:val="308" w:hRule="atLeast"/>
        </w:trPr>
        <w:tc>
          <w:tcPr>
            <w:tcW w:w="218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shd w:val="clear" w:color="auto" w:fill="auto"/>
              </w:rPr>
            </w:pPr>
          </w:p>
        </w:tc>
        <w:tc>
          <w:tcPr>
            <w:tcW w:w="3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12</w:t>
            </w:r>
          </w:p>
        </w:tc>
        <w:tc>
          <w:tcPr>
            <w:tcW w:w="9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shd w:val="clear" w:color="auto" w:fill="auto"/>
              </w:rPr>
            </w:pPr>
          </w:p>
        </w:tc>
        <w:tc>
          <w:tcPr>
            <w:tcW w:w="31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十二、农林水支出</w:t>
            </w:r>
          </w:p>
        </w:tc>
        <w:tc>
          <w:tcPr>
            <w:tcW w:w="9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43</w:t>
            </w:r>
          </w:p>
        </w:tc>
        <w:tc>
          <w:tcPr>
            <w:tcW w:w="9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0.00</w:t>
            </w:r>
          </w:p>
        </w:tc>
      </w:tr>
      <w:tr>
        <w:tblPrEx>
          <w:tblCellMar>
            <w:top w:w="0" w:type="dxa"/>
            <w:left w:w="108" w:type="dxa"/>
            <w:bottom w:w="0" w:type="dxa"/>
            <w:right w:w="108" w:type="dxa"/>
          </w:tblCellMar>
        </w:tblPrEx>
        <w:trPr>
          <w:trHeight w:val="308" w:hRule="atLeast"/>
        </w:trPr>
        <w:tc>
          <w:tcPr>
            <w:tcW w:w="218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shd w:val="clear" w:color="auto" w:fill="auto"/>
              </w:rPr>
            </w:pPr>
          </w:p>
        </w:tc>
        <w:tc>
          <w:tcPr>
            <w:tcW w:w="3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13</w:t>
            </w:r>
          </w:p>
        </w:tc>
        <w:tc>
          <w:tcPr>
            <w:tcW w:w="9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shd w:val="clear" w:color="auto" w:fill="auto"/>
              </w:rPr>
            </w:pPr>
          </w:p>
        </w:tc>
        <w:tc>
          <w:tcPr>
            <w:tcW w:w="31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十三、交通运输支出</w:t>
            </w:r>
          </w:p>
        </w:tc>
        <w:tc>
          <w:tcPr>
            <w:tcW w:w="9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44</w:t>
            </w:r>
          </w:p>
        </w:tc>
        <w:tc>
          <w:tcPr>
            <w:tcW w:w="9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0.00</w:t>
            </w:r>
          </w:p>
        </w:tc>
      </w:tr>
      <w:tr>
        <w:tblPrEx>
          <w:tblCellMar>
            <w:top w:w="0" w:type="dxa"/>
            <w:left w:w="108" w:type="dxa"/>
            <w:bottom w:w="0" w:type="dxa"/>
            <w:right w:w="108" w:type="dxa"/>
          </w:tblCellMar>
        </w:tblPrEx>
        <w:trPr>
          <w:trHeight w:val="308" w:hRule="atLeast"/>
        </w:trPr>
        <w:tc>
          <w:tcPr>
            <w:tcW w:w="218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shd w:val="clear" w:color="auto" w:fill="auto"/>
              </w:rPr>
            </w:pPr>
          </w:p>
        </w:tc>
        <w:tc>
          <w:tcPr>
            <w:tcW w:w="3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14</w:t>
            </w:r>
          </w:p>
        </w:tc>
        <w:tc>
          <w:tcPr>
            <w:tcW w:w="9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shd w:val="clear" w:color="auto" w:fill="auto"/>
              </w:rPr>
            </w:pPr>
          </w:p>
        </w:tc>
        <w:tc>
          <w:tcPr>
            <w:tcW w:w="31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十四、资源勘探工业信息等支出</w:t>
            </w:r>
          </w:p>
        </w:tc>
        <w:tc>
          <w:tcPr>
            <w:tcW w:w="9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45</w:t>
            </w:r>
          </w:p>
        </w:tc>
        <w:tc>
          <w:tcPr>
            <w:tcW w:w="9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0.00</w:t>
            </w:r>
          </w:p>
        </w:tc>
      </w:tr>
      <w:tr>
        <w:tblPrEx>
          <w:tblCellMar>
            <w:top w:w="0" w:type="dxa"/>
            <w:left w:w="108" w:type="dxa"/>
            <w:bottom w:w="0" w:type="dxa"/>
            <w:right w:w="108" w:type="dxa"/>
          </w:tblCellMar>
        </w:tblPrEx>
        <w:trPr>
          <w:trHeight w:val="308" w:hRule="atLeast"/>
        </w:trPr>
        <w:tc>
          <w:tcPr>
            <w:tcW w:w="218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shd w:val="clear" w:color="auto" w:fill="auto"/>
              </w:rPr>
            </w:pPr>
          </w:p>
        </w:tc>
        <w:tc>
          <w:tcPr>
            <w:tcW w:w="3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15</w:t>
            </w:r>
          </w:p>
        </w:tc>
        <w:tc>
          <w:tcPr>
            <w:tcW w:w="9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shd w:val="clear" w:color="auto" w:fill="auto"/>
              </w:rPr>
            </w:pPr>
          </w:p>
        </w:tc>
        <w:tc>
          <w:tcPr>
            <w:tcW w:w="31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十五、商业服务业等支出</w:t>
            </w:r>
          </w:p>
        </w:tc>
        <w:tc>
          <w:tcPr>
            <w:tcW w:w="9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46</w:t>
            </w:r>
          </w:p>
        </w:tc>
        <w:tc>
          <w:tcPr>
            <w:tcW w:w="9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0.00</w:t>
            </w:r>
          </w:p>
        </w:tc>
      </w:tr>
      <w:tr>
        <w:tblPrEx>
          <w:tblCellMar>
            <w:top w:w="0" w:type="dxa"/>
            <w:left w:w="108" w:type="dxa"/>
            <w:bottom w:w="0" w:type="dxa"/>
            <w:right w:w="108" w:type="dxa"/>
          </w:tblCellMar>
        </w:tblPrEx>
        <w:trPr>
          <w:trHeight w:val="308" w:hRule="atLeast"/>
        </w:trPr>
        <w:tc>
          <w:tcPr>
            <w:tcW w:w="218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shd w:val="clear" w:color="auto" w:fill="auto"/>
              </w:rPr>
            </w:pPr>
          </w:p>
        </w:tc>
        <w:tc>
          <w:tcPr>
            <w:tcW w:w="3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16</w:t>
            </w:r>
          </w:p>
        </w:tc>
        <w:tc>
          <w:tcPr>
            <w:tcW w:w="9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shd w:val="clear" w:color="auto" w:fill="auto"/>
              </w:rPr>
            </w:pPr>
          </w:p>
        </w:tc>
        <w:tc>
          <w:tcPr>
            <w:tcW w:w="31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十六、金融支出</w:t>
            </w:r>
          </w:p>
        </w:tc>
        <w:tc>
          <w:tcPr>
            <w:tcW w:w="9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47</w:t>
            </w:r>
          </w:p>
        </w:tc>
        <w:tc>
          <w:tcPr>
            <w:tcW w:w="9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0.00</w:t>
            </w:r>
          </w:p>
        </w:tc>
      </w:tr>
      <w:tr>
        <w:tblPrEx>
          <w:tblCellMar>
            <w:top w:w="0" w:type="dxa"/>
            <w:left w:w="108" w:type="dxa"/>
            <w:bottom w:w="0" w:type="dxa"/>
            <w:right w:w="108" w:type="dxa"/>
          </w:tblCellMar>
        </w:tblPrEx>
        <w:trPr>
          <w:trHeight w:val="308" w:hRule="atLeast"/>
        </w:trPr>
        <w:tc>
          <w:tcPr>
            <w:tcW w:w="218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shd w:val="clear" w:color="auto" w:fill="auto"/>
              </w:rPr>
            </w:pPr>
          </w:p>
        </w:tc>
        <w:tc>
          <w:tcPr>
            <w:tcW w:w="3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17</w:t>
            </w:r>
          </w:p>
        </w:tc>
        <w:tc>
          <w:tcPr>
            <w:tcW w:w="9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shd w:val="clear" w:color="auto" w:fill="auto"/>
              </w:rPr>
            </w:pPr>
          </w:p>
        </w:tc>
        <w:tc>
          <w:tcPr>
            <w:tcW w:w="31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十七、援助其他地区支出</w:t>
            </w:r>
          </w:p>
        </w:tc>
        <w:tc>
          <w:tcPr>
            <w:tcW w:w="9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48</w:t>
            </w:r>
          </w:p>
        </w:tc>
        <w:tc>
          <w:tcPr>
            <w:tcW w:w="9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0.00</w:t>
            </w:r>
          </w:p>
        </w:tc>
      </w:tr>
      <w:tr>
        <w:tblPrEx>
          <w:tblCellMar>
            <w:top w:w="0" w:type="dxa"/>
            <w:left w:w="108" w:type="dxa"/>
            <w:bottom w:w="0" w:type="dxa"/>
            <w:right w:w="108" w:type="dxa"/>
          </w:tblCellMar>
        </w:tblPrEx>
        <w:trPr>
          <w:trHeight w:val="308" w:hRule="atLeast"/>
        </w:trPr>
        <w:tc>
          <w:tcPr>
            <w:tcW w:w="218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shd w:val="clear" w:color="auto" w:fill="auto"/>
              </w:rPr>
            </w:pPr>
          </w:p>
        </w:tc>
        <w:tc>
          <w:tcPr>
            <w:tcW w:w="3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18</w:t>
            </w:r>
          </w:p>
        </w:tc>
        <w:tc>
          <w:tcPr>
            <w:tcW w:w="9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shd w:val="clear" w:color="auto" w:fill="auto"/>
              </w:rPr>
            </w:pPr>
          </w:p>
        </w:tc>
        <w:tc>
          <w:tcPr>
            <w:tcW w:w="31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十八、自然资源海洋气象等支出</w:t>
            </w:r>
          </w:p>
        </w:tc>
        <w:tc>
          <w:tcPr>
            <w:tcW w:w="9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49</w:t>
            </w:r>
          </w:p>
        </w:tc>
        <w:tc>
          <w:tcPr>
            <w:tcW w:w="9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0.00</w:t>
            </w:r>
          </w:p>
        </w:tc>
      </w:tr>
      <w:tr>
        <w:tblPrEx>
          <w:tblCellMar>
            <w:top w:w="0" w:type="dxa"/>
            <w:left w:w="108" w:type="dxa"/>
            <w:bottom w:w="0" w:type="dxa"/>
            <w:right w:w="108" w:type="dxa"/>
          </w:tblCellMar>
        </w:tblPrEx>
        <w:trPr>
          <w:trHeight w:val="308" w:hRule="atLeast"/>
        </w:trPr>
        <w:tc>
          <w:tcPr>
            <w:tcW w:w="218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shd w:val="clear" w:color="auto" w:fill="auto"/>
              </w:rPr>
            </w:pPr>
          </w:p>
        </w:tc>
        <w:tc>
          <w:tcPr>
            <w:tcW w:w="3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19</w:t>
            </w:r>
          </w:p>
        </w:tc>
        <w:tc>
          <w:tcPr>
            <w:tcW w:w="9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shd w:val="clear" w:color="auto" w:fill="auto"/>
              </w:rPr>
            </w:pPr>
          </w:p>
        </w:tc>
        <w:tc>
          <w:tcPr>
            <w:tcW w:w="31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十九、住房保障支出</w:t>
            </w:r>
          </w:p>
        </w:tc>
        <w:tc>
          <w:tcPr>
            <w:tcW w:w="9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50</w:t>
            </w:r>
          </w:p>
        </w:tc>
        <w:tc>
          <w:tcPr>
            <w:tcW w:w="9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14.85</w:t>
            </w:r>
          </w:p>
        </w:tc>
      </w:tr>
      <w:tr>
        <w:tblPrEx>
          <w:tblCellMar>
            <w:top w:w="0" w:type="dxa"/>
            <w:left w:w="108" w:type="dxa"/>
            <w:bottom w:w="0" w:type="dxa"/>
            <w:right w:w="108" w:type="dxa"/>
          </w:tblCellMar>
        </w:tblPrEx>
        <w:trPr>
          <w:trHeight w:val="308" w:hRule="atLeast"/>
        </w:trPr>
        <w:tc>
          <w:tcPr>
            <w:tcW w:w="218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shd w:val="clear" w:color="auto" w:fill="auto"/>
              </w:rPr>
            </w:pPr>
          </w:p>
        </w:tc>
        <w:tc>
          <w:tcPr>
            <w:tcW w:w="3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20</w:t>
            </w:r>
          </w:p>
        </w:tc>
        <w:tc>
          <w:tcPr>
            <w:tcW w:w="9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shd w:val="clear" w:color="auto" w:fill="auto"/>
              </w:rPr>
            </w:pPr>
          </w:p>
        </w:tc>
        <w:tc>
          <w:tcPr>
            <w:tcW w:w="31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二十、粮油物资储备支出</w:t>
            </w:r>
          </w:p>
        </w:tc>
        <w:tc>
          <w:tcPr>
            <w:tcW w:w="9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51</w:t>
            </w:r>
          </w:p>
        </w:tc>
        <w:tc>
          <w:tcPr>
            <w:tcW w:w="9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0.00</w:t>
            </w:r>
          </w:p>
        </w:tc>
      </w:tr>
      <w:tr>
        <w:tblPrEx>
          <w:tblCellMar>
            <w:top w:w="0" w:type="dxa"/>
            <w:left w:w="108" w:type="dxa"/>
            <w:bottom w:w="0" w:type="dxa"/>
            <w:right w:w="108" w:type="dxa"/>
          </w:tblCellMar>
        </w:tblPrEx>
        <w:trPr>
          <w:trHeight w:val="308" w:hRule="atLeast"/>
        </w:trPr>
        <w:tc>
          <w:tcPr>
            <w:tcW w:w="218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shd w:val="clear" w:color="auto" w:fill="auto"/>
              </w:rPr>
            </w:pPr>
          </w:p>
        </w:tc>
        <w:tc>
          <w:tcPr>
            <w:tcW w:w="3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21</w:t>
            </w:r>
          </w:p>
        </w:tc>
        <w:tc>
          <w:tcPr>
            <w:tcW w:w="9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shd w:val="clear" w:color="auto" w:fill="auto"/>
              </w:rPr>
            </w:pPr>
          </w:p>
        </w:tc>
        <w:tc>
          <w:tcPr>
            <w:tcW w:w="31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二十一、国有资本经营预算支出</w:t>
            </w:r>
          </w:p>
        </w:tc>
        <w:tc>
          <w:tcPr>
            <w:tcW w:w="9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52</w:t>
            </w:r>
          </w:p>
        </w:tc>
        <w:tc>
          <w:tcPr>
            <w:tcW w:w="9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0.00</w:t>
            </w:r>
          </w:p>
        </w:tc>
      </w:tr>
      <w:tr>
        <w:tblPrEx>
          <w:tblCellMar>
            <w:top w:w="0" w:type="dxa"/>
            <w:left w:w="108" w:type="dxa"/>
            <w:bottom w:w="0" w:type="dxa"/>
            <w:right w:w="108" w:type="dxa"/>
          </w:tblCellMar>
        </w:tblPrEx>
        <w:trPr>
          <w:trHeight w:val="308" w:hRule="atLeast"/>
        </w:trPr>
        <w:tc>
          <w:tcPr>
            <w:tcW w:w="218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shd w:val="clear" w:color="auto" w:fill="auto"/>
              </w:rPr>
            </w:pPr>
          </w:p>
        </w:tc>
        <w:tc>
          <w:tcPr>
            <w:tcW w:w="3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22</w:t>
            </w:r>
          </w:p>
        </w:tc>
        <w:tc>
          <w:tcPr>
            <w:tcW w:w="9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shd w:val="clear" w:color="auto" w:fill="auto"/>
              </w:rPr>
            </w:pPr>
          </w:p>
        </w:tc>
        <w:tc>
          <w:tcPr>
            <w:tcW w:w="31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二十二、灾害防治及应急管理支出</w:t>
            </w:r>
          </w:p>
        </w:tc>
        <w:tc>
          <w:tcPr>
            <w:tcW w:w="9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53</w:t>
            </w:r>
          </w:p>
        </w:tc>
        <w:tc>
          <w:tcPr>
            <w:tcW w:w="9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0.00</w:t>
            </w:r>
          </w:p>
        </w:tc>
      </w:tr>
      <w:tr>
        <w:tblPrEx>
          <w:tblCellMar>
            <w:top w:w="0" w:type="dxa"/>
            <w:left w:w="108" w:type="dxa"/>
            <w:bottom w:w="0" w:type="dxa"/>
            <w:right w:w="108" w:type="dxa"/>
          </w:tblCellMar>
        </w:tblPrEx>
        <w:trPr>
          <w:trHeight w:val="308" w:hRule="atLeast"/>
        </w:trPr>
        <w:tc>
          <w:tcPr>
            <w:tcW w:w="218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shd w:val="clear" w:color="auto" w:fill="auto"/>
              </w:rPr>
            </w:pPr>
          </w:p>
        </w:tc>
        <w:tc>
          <w:tcPr>
            <w:tcW w:w="3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23</w:t>
            </w:r>
          </w:p>
        </w:tc>
        <w:tc>
          <w:tcPr>
            <w:tcW w:w="9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shd w:val="clear" w:color="auto" w:fill="auto"/>
              </w:rPr>
            </w:pPr>
          </w:p>
        </w:tc>
        <w:tc>
          <w:tcPr>
            <w:tcW w:w="31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二十三、其他支出</w:t>
            </w:r>
          </w:p>
        </w:tc>
        <w:tc>
          <w:tcPr>
            <w:tcW w:w="9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54</w:t>
            </w:r>
          </w:p>
        </w:tc>
        <w:tc>
          <w:tcPr>
            <w:tcW w:w="9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0.00</w:t>
            </w:r>
          </w:p>
        </w:tc>
      </w:tr>
      <w:tr>
        <w:tblPrEx>
          <w:tblCellMar>
            <w:top w:w="0" w:type="dxa"/>
            <w:left w:w="108" w:type="dxa"/>
            <w:bottom w:w="0" w:type="dxa"/>
            <w:right w:w="108" w:type="dxa"/>
          </w:tblCellMar>
        </w:tblPrEx>
        <w:trPr>
          <w:trHeight w:val="308" w:hRule="atLeast"/>
        </w:trPr>
        <w:tc>
          <w:tcPr>
            <w:tcW w:w="2184"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auto"/>
                <w:sz w:val="20"/>
                <w:szCs w:val="20"/>
                <w:u w:val="none"/>
                <w:shd w:val="clear" w:color="auto" w:fill="auto"/>
              </w:rPr>
            </w:pPr>
          </w:p>
        </w:tc>
        <w:tc>
          <w:tcPr>
            <w:tcW w:w="3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24</w:t>
            </w:r>
          </w:p>
        </w:tc>
        <w:tc>
          <w:tcPr>
            <w:tcW w:w="9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0"/>
                <w:szCs w:val="20"/>
                <w:u w:val="none"/>
                <w:shd w:val="clear" w:color="auto" w:fill="auto"/>
              </w:rPr>
            </w:pPr>
          </w:p>
        </w:tc>
        <w:tc>
          <w:tcPr>
            <w:tcW w:w="31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二十四、债务还本支出</w:t>
            </w:r>
          </w:p>
        </w:tc>
        <w:tc>
          <w:tcPr>
            <w:tcW w:w="9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55</w:t>
            </w:r>
          </w:p>
        </w:tc>
        <w:tc>
          <w:tcPr>
            <w:tcW w:w="9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0.00</w:t>
            </w:r>
          </w:p>
        </w:tc>
      </w:tr>
      <w:tr>
        <w:tblPrEx>
          <w:tblCellMar>
            <w:top w:w="0" w:type="dxa"/>
            <w:left w:w="108" w:type="dxa"/>
            <w:bottom w:w="0" w:type="dxa"/>
            <w:right w:w="108" w:type="dxa"/>
          </w:tblCellMar>
        </w:tblPrEx>
        <w:trPr>
          <w:trHeight w:val="308" w:hRule="atLeast"/>
        </w:trPr>
        <w:tc>
          <w:tcPr>
            <w:tcW w:w="218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0"/>
                <w:szCs w:val="20"/>
                <w:u w:val="none"/>
                <w:shd w:val="clear" w:color="auto" w:fill="auto"/>
              </w:rPr>
            </w:pPr>
          </w:p>
        </w:tc>
        <w:tc>
          <w:tcPr>
            <w:tcW w:w="3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25</w:t>
            </w:r>
          </w:p>
        </w:tc>
        <w:tc>
          <w:tcPr>
            <w:tcW w:w="9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0"/>
                <w:szCs w:val="20"/>
                <w:u w:val="none"/>
                <w:shd w:val="clear" w:color="auto" w:fill="auto"/>
              </w:rPr>
            </w:pPr>
          </w:p>
        </w:tc>
        <w:tc>
          <w:tcPr>
            <w:tcW w:w="31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二十五、债务付息支出</w:t>
            </w:r>
          </w:p>
        </w:tc>
        <w:tc>
          <w:tcPr>
            <w:tcW w:w="9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56</w:t>
            </w:r>
          </w:p>
        </w:tc>
        <w:tc>
          <w:tcPr>
            <w:tcW w:w="9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0.00</w:t>
            </w:r>
          </w:p>
        </w:tc>
      </w:tr>
      <w:tr>
        <w:tblPrEx>
          <w:tblCellMar>
            <w:top w:w="0" w:type="dxa"/>
            <w:left w:w="108" w:type="dxa"/>
            <w:bottom w:w="0" w:type="dxa"/>
            <w:right w:w="108" w:type="dxa"/>
          </w:tblCellMar>
        </w:tblPrEx>
        <w:trPr>
          <w:trHeight w:val="308" w:hRule="atLeast"/>
        </w:trPr>
        <w:tc>
          <w:tcPr>
            <w:tcW w:w="218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0"/>
                <w:szCs w:val="20"/>
                <w:u w:val="none"/>
                <w:shd w:val="clear" w:color="auto" w:fill="auto"/>
              </w:rPr>
            </w:pPr>
          </w:p>
        </w:tc>
        <w:tc>
          <w:tcPr>
            <w:tcW w:w="3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shd w:val="clear" w:color="auto" w:fill="auto"/>
              </w:rPr>
            </w:pPr>
            <w:r>
              <w:rPr>
                <w:rFonts w:hint="eastAsia" w:ascii="宋体" w:hAnsi="宋体" w:eastAsia="宋体" w:cs="宋体"/>
                <w:i w:val="0"/>
                <w:iCs w:val="0"/>
                <w:color w:val="auto"/>
                <w:kern w:val="0"/>
                <w:sz w:val="20"/>
                <w:szCs w:val="20"/>
                <w:u w:val="none"/>
                <w:shd w:val="clear" w:color="auto" w:fill="auto"/>
                <w:lang w:val="en-US" w:eastAsia="zh-CN" w:bidi="ar"/>
              </w:rPr>
              <w:t>26</w:t>
            </w:r>
          </w:p>
        </w:tc>
        <w:tc>
          <w:tcPr>
            <w:tcW w:w="9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0"/>
                <w:szCs w:val="20"/>
                <w:u w:val="none"/>
                <w:shd w:val="clear" w:color="auto" w:fill="auto"/>
              </w:rPr>
            </w:pPr>
          </w:p>
        </w:tc>
        <w:tc>
          <w:tcPr>
            <w:tcW w:w="31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二十六、抗疫特别国债安排的支出</w:t>
            </w:r>
          </w:p>
        </w:tc>
        <w:tc>
          <w:tcPr>
            <w:tcW w:w="9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57</w:t>
            </w:r>
          </w:p>
        </w:tc>
        <w:tc>
          <w:tcPr>
            <w:tcW w:w="9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0.00</w:t>
            </w:r>
          </w:p>
        </w:tc>
      </w:tr>
      <w:tr>
        <w:tblPrEx>
          <w:tblCellMar>
            <w:top w:w="0" w:type="dxa"/>
            <w:left w:w="108" w:type="dxa"/>
            <w:bottom w:w="0" w:type="dxa"/>
            <w:right w:w="108" w:type="dxa"/>
          </w:tblCellMar>
        </w:tblPrEx>
        <w:trPr>
          <w:trHeight w:val="308" w:hRule="atLeast"/>
        </w:trPr>
        <w:tc>
          <w:tcPr>
            <w:tcW w:w="218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shd w:val="clear" w:color="auto" w:fill="auto"/>
              </w:rPr>
            </w:pPr>
            <w:r>
              <w:rPr>
                <w:rFonts w:hint="eastAsia" w:ascii="宋体" w:hAnsi="宋体" w:eastAsia="宋体" w:cs="宋体"/>
                <w:b/>
                <w:bCs/>
                <w:i w:val="0"/>
                <w:iCs w:val="0"/>
                <w:color w:val="auto"/>
                <w:kern w:val="0"/>
                <w:sz w:val="22"/>
                <w:szCs w:val="22"/>
                <w:u w:val="none"/>
                <w:shd w:val="clear" w:color="auto" w:fill="auto"/>
                <w:lang w:val="en-US" w:eastAsia="zh-CN" w:bidi="ar"/>
              </w:rPr>
              <w:t>本年收入合计</w:t>
            </w:r>
          </w:p>
        </w:tc>
        <w:tc>
          <w:tcPr>
            <w:tcW w:w="3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27</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737.61</w:t>
            </w:r>
          </w:p>
        </w:tc>
        <w:tc>
          <w:tcPr>
            <w:tcW w:w="31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shd w:val="clear" w:color="auto" w:fill="auto"/>
              </w:rPr>
            </w:pPr>
            <w:r>
              <w:rPr>
                <w:rFonts w:hint="eastAsia" w:ascii="宋体" w:hAnsi="宋体" w:eastAsia="宋体" w:cs="宋体"/>
                <w:b/>
                <w:bCs/>
                <w:i w:val="0"/>
                <w:iCs w:val="0"/>
                <w:color w:val="auto"/>
                <w:kern w:val="0"/>
                <w:sz w:val="22"/>
                <w:szCs w:val="22"/>
                <w:u w:val="none"/>
                <w:shd w:val="clear" w:color="auto" w:fill="auto"/>
                <w:lang w:val="en-US" w:eastAsia="zh-CN" w:bidi="ar"/>
              </w:rPr>
              <w:t>本年支出合计</w:t>
            </w:r>
          </w:p>
        </w:tc>
        <w:tc>
          <w:tcPr>
            <w:tcW w:w="9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58</w:t>
            </w:r>
          </w:p>
        </w:tc>
        <w:tc>
          <w:tcPr>
            <w:tcW w:w="9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768.87</w:t>
            </w:r>
          </w:p>
        </w:tc>
      </w:tr>
      <w:tr>
        <w:tblPrEx>
          <w:tblCellMar>
            <w:top w:w="0" w:type="dxa"/>
            <w:left w:w="108" w:type="dxa"/>
            <w:bottom w:w="0" w:type="dxa"/>
            <w:right w:w="108" w:type="dxa"/>
          </w:tblCellMar>
        </w:tblPrEx>
        <w:trPr>
          <w:trHeight w:val="308" w:hRule="atLeast"/>
        </w:trPr>
        <w:tc>
          <w:tcPr>
            <w:tcW w:w="218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使用非财政拨款结余</w:t>
            </w:r>
          </w:p>
        </w:tc>
        <w:tc>
          <w:tcPr>
            <w:tcW w:w="3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28</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0.00</w:t>
            </w:r>
          </w:p>
        </w:tc>
        <w:tc>
          <w:tcPr>
            <w:tcW w:w="31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结余分配</w:t>
            </w:r>
          </w:p>
        </w:tc>
        <w:tc>
          <w:tcPr>
            <w:tcW w:w="9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59</w:t>
            </w:r>
          </w:p>
        </w:tc>
        <w:tc>
          <w:tcPr>
            <w:tcW w:w="9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0.00</w:t>
            </w:r>
          </w:p>
        </w:tc>
      </w:tr>
      <w:tr>
        <w:tblPrEx>
          <w:tblCellMar>
            <w:top w:w="0" w:type="dxa"/>
            <w:left w:w="108" w:type="dxa"/>
            <w:bottom w:w="0" w:type="dxa"/>
            <w:right w:w="108" w:type="dxa"/>
          </w:tblCellMar>
        </w:tblPrEx>
        <w:trPr>
          <w:trHeight w:val="308" w:hRule="atLeast"/>
        </w:trPr>
        <w:tc>
          <w:tcPr>
            <w:tcW w:w="218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年初结转和结余</w:t>
            </w:r>
          </w:p>
        </w:tc>
        <w:tc>
          <w:tcPr>
            <w:tcW w:w="3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29</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150.39</w:t>
            </w:r>
          </w:p>
        </w:tc>
        <w:tc>
          <w:tcPr>
            <w:tcW w:w="31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年末结转和结余</w:t>
            </w:r>
          </w:p>
        </w:tc>
        <w:tc>
          <w:tcPr>
            <w:tcW w:w="9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60</w:t>
            </w:r>
          </w:p>
        </w:tc>
        <w:tc>
          <w:tcPr>
            <w:tcW w:w="9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119.13</w:t>
            </w:r>
          </w:p>
        </w:tc>
      </w:tr>
      <w:tr>
        <w:tblPrEx>
          <w:tblCellMar>
            <w:top w:w="0" w:type="dxa"/>
            <w:left w:w="108" w:type="dxa"/>
            <w:bottom w:w="0" w:type="dxa"/>
            <w:right w:w="108" w:type="dxa"/>
          </w:tblCellMar>
        </w:tblPrEx>
        <w:trPr>
          <w:trHeight w:val="308" w:hRule="atLeast"/>
        </w:trPr>
        <w:tc>
          <w:tcPr>
            <w:tcW w:w="218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shd w:val="clear" w:color="auto" w:fill="auto"/>
              </w:rPr>
            </w:pPr>
          </w:p>
        </w:tc>
        <w:tc>
          <w:tcPr>
            <w:tcW w:w="3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30</w:t>
            </w:r>
          </w:p>
        </w:tc>
        <w:tc>
          <w:tcPr>
            <w:tcW w:w="9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2"/>
                <w:szCs w:val="22"/>
                <w:u w:val="none"/>
                <w:shd w:val="clear" w:color="auto" w:fill="auto"/>
              </w:rPr>
            </w:pPr>
          </w:p>
        </w:tc>
        <w:tc>
          <w:tcPr>
            <w:tcW w:w="3113"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auto"/>
                <w:sz w:val="22"/>
                <w:szCs w:val="22"/>
                <w:u w:val="none"/>
                <w:shd w:val="clear" w:color="auto" w:fill="auto"/>
              </w:rPr>
            </w:pPr>
          </w:p>
        </w:tc>
        <w:tc>
          <w:tcPr>
            <w:tcW w:w="9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61</w:t>
            </w:r>
          </w:p>
        </w:tc>
        <w:tc>
          <w:tcPr>
            <w:tcW w:w="94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u w:val="none"/>
                <w:shd w:val="clear" w:color="auto" w:fill="auto"/>
              </w:rPr>
            </w:pPr>
          </w:p>
        </w:tc>
      </w:tr>
      <w:tr>
        <w:tblPrEx>
          <w:tblCellMar>
            <w:top w:w="0" w:type="dxa"/>
            <w:left w:w="108" w:type="dxa"/>
            <w:bottom w:w="0" w:type="dxa"/>
            <w:right w:w="108" w:type="dxa"/>
          </w:tblCellMar>
        </w:tblPrEx>
        <w:trPr>
          <w:trHeight w:val="308" w:hRule="atLeast"/>
        </w:trPr>
        <w:tc>
          <w:tcPr>
            <w:tcW w:w="218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shd w:val="clear" w:color="auto" w:fill="auto"/>
              </w:rPr>
            </w:pPr>
            <w:r>
              <w:rPr>
                <w:rFonts w:hint="eastAsia" w:ascii="宋体" w:hAnsi="宋体" w:eastAsia="宋体" w:cs="宋体"/>
                <w:b/>
                <w:bCs/>
                <w:i w:val="0"/>
                <w:iCs w:val="0"/>
                <w:color w:val="auto"/>
                <w:kern w:val="0"/>
                <w:sz w:val="22"/>
                <w:szCs w:val="22"/>
                <w:u w:val="none"/>
                <w:shd w:val="clear" w:color="auto" w:fill="auto"/>
                <w:lang w:val="en-US" w:eastAsia="zh-CN" w:bidi="ar"/>
              </w:rPr>
              <w:t>总计</w:t>
            </w:r>
          </w:p>
        </w:tc>
        <w:tc>
          <w:tcPr>
            <w:tcW w:w="356" w:type="dxa"/>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31</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887.99</w:t>
            </w:r>
          </w:p>
        </w:tc>
        <w:tc>
          <w:tcPr>
            <w:tcW w:w="31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shd w:val="clear" w:color="auto" w:fill="auto"/>
              </w:rPr>
            </w:pPr>
            <w:r>
              <w:rPr>
                <w:rFonts w:hint="eastAsia" w:ascii="宋体" w:hAnsi="宋体" w:eastAsia="宋体" w:cs="宋体"/>
                <w:b/>
                <w:bCs/>
                <w:i w:val="0"/>
                <w:iCs w:val="0"/>
                <w:color w:val="auto"/>
                <w:kern w:val="0"/>
                <w:sz w:val="22"/>
                <w:szCs w:val="22"/>
                <w:u w:val="none"/>
                <w:shd w:val="clear" w:color="auto" w:fill="auto"/>
                <w:lang w:val="en-US" w:eastAsia="zh-CN" w:bidi="ar"/>
              </w:rPr>
              <w:t>总计</w:t>
            </w:r>
          </w:p>
        </w:tc>
        <w:tc>
          <w:tcPr>
            <w:tcW w:w="9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62</w:t>
            </w:r>
          </w:p>
        </w:tc>
        <w:tc>
          <w:tcPr>
            <w:tcW w:w="9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887.99</w:t>
            </w:r>
          </w:p>
        </w:tc>
      </w:tr>
      <w:tr>
        <w:tblPrEx>
          <w:tblCellMar>
            <w:top w:w="0" w:type="dxa"/>
            <w:left w:w="108" w:type="dxa"/>
            <w:bottom w:w="0" w:type="dxa"/>
            <w:right w:w="108" w:type="dxa"/>
          </w:tblCellMar>
        </w:tblPrEx>
        <w:trPr>
          <w:trHeight w:val="308" w:hRule="atLeast"/>
        </w:trPr>
        <w:tc>
          <w:tcPr>
            <w:tcW w:w="8435" w:type="dxa"/>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shd w:val="clear" w:color="auto" w:fill="auto"/>
              </w:rPr>
            </w:pPr>
            <w:r>
              <w:rPr>
                <w:rFonts w:hint="eastAsia" w:ascii="宋体" w:hAnsi="宋体" w:eastAsia="宋体" w:cs="宋体"/>
                <w:i w:val="0"/>
                <w:iCs w:val="0"/>
                <w:color w:val="auto"/>
                <w:kern w:val="0"/>
                <w:sz w:val="22"/>
                <w:szCs w:val="22"/>
                <w:u w:val="none"/>
                <w:shd w:val="clear" w:color="auto" w:fill="auto"/>
                <w:lang w:val="en-US" w:eastAsia="zh-CN" w:bidi="ar"/>
              </w:rPr>
              <w:t>注：本表反映部门本年度的总收支和年末结转结余情况。本套报表金额单位转换时可能存在尾数误差。</w:t>
            </w:r>
          </w:p>
        </w:tc>
      </w:tr>
    </w:tbl>
    <w:p>
      <w:pPr>
        <w:ind w:firstLine="640" w:firstLineChars="200"/>
        <w:rPr>
          <w:rFonts w:hint="eastAsia" w:ascii="仿宋_GB2312" w:eastAsia="仿宋_GB2312"/>
          <w:color w:val="auto"/>
          <w:sz w:val="32"/>
          <w:szCs w:val="32"/>
          <w:shd w:val="clear" w:color="auto" w:fill="auto"/>
        </w:rPr>
      </w:pPr>
    </w:p>
    <w:p>
      <w:pPr>
        <w:ind w:firstLine="640" w:firstLineChars="200"/>
        <w:rPr>
          <w:rFonts w:hint="eastAsia" w:ascii="仿宋_GB2312" w:eastAsia="仿宋_GB2312"/>
          <w:sz w:val="32"/>
          <w:szCs w:val="32"/>
        </w:rPr>
      </w:pPr>
      <w:r>
        <w:rPr>
          <w:rFonts w:hint="eastAsia" w:ascii="仿宋_GB2312" w:eastAsia="仿宋_GB2312"/>
          <w:sz w:val="32"/>
          <w:szCs w:val="32"/>
        </w:rPr>
        <w:t>表二：收入决算表</w:t>
      </w:r>
    </w:p>
    <w:tbl>
      <w:tblPr>
        <w:tblStyle w:val="4"/>
        <w:tblW w:w="8435" w:type="dxa"/>
        <w:tblInd w:w="93" w:type="dxa"/>
        <w:tblLayout w:type="fixed"/>
        <w:tblCellMar>
          <w:top w:w="0" w:type="dxa"/>
          <w:left w:w="108" w:type="dxa"/>
          <w:bottom w:w="0" w:type="dxa"/>
          <w:right w:w="108" w:type="dxa"/>
        </w:tblCellMar>
      </w:tblPr>
      <w:tblGrid>
        <w:gridCol w:w="553"/>
        <w:gridCol w:w="506"/>
        <w:gridCol w:w="1444"/>
        <w:gridCol w:w="918"/>
        <w:gridCol w:w="1032"/>
        <w:gridCol w:w="787"/>
        <w:gridCol w:w="975"/>
        <w:gridCol w:w="694"/>
        <w:gridCol w:w="750"/>
        <w:gridCol w:w="776"/>
      </w:tblGrid>
      <w:tr>
        <w:tblPrEx>
          <w:tblCellMar>
            <w:top w:w="0" w:type="dxa"/>
            <w:left w:w="108" w:type="dxa"/>
            <w:bottom w:w="0" w:type="dxa"/>
            <w:right w:w="108" w:type="dxa"/>
          </w:tblCellMar>
        </w:tblPrEx>
        <w:trPr>
          <w:trHeight w:val="390" w:hRule="atLeast"/>
        </w:trPr>
        <w:tc>
          <w:tcPr>
            <w:tcW w:w="8435" w:type="dxa"/>
            <w:gridSpan w:val="10"/>
            <w:tcBorders>
              <w:top w:val="nil"/>
              <w:left w:val="nil"/>
              <w:bottom w:val="nil"/>
              <w:right w:val="nil"/>
            </w:tcBorders>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CellMar>
            <w:top w:w="0" w:type="dxa"/>
            <w:left w:w="108" w:type="dxa"/>
            <w:bottom w:w="0" w:type="dxa"/>
            <w:right w:w="108" w:type="dxa"/>
          </w:tblCellMar>
        </w:tblPrEx>
        <w:trPr>
          <w:trHeight w:val="255" w:hRule="atLeast"/>
        </w:trPr>
        <w:tc>
          <w:tcPr>
            <w:tcW w:w="55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0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4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1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3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8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7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220"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CellMar>
            <w:top w:w="0" w:type="dxa"/>
            <w:left w:w="108" w:type="dxa"/>
            <w:bottom w:w="0" w:type="dxa"/>
            <w:right w:w="108" w:type="dxa"/>
          </w:tblCellMar>
        </w:tblPrEx>
        <w:trPr>
          <w:trHeight w:val="255" w:hRule="atLeast"/>
        </w:trPr>
        <w:tc>
          <w:tcPr>
            <w:tcW w:w="4453" w:type="dxa"/>
            <w:gridSpan w:val="5"/>
            <w:tcBorders>
              <w:top w:val="nil"/>
              <w:left w:val="nil"/>
              <w:bottom w:val="nil"/>
              <w:right w:val="nil"/>
            </w:tcBorders>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部门：广西壮族自治区建材产品质量检验站</w:t>
            </w:r>
          </w:p>
        </w:tc>
        <w:tc>
          <w:tcPr>
            <w:tcW w:w="78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195" w:type="dxa"/>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CellMar>
            <w:top w:w="0" w:type="dxa"/>
            <w:left w:w="108" w:type="dxa"/>
            <w:bottom w:w="0" w:type="dxa"/>
            <w:right w:w="108" w:type="dxa"/>
          </w:tblCellMar>
        </w:tblPrEx>
        <w:trPr>
          <w:trHeight w:val="308" w:hRule="atLeast"/>
        </w:trPr>
        <w:tc>
          <w:tcPr>
            <w:tcW w:w="2503"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918"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032"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787"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975"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694"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750"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776"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CellMar>
            <w:top w:w="0" w:type="dxa"/>
            <w:left w:w="108" w:type="dxa"/>
            <w:bottom w:w="0" w:type="dxa"/>
            <w:right w:w="108" w:type="dxa"/>
          </w:tblCellMar>
        </w:tblPrEx>
        <w:trPr>
          <w:trHeight w:val="308" w:hRule="atLeast"/>
        </w:trPr>
        <w:tc>
          <w:tcPr>
            <w:tcW w:w="1059" w:type="dxa"/>
            <w:gridSpan w:val="2"/>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444"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18"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32"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787"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694"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75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776"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1059" w:type="dxa"/>
            <w:gridSpan w:val="2"/>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444"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18"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32"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787"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694"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75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776"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1059" w:type="dxa"/>
            <w:gridSpan w:val="2"/>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444"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18"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32"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787"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694"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75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776"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2503"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918"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32"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87"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7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94"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5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776"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108" w:type="dxa"/>
            <w:bottom w:w="0" w:type="dxa"/>
            <w:right w:w="108" w:type="dxa"/>
          </w:tblCellMar>
        </w:tblPrEx>
        <w:trPr>
          <w:trHeight w:val="308" w:hRule="atLeast"/>
        </w:trPr>
        <w:tc>
          <w:tcPr>
            <w:tcW w:w="2503"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9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737.61</w:t>
            </w:r>
          </w:p>
        </w:tc>
        <w:tc>
          <w:tcPr>
            <w:tcW w:w="10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237.61</w:t>
            </w:r>
          </w:p>
        </w:tc>
        <w:tc>
          <w:tcPr>
            <w:tcW w:w="7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500.00</w:t>
            </w:r>
          </w:p>
        </w:tc>
        <w:tc>
          <w:tcPr>
            <w:tcW w:w="69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7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059"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14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9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690.23</w:t>
            </w:r>
          </w:p>
        </w:tc>
        <w:tc>
          <w:tcPr>
            <w:tcW w:w="10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190.23</w:t>
            </w:r>
          </w:p>
        </w:tc>
        <w:tc>
          <w:tcPr>
            <w:tcW w:w="7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w:t>
            </w:r>
          </w:p>
        </w:tc>
        <w:tc>
          <w:tcPr>
            <w:tcW w:w="69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059"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20604</w:t>
            </w:r>
          </w:p>
        </w:tc>
        <w:tc>
          <w:tcPr>
            <w:tcW w:w="14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技术研究与开发</w:t>
            </w:r>
          </w:p>
        </w:tc>
        <w:tc>
          <w:tcPr>
            <w:tcW w:w="9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12.14</w:t>
            </w:r>
          </w:p>
        </w:tc>
        <w:tc>
          <w:tcPr>
            <w:tcW w:w="10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12.14</w:t>
            </w:r>
          </w:p>
        </w:tc>
        <w:tc>
          <w:tcPr>
            <w:tcW w:w="7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059"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2060499</w:t>
            </w:r>
          </w:p>
        </w:tc>
        <w:tc>
          <w:tcPr>
            <w:tcW w:w="14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其他技术研究与开发支出</w:t>
            </w:r>
          </w:p>
        </w:tc>
        <w:tc>
          <w:tcPr>
            <w:tcW w:w="9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12.14</w:t>
            </w:r>
          </w:p>
        </w:tc>
        <w:tc>
          <w:tcPr>
            <w:tcW w:w="10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12.14</w:t>
            </w:r>
          </w:p>
        </w:tc>
        <w:tc>
          <w:tcPr>
            <w:tcW w:w="7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059"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20605</w:t>
            </w:r>
          </w:p>
        </w:tc>
        <w:tc>
          <w:tcPr>
            <w:tcW w:w="14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科技条件与服务</w:t>
            </w:r>
          </w:p>
        </w:tc>
        <w:tc>
          <w:tcPr>
            <w:tcW w:w="9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678.09</w:t>
            </w:r>
          </w:p>
        </w:tc>
        <w:tc>
          <w:tcPr>
            <w:tcW w:w="10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178.09</w:t>
            </w:r>
          </w:p>
        </w:tc>
        <w:tc>
          <w:tcPr>
            <w:tcW w:w="7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w:t>
            </w:r>
          </w:p>
        </w:tc>
        <w:tc>
          <w:tcPr>
            <w:tcW w:w="69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059"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2060501</w:t>
            </w:r>
          </w:p>
        </w:tc>
        <w:tc>
          <w:tcPr>
            <w:tcW w:w="14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机构运行</w:t>
            </w:r>
          </w:p>
        </w:tc>
        <w:tc>
          <w:tcPr>
            <w:tcW w:w="9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165.08</w:t>
            </w:r>
          </w:p>
        </w:tc>
        <w:tc>
          <w:tcPr>
            <w:tcW w:w="10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165.08</w:t>
            </w:r>
          </w:p>
        </w:tc>
        <w:tc>
          <w:tcPr>
            <w:tcW w:w="7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059"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2060599</w:t>
            </w:r>
          </w:p>
        </w:tc>
        <w:tc>
          <w:tcPr>
            <w:tcW w:w="14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其他科技条件与服务支出</w:t>
            </w:r>
          </w:p>
        </w:tc>
        <w:tc>
          <w:tcPr>
            <w:tcW w:w="9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513.01</w:t>
            </w:r>
          </w:p>
        </w:tc>
        <w:tc>
          <w:tcPr>
            <w:tcW w:w="10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13.01</w:t>
            </w:r>
          </w:p>
        </w:tc>
        <w:tc>
          <w:tcPr>
            <w:tcW w:w="7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w:t>
            </w:r>
          </w:p>
        </w:tc>
        <w:tc>
          <w:tcPr>
            <w:tcW w:w="69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059"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4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9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23.86</w:t>
            </w:r>
          </w:p>
        </w:tc>
        <w:tc>
          <w:tcPr>
            <w:tcW w:w="10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23.86</w:t>
            </w:r>
          </w:p>
        </w:tc>
        <w:tc>
          <w:tcPr>
            <w:tcW w:w="7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059"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14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9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23.86</w:t>
            </w:r>
          </w:p>
        </w:tc>
        <w:tc>
          <w:tcPr>
            <w:tcW w:w="10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23.86</w:t>
            </w:r>
          </w:p>
        </w:tc>
        <w:tc>
          <w:tcPr>
            <w:tcW w:w="7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059"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14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9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4.05</w:t>
            </w:r>
          </w:p>
        </w:tc>
        <w:tc>
          <w:tcPr>
            <w:tcW w:w="10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4.05</w:t>
            </w:r>
          </w:p>
        </w:tc>
        <w:tc>
          <w:tcPr>
            <w:tcW w:w="7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059"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14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9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19.81</w:t>
            </w:r>
          </w:p>
        </w:tc>
        <w:tc>
          <w:tcPr>
            <w:tcW w:w="10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19.81</w:t>
            </w:r>
          </w:p>
        </w:tc>
        <w:tc>
          <w:tcPr>
            <w:tcW w:w="7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059"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4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9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8.67</w:t>
            </w:r>
          </w:p>
        </w:tc>
        <w:tc>
          <w:tcPr>
            <w:tcW w:w="10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8.67</w:t>
            </w:r>
          </w:p>
        </w:tc>
        <w:tc>
          <w:tcPr>
            <w:tcW w:w="7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059"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14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9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8.67</w:t>
            </w:r>
          </w:p>
        </w:tc>
        <w:tc>
          <w:tcPr>
            <w:tcW w:w="10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8.67</w:t>
            </w:r>
          </w:p>
        </w:tc>
        <w:tc>
          <w:tcPr>
            <w:tcW w:w="7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059"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14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9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8.67</w:t>
            </w:r>
          </w:p>
        </w:tc>
        <w:tc>
          <w:tcPr>
            <w:tcW w:w="10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8.67</w:t>
            </w:r>
          </w:p>
        </w:tc>
        <w:tc>
          <w:tcPr>
            <w:tcW w:w="7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059"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14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9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14.85</w:t>
            </w:r>
          </w:p>
        </w:tc>
        <w:tc>
          <w:tcPr>
            <w:tcW w:w="10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14.85</w:t>
            </w:r>
          </w:p>
        </w:tc>
        <w:tc>
          <w:tcPr>
            <w:tcW w:w="7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059"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14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9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14.85</w:t>
            </w:r>
          </w:p>
        </w:tc>
        <w:tc>
          <w:tcPr>
            <w:tcW w:w="10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14.85</w:t>
            </w:r>
          </w:p>
        </w:tc>
        <w:tc>
          <w:tcPr>
            <w:tcW w:w="7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059"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14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9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14.85</w:t>
            </w:r>
          </w:p>
        </w:tc>
        <w:tc>
          <w:tcPr>
            <w:tcW w:w="10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14.85</w:t>
            </w:r>
          </w:p>
        </w:tc>
        <w:tc>
          <w:tcPr>
            <w:tcW w:w="7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8435" w:type="dxa"/>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ind w:firstLine="640" w:firstLineChars="200"/>
        <w:rPr>
          <w:rFonts w:hint="eastAsia" w:ascii="仿宋_GB2312" w:eastAsia="仿宋_GB2312"/>
          <w:sz w:val="32"/>
          <w:szCs w:val="32"/>
        </w:rPr>
      </w:pPr>
    </w:p>
    <w:p>
      <w:pPr>
        <w:ind w:left="645"/>
        <w:rPr>
          <w:rFonts w:hint="eastAsia" w:ascii="仿宋_GB2312" w:eastAsia="仿宋_GB2312"/>
          <w:sz w:val="32"/>
          <w:szCs w:val="32"/>
        </w:rPr>
      </w:pPr>
      <w:r>
        <w:rPr>
          <w:rFonts w:hint="eastAsia" w:ascii="仿宋_GB2312" w:eastAsia="仿宋_GB2312"/>
          <w:sz w:val="32"/>
          <w:szCs w:val="32"/>
        </w:rPr>
        <w:t>表三：支出决算表</w:t>
      </w:r>
    </w:p>
    <w:tbl>
      <w:tblPr>
        <w:tblStyle w:val="4"/>
        <w:tblW w:w="8435" w:type="dxa"/>
        <w:tblInd w:w="93" w:type="dxa"/>
        <w:tblLayout w:type="fixed"/>
        <w:tblCellMar>
          <w:top w:w="0" w:type="dxa"/>
          <w:left w:w="108" w:type="dxa"/>
          <w:bottom w:w="0" w:type="dxa"/>
          <w:right w:w="108" w:type="dxa"/>
        </w:tblCellMar>
      </w:tblPr>
      <w:tblGrid>
        <w:gridCol w:w="853"/>
        <w:gridCol w:w="300"/>
        <w:gridCol w:w="2062"/>
        <w:gridCol w:w="1050"/>
        <w:gridCol w:w="1013"/>
        <w:gridCol w:w="956"/>
        <w:gridCol w:w="709"/>
        <w:gridCol w:w="753"/>
        <w:gridCol w:w="739"/>
      </w:tblGrid>
      <w:tr>
        <w:tblPrEx>
          <w:tblCellMar>
            <w:top w:w="0" w:type="dxa"/>
            <w:left w:w="108" w:type="dxa"/>
            <w:bottom w:w="0" w:type="dxa"/>
            <w:right w:w="108" w:type="dxa"/>
          </w:tblCellMar>
        </w:tblPrEx>
        <w:trPr>
          <w:trHeight w:val="390" w:hRule="atLeast"/>
        </w:trPr>
        <w:tc>
          <w:tcPr>
            <w:tcW w:w="8435" w:type="dxa"/>
            <w:gridSpan w:val="9"/>
            <w:tcBorders>
              <w:top w:val="nil"/>
              <w:left w:val="nil"/>
              <w:bottom w:val="nil"/>
              <w:right w:val="nil"/>
            </w:tcBorders>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CellMar>
            <w:top w:w="0" w:type="dxa"/>
            <w:left w:w="108" w:type="dxa"/>
            <w:bottom w:w="0" w:type="dxa"/>
            <w:right w:w="108" w:type="dxa"/>
          </w:tblCellMar>
        </w:tblPrEx>
        <w:trPr>
          <w:trHeight w:val="255" w:hRule="atLeast"/>
        </w:trPr>
        <w:tc>
          <w:tcPr>
            <w:tcW w:w="85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06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5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1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157" w:type="dxa"/>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CellMar>
            <w:top w:w="0" w:type="dxa"/>
            <w:left w:w="108" w:type="dxa"/>
            <w:bottom w:w="0" w:type="dxa"/>
            <w:right w:w="108" w:type="dxa"/>
          </w:tblCellMar>
        </w:tblPrEx>
        <w:trPr>
          <w:trHeight w:val="255" w:hRule="atLeast"/>
        </w:trPr>
        <w:tc>
          <w:tcPr>
            <w:tcW w:w="5278" w:type="dxa"/>
            <w:gridSpan w:val="5"/>
            <w:tcBorders>
              <w:top w:val="nil"/>
              <w:left w:val="nil"/>
              <w:bottom w:val="nil"/>
              <w:right w:val="nil"/>
            </w:tcBorders>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部门：广西壮族自治区建材产品质量检验站</w:t>
            </w:r>
          </w:p>
        </w:tc>
        <w:tc>
          <w:tcPr>
            <w:tcW w:w="95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201"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CellMar>
            <w:top w:w="0" w:type="dxa"/>
            <w:left w:w="108" w:type="dxa"/>
            <w:bottom w:w="0" w:type="dxa"/>
            <w:right w:w="108" w:type="dxa"/>
          </w:tblCellMar>
        </w:tblPrEx>
        <w:trPr>
          <w:trHeight w:val="308" w:hRule="atLeast"/>
        </w:trPr>
        <w:tc>
          <w:tcPr>
            <w:tcW w:w="3215"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050"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013"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956"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709"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753"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739"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CellMar>
            <w:top w:w="0" w:type="dxa"/>
            <w:left w:w="108" w:type="dxa"/>
            <w:bottom w:w="0" w:type="dxa"/>
            <w:right w:w="108" w:type="dxa"/>
          </w:tblCellMar>
        </w:tblPrEx>
        <w:trPr>
          <w:trHeight w:val="308" w:hRule="atLeast"/>
        </w:trPr>
        <w:tc>
          <w:tcPr>
            <w:tcW w:w="1153" w:type="dxa"/>
            <w:gridSpan w:val="2"/>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2062"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5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13"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709"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753"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739"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1153" w:type="dxa"/>
            <w:gridSpan w:val="2"/>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2062"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05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13"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709"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753"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739"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1153" w:type="dxa"/>
            <w:gridSpan w:val="2"/>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2062"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05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13"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709"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753"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739"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3215"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05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3"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56"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09"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53"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39"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308" w:hRule="atLeast"/>
        </w:trPr>
        <w:tc>
          <w:tcPr>
            <w:tcW w:w="3215"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768.87</w:t>
            </w:r>
          </w:p>
        </w:tc>
        <w:tc>
          <w:tcPr>
            <w:tcW w:w="10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212.46</w:t>
            </w:r>
          </w:p>
        </w:tc>
        <w:tc>
          <w:tcPr>
            <w:tcW w:w="9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556.41</w:t>
            </w:r>
          </w:p>
        </w:tc>
        <w:tc>
          <w:tcPr>
            <w:tcW w:w="70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7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7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153"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206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721.49</w:t>
            </w:r>
          </w:p>
        </w:tc>
        <w:tc>
          <w:tcPr>
            <w:tcW w:w="10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165.08</w:t>
            </w:r>
          </w:p>
        </w:tc>
        <w:tc>
          <w:tcPr>
            <w:tcW w:w="9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556.41</w:t>
            </w:r>
          </w:p>
        </w:tc>
        <w:tc>
          <w:tcPr>
            <w:tcW w:w="70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153"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20604</w:t>
            </w:r>
          </w:p>
        </w:tc>
        <w:tc>
          <w:tcPr>
            <w:tcW w:w="206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技术研究与开发</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12.14</w:t>
            </w:r>
          </w:p>
        </w:tc>
        <w:tc>
          <w:tcPr>
            <w:tcW w:w="10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12.14</w:t>
            </w:r>
          </w:p>
        </w:tc>
        <w:tc>
          <w:tcPr>
            <w:tcW w:w="70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153"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2060499</w:t>
            </w:r>
          </w:p>
        </w:tc>
        <w:tc>
          <w:tcPr>
            <w:tcW w:w="206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其他技术研究与开发支出</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12.14</w:t>
            </w:r>
          </w:p>
        </w:tc>
        <w:tc>
          <w:tcPr>
            <w:tcW w:w="10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12.14</w:t>
            </w:r>
          </w:p>
        </w:tc>
        <w:tc>
          <w:tcPr>
            <w:tcW w:w="70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153"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20605</w:t>
            </w:r>
          </w:p>
        </w:tc>
        <w:tc>
          <w:tcPr>
            <w:tcW w:w="206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科技条件与服务</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709.35</w:t>
            </w:r>
          </w:p>
        </w:tc>
        <w:tc>
          <w:tcPr>
            <w:tcW w:w="10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165.08</w:t>
            </w:r>
          </w:p>
        </w:tc>
        <w:tc>
          <w:tcPr>
            <w:tcW w:w="9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544.27</w:t>
            </w:r>
          </w:p>
        </w:tc>
        <w:tc>
          <w:tcPr>
            <w:tcW w:w="70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153"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2060501</w:t>
            </w:r>
          </w:p>
        </w:tc>
        <w:tc>
          <w:tcPr>
            <w:tcW w:w="206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机构运行</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165.08</w:t>
            </w:r>
          </w:p>
        </w:tc>
        <w:tc>
          <w:tcPr>
            <w:tcW w:w="10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165.08</w:t>
            </w:r>
          </w:p>
        </w:tc>
        <w:tc>
          <w:tcPr>
            <w:tcW w:w="9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0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153"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2060599</w:t>
            </w:r>
          </w:p>
        </w:tc>
        <w:tc>
          <w:tcPr>
            <w:tcW w:w="206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其他科技条件与服务支出</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544.27</w:t>
            </w:r>
          </w:p>
        </w:tc>
        <w:tc>
          <w:tcPr>
            <w:tcW w:w="10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544.27</w:t>
            </w:r>
          </w:p>
        </w:tc>
        <w:tc>
          <w:tcPr>
            <w:tcW w:w="70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153"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206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23.86</w:t>
            </w:r>
          </w:p>
        </w:tc>
        <w:tc>
          <w:tcPr>
            <w:tcW w:w="10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23.86</w:t>
            </w:r>
          </w:p>
        </w:tc>
        <w:tc>
          <w:tcPr>
            <w:tcW w:w="9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0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153"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206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23.86</w:t>
            </w:r>
          </w:p>
        </w:tc>
        <w:tc>
          <w:tcPr>
            <w:tcW w:w="10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23.86</w:t>
            </w:r>
          </w:p>
        </w:tc>
        <w:tc>
          <w:tcPr>
            <w:tcW w:w="9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0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153"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206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4.05</w:t>
            </w:r>
          </w:p>
        </w:tc>
        <w:tc>
          <w:tcPr>
            <w:tcW w:w="10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4.05</w:t>
            </w:r>
          </w:p>
        </w:tc>
        <w:tc>
          <w:tcPr>
            <w:tcW w:w="9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0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153"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206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19.81</w:t>
            </w:r>
          </w:p>
        </w:tc>
        <w:tc>
          <w:tcPr>
            <w:tcW w:w="10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19.81</w:t>
            </w:r>
          </w:p>
        </w:tc>
        <w:tc>
          <w:tcPr>
            <w:tcW w:w="9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0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153"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206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8.67</w:t>
            </w:r>
          </w:p>
        </w:tc>
        <w:tc>
          <w:tcPr>
            <w:tcW w:w="10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8.67</w:t>
            </w:r>
          </w:p>
        </w:tc>
        <w:tc>
          <w:tcPr>
            <w:tcW w:w="9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0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153"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206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8.67</w:t>
            </w:r>
          </w:p>
        </w:tc>
        <w:tc>
          <w:tcPr>
            <w:tcW w:w="10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8.67</w:t>
            </w:r>
          </w:p>
        </w:tc>
        <w:tc>
          <w:tcPr>
            <w:tcW w:w="9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0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153"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206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8.67</w:t>
            </w:r>
          </w:p>
        </w:tc>
        <w:tc>
          <w:tcPr>
            <w:tcW w:w="10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8.67</w:t>
            </w:r>
          </w:p>
        </w:tc>
        <w:tc>
          <w:tcPr>
            <w:tcW w:w="9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0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153"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206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14.85</w:t>
            </w:r>
          </w:p>
        </w:tc>
        <w:tc>
          <w:tcPr>
            <w:tcW w:w="10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14.85</w:t>
            </w:r>
          </w:p>
        </w:tc>
        <w:tc>
          <w:tcPr>
            <w:tcW w:w="9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0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153"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206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14.85</w:t>
            </w:r>
          </w:p>
        </w:tc>
        <w:tc>
          <w:tcPr>
            <w:tcW w:w="10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14.85</w:t>
            </w:r>
          </w:p>
        </w:tc>
        <w:tc>
          <w:tcPr>
            <w:tcW w:w="9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0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153"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206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14.85</w:t>
            </w:r>
          </w:p>
        </w:tc>
        <w:tc>
          <w:tcPr>
            <w:tcW w:w="10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14.85</w:t>
            </w:r>
          </w:p>
        </w:tc>
        <w:tc>
          <w:tcPr>
            <w:tcW w:w="9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0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8435"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ind w:left="645"/>
        <w:rPr>
          <w:rFonts w:hint="eastAsia" w:ascii="仿宋_GB2312" w:eastAsia="仿宋_GB2312"/>
          <w:sz w:val="32"/>
          <w:szCs w:val="32"/>
        </w:rPr>
      </w:pPr>
    </w:p>
    <w:p>
      <w:pPr>
        <w:ind w:left="645"/>
        <w:rPr>
          <w:rFonts w:hint="eastAsia" w:ascii="仿宋_GB2312" w:eastAsia="仿宋_GB2312"/>
          <w:sz w:val="32"/>
          <w:szCs w:val="32"/>
        </w:rPr>
      </w:pPr>
      <w:r>
        <w:rPr>
          <w:rFonts w:hint="eastAsia" w:ascii="仿宋_GB2312" w:eastAsia="仿宋_GB2312"/>
          <w:sz w:val="32"/>
          <w:szCs w:val="32"/>
        </w:rPr>
        <w:t>表四：财政拨款收入支出决算总表</w:t>
      </w:r>
    </w:p>
    <w:tbl>
      <w:tblPr>
        <w:tblStyle w:val="4"/>
        <w:tblW w:w="8435" w:type="dxa"/>
        <w:tblInd w:w="93" w:type="dxa"/>
        <w:tblLayout w:type="fixed"/>
        <w:tblCellMar>
          <w:top w:w="0" w:type="dxa"/>
          <w:left w:w="108" w:type="dxa"/>
          <w:bottom w:w="0" w:type="dxa"/>
          <w:right w:w="108" w:type="dxa"/>
        </w:tblCellMar>
      </w:tblPr>
      <w:tblGrid>
        <w:gridCol w:w="1340"/>
        <w:gridCol w:w="694"/>
        <w:gridCol w:w="975"/>
        <w:gridCol w:w="1237"/>
        <w:gridCol w:w="732"/>
        <w:gridCol w:w="900"/>
        <w:gridCol w:w="993"/>
        <w:gridCol w:w="723"/>
        <w:gridCol w:w="841"/>
      </w:tblGrid>
      <w:tr>
        <w:tblPrEx>
          <w:tblCellMar>
            <w:top w:w="0" w:type="dxa"/>
            <w:left w:w="108" w:type="dxa"/>
            <w:bottom w:w="0" w:type="dxa"/>
            <w:right w:w="108" w:type="dxa"/>
          </w:tblCellMar>
        </w:tblPrEx>
        <w:trPr>
          <w:trHeight w:val="390" w:hRule="atLeast"/>
        </w:trPr>
        <w:tc>
          <w:tcPr>
            <w:tcW w:w="8435" w:type="dxa"/>
            <w:gridSpan w:val="9"/>
            <w:tcBorders>
              <w:top w:val="nil"/>
              <w:left w:val="nil"/>
              <w:bottom w:val="nil"/>
              <w:right w:val="nil"/>
            </w:tcBorders>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CellMar>
            <w:top w:w="0" w:type="dxa"/>
            <w:left w:w="108" w:type="dxa"/>
            <w:bottom w:w="0" w:type="dxa"/>
            <w:right w:w="108" w:type="dxa"/>
          </w:tblCellMar>
        </w:tblPrEx>
        <w:trPr>
          <w:trHeight w:val="255" w:hRule="atLeast"/>
        </w:trPr>
        <w:tc>
          <w:tcPr>
            <w:tcW w:w="134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9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7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3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3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457" w:type="dxa"/>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CellMar>
            <w:top w:w="0" w:type="dxa"/>
            <w:left w:w="108" w:type="dxa"/>
            <w:bottom w:w="0" w:type="dxa"/>
            <w:right w:w="108" w:type="dxa"/>
          </w:tblCellMar>
        </w:tblPrEx>
        <w:trPr>
          <w:trHeight w:val="255" w:hRule="atLeast"/>
        </w:trPr>
        <w:tc>
          <w:tcPr>
            <w:tcW w:w="4246" w:type="dxa"/>
            <w:gridSpan w:val="4"/>
            <w:tcBorders>
              <w:top w:val="nil"/>
              <w:left w:val="nil"/>
              <w:bottom w:val="nil"/>
              <w:right w:val="nil"/>
            </w:tcBorders>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部门：广西壮族自治区建材产品质量检验站</w:t>
            </w:r>
          </w:p>
        </w:tc>
        <w:tc>
          <w:tcPr>
            <w:tcW w:w="73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557"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CellMar>
            <w:top w:w="0" w:type="dxa"/>
            <w:left w:w="108" w:type="dxa"/>
            <w:bottom w:w="0" w:type="dxa"/>
            <w:right w:w="108" w:type="dxa"/>
          </w:tblCellMar>
        </w:tblPrEx>
        <w:trPr>
          <w:trHeight w:val="308" w:hRule="atLeast"/>
        </w:trPr>
        <w:tc>
          <w:tcPr>
            <w:tcW w:w="3009"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5426"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CellMar>
            <w:top w:w="0" w:type="dxa"/>
            <w:left w:w="108" w:type="dxa"/>
            <w:bottom w:w="0" w:type="dxa"/>
            <w:right w:w="108" w:type="dxa"/>
          </w:tblCellMar>
        </w:tblPrEx>
        <w:trPr>
          <w:trHeight w:val="292" w:hRule="atLeast"/>
        </w:trPr>
        <w:tc>
          <w:tcPr>
            <w:tcW w:w="1340" w:type="dxa"/>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94"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975"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237"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32"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900"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993"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723"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841"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CellMar>
            <w:top w:w="0" w:type="dxa"/>
            <w:left w:w="108" w:type="dxa"/>
            <w:bottom w:w="0" w:type="dxa"/>
            <w:right w:w="108" w:type="dxa"/>
          </w:tblCellMar>
        </w:tblPrEx>
        <w:trPr>
          <w:trHeight w:val="615" w:hRule="atLeast"/>
        </w:trPr>
        <w:tc>
          <w:tcPr>
            <w:tcW w:w="1340" w:type="dxa"/>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694"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237"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732"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93"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723"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841"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94"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732"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6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237.61</w:t>
            </w:r>
          </w:p>
        </w:tc>
        <w:tc>
          <w:tcPr>
            <w:tcW w:w="12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7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6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7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6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7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7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7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7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190.23</w:t>
            </w:r>
          </w:p>
        </w:tc>
        <w:tc>
          <w:tcPr>
            <w:tcW w:w="9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190.23</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9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7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9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7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23.86</w:t>
            </w:r>
          </w:p>
        </w:tc>
        <w:tc>
          <w:tcPr>
            <w:tcW w:w="9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23.86</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9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7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8.67</w:t>
            </w:r>
          </w:p>
        </w:tc>
        <w:tc>
          <w:tcPr>
            <w:tcW w:w="9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8.67</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7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9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7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9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7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9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7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9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7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9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7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9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7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9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7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9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7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9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7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14.85</w:t>
            </w:r>
          </w:p>
        </w:tc>
        <w:tc>
          <w:tcPr>
            <w:tcW w:w="9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14.85</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7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9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7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9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7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9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7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6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9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7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6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9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7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6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9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7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6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237.61</w:t>
            </w:r>
          </w:p>
        </w:tc>
        <w:tc>
          <w:tcPr>
            <w:tcW w:w="12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7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237.61</w:t>
            </w:r>
          </w:p>
        </w:tc>
        <w:tc>
          <w:tcPr>
            <w:tcW w:w="9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237.61</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6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7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6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7"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6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7"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6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7"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134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94" w:type="dxa"/>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237.61</w:t>
            </w:r>
          </w:p>
        </w:tc>
        <w:tc>
          <w:tcPr>
            <w:tcW w:w="12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7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237.61</w:t>
            </w:r>
          </w:p>
        </w:tc>
        <w:tc>
          <w:tcPr>
            <w:tcW w:w="9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237.61</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8435" w:type="dxa"/>
            <w:gridSpan w:val="9"/>
            <w:tcBorders>
              <w:top w:val="nil"/>
              <w:left w:val="nil"/>
              <w:bottom w:val="nil"/>
              <w:right w:val="nil"/>
            </w:tcBorders>
            <w:noWrap/>
            <w:vAlign w:val="center"/>
          </w:tcPr>
          <w:p>
            <w:pPr>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r>
    </w:tbl>
    <w:p>
      <w:pPr>
        <w:rPr>
          <w:rFonts w:hint="eastAsia" w:ascii="仿宋_GB2312" w:eastAsia="仿宋_GB2312"/>
          <w:sz w:val="32"/>
          <w:szCs w:val="32"/>
        </w:rPr>
      </w:pPr>
    </w:p>
    <w:p>
      <w:pPr>
        <w:ind w:left="645"/>
        <w:rPr>
          <w:rFonts w:hint="eastAsia" w:ascii="仿宋_GB2312" w:eastAsia="仿宋_GB2312"/>
          <w:sz w:val="32"/>
          <w:szCs w:val="32"/>
        </w:rPr>
      </w:pPr>
      <w:r>
        <w:rPr>
          <w:rFonts w:hint="eastAsia" w:ascii="仿宋_GB2312" w:eastAsia="仿宋_GB2312"/>
          <w:sz w:val="32"/>
          <w:szCs w:val="32"/>
        </w:rPr>
        <w:t>表五：一般公共预算财政拨款支出决算表</w:t>
      </w:r>
    </w:p>
    <w:tbl>
      <w:tblPr>
        <w:tblStyle w:val="4"/>
        <w:tblW w:w="8540" w:type="dxa"/>
        <w:tblInd w:w="93" w:type="dxa"/>
        <w:tblLayout w:type="fixed"/>
        <w:tblCellMar>
          <w:top w:w="0" w:type="dxa"/>
          <w:left w:w="108" w:type="dxa"/>
          <w:bottom w:w="0" w:type="dxa"/>
          <w:right w:w="108" w:type="dxa"/>
        </w:tblCellMar>
      </w:tblPr>
      <w:tblGrid>
        <w:gridCol w:w="298"/>
        <w:gridCol w:w="1061"/>
        <w:gridCol w:w="3281"/>
        <w:gridCol w:w="1350"/>
        <w:gridCol w:w="1163"/>
        <w:gridCol w:w="1387"/>
      </w:tblGrid>
      <w:tr>
        <w:tblPrEx>
          <w:tblCellMar>
            <w:top w:w="0" w:type="dxa"/>
            <w:left w:w="108" w:type="dxa"/>
            <w:bottom w:w="0" w:type="dxa"/>
            <w:right w:w="108" w:type="dxa"/>
          </w:tblCellMar>
        </w:tblPrEx>
        <w:trPr>
          <w:trHeight w:val="390" w:hRule="atLeast"/>
        </w:trPr>
        <w:tc>
          <w:tcPr>
            <w:tcW w:w="8540" w:type="dxa"/>
            <w:gridSpan w:val="6"/>
            <w:tcBorders>
              <w:top w:val="nil"/>
              <w:left w:val="nil"/>
              <w:bottom w:val="nil"/>
              <w:right w:val="nil"/>
            </w:tcBorders>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CellMar>
            <w:top w:w="0" w:type="dxa"/>
            <w:left w:w="108" w:type="dxa"/>
            <w:bottom w:w="0" w:type="dxa"/>
            <w:right w:w="108" w:type="dxa"/>
          </w:tblCellMar>
        </w:tblPrEx>
        <w:trPr>
          <w:trHeight w:val="255" w:hRule="atLeast"/>
        </w:trPr>
        <w:tc>
          <w:tcPr>
            <w:tcW w:w="29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6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28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5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6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87"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CellMar>
            <w:top w:w="0" w:type="dxa"/>
            <w:left w:w="108" w:type="dxa"/>
            <w:bottom w:w="0" w:type="dxa"/>
            <w:right w:w="108" w:type="dxa"/>
          </w:tblCellMar>
        </w:tblPrEx>
        <w:trPr>
          <w:trHeight w:val="255" w:hRule="atLeast"/>
        </w:trPr>
        <w:tc>
          <w:tcPr>
            <w:tcW w:w="4640" w:type="dxa"/>
            <w:gridSpan w:val="3"/>
            <w:tcBorders>
              <w:top w:val="nil"/>
              <w:left w:val="nil"/>
              <w:bottom w:val="nil"/>
              <w:right w:val="nil"/>
            </w:tcBorders>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部门：广西壮族自治区建材产品质量检验站</w:t>
            </w:r>
          </w:p>
        </w:tc>
        <w:tc>
          <w:tcPr>
            <w:tcW w:w="135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55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CellMar>
            <w:top w:w="0" w:type="dxa"/>
            <w:left w:w="108" w:type="dxa"/>
            <w:bottom w:w="0" w:type="dxa"/>
            <w:right w:w="108" w:type="dxa"/>
          </w:tblCellMar>
        </w:tblPrEx>
        <w:trPr>
          <w:trHeight w:val="308" w:hRule="atLeast"/>
        </w:trPr>
        <w:tc>
          <w:tcPr>
            <w:tcW w:w="4640"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3900" w:type="dxa"/>
            <w:gridSpan w:val="3"/>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CellMar>
            <w:top w:w="0" w:type="dxa"/>
            <w:left w:w="108" w:type="dxa"/>
            <w:bottom w:w="0" w:type="dxa"/>
            <w:right w:w="108" w:type="dxa"/>
          </w:tblCellMar>
        </w:tblPrEx>
        <w:trPr>
          <w:trHeight w:val="308" w:hRule="atLeast"/>
        </w:trPr>
        <w:tc>
          <w:tcPr>
            <w:tcW w:w="1359" w:type="dxa"/>
            <w:gridSpan w:val="2"/>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281"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50"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63"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387"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CellMar>
            <w:top w:w="0" w:type="dxa"/>
            <w:left w:w="108" w:type="dxa"/>
            <w:bottom w:w="0" w:type="dxa"/>
            <w:right w:w="108" w:type="dxa"/>
          </w:tblCellMar>
        </w:tblPrEx>
        <w:trPr>
          <w:trHeight w:val="277" w:hRule="atLeast"/>
        </w:trPr>
        <w:tc>
          <w:tcPr>
            <w:tcW w:w="1359" w:type="dxa"/>
            <w:gridSpan w:val="2"/>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3281"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50"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163"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1359" w:type="dxa"/>
            <w:gridSpan w:val="2"/>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3281"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50"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163"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387"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4640"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3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308" w:hRule="atLeast"/>
        </w:trPr>
        <w:tc>
          <w:tcPr>
            <w:tcW w:w="4640"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237.61</w:t>
            </w:r>
          </w:p>
        </w:tc>
        <w:tc>
          <w:tcPr>
            <w:tcW w:w="11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212.46</w:t>
            </w:r>
          </w:p>
        </w:tc>
        <w:tc>
          <w:tcPr>
            <w:tcW w:w="13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25.15</w:t>
            </w:r>
          </w:p>
        </w:tc>
      </w:tr>
      <w:tr>
        <w:tblPrEx>
          <w:tblCellMar>
            <w:top w:w="0" w:type="dxa"/>
            <w:left w:w="108" w:type="dxa"/>
            <w:bottom w:w="0" w:type="dxa"/>
            <w:right w:w="108" w:type="dxa"/>
          </w:tblCellMar>
        </w:tblPrEx>
        <w:trPr>
          <w:trHeight w:val="308" w:hRule="atLeast"/>
        </w:trPr>
        <w:tc>
          <w:tcPr>
            <w:tcW w:w="1359"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328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190.23</w:t>
            </w:r>
          </w:p>
        </w:tc>
        <w:tc>
          <w:tcPr>
            <w:tcW w:w="11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165.08</w:t>
            </w:r>
          </w:p>
        </w:tc>
        <w:tc>
          <w:tcPr>
            <w:tcW w:w="13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25.15</w:t>
            </w:r>
          </w:p>
        </w:tc>
      </w:tr>
      <w:tr>
        <w:tblPrEx>
          <w:tblCellMar>
            <w:top w:w="0" w:type="dxa"/>
            <w:left w:w="108" w:type="dxa"/>
            <w:bottom w:w="0" w:type="dxa"/>
            <w:right w:w="108" w:type="dxa"/>
          </w:tblCellMar>
        </w:tblPrEx>
        <w:trPr>
          <w:trHeight w:val="308" w:hRule="atLeast"/>
        </w:trPr>
        <w:tc>
          <w:tcPr>
            <w:tcW w:w="1359"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20604</w:t>
            </w:r>
          </w:p>
        </w:tc>
        <w:tc>
          <w:tcPr>
            <w:tcW w:w="328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技术研究与开发</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12.14</w:t>
            </w:r>
          </w:p>
        </w:tc>
        <w:tc>
          <w:tcPr>
            <w:tcW w:w="11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12.14</w:t>
            </w:r>
          </w:p>
        </w:tc>
      </w:tr>
      <w:tr>
        <w:tblPrEx>
          <w:tblCellMar>
            <w:top w:w="0" w:type="dxa"/>
            <w:left w:w="108" w:type="dxa"/>
            <w:bottom w:w="0" w:type="dxa"/>
            <w:right w:w="108" w:type="dxa"/>
          </w:tblCellMar>
        </w:tblPrEx>
        <w:trPr>
          <w:trHeight w:val="308" w:hRule="atLeast"/>
        </w:trPr>
        <w:tc>
          <w:tcPr>
            <w:tcW w:w="1359"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2060499</w:t>
            </w:r>
          </w:p>
        </w:tc>
        <w:tc>
          <w:tcPr>
            <w:tcW w:w="328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其他技术研究与开发支出</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12.14</w:t>
            </w:r>
          </w:p>
        </w:tc>
        <w:tc>
          <w:tcPr>
            <w:tcW w:w="11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12.14</w:t>
            </w:r>
          </w:p>
        </w:tc>
      </w:tr>
      <w:tr>
        <w:tblPrEx>
          <w:tblCellMar>
            <w:top w:w="0" w:type="dxa"/>
            <w:left w:w="108" w:type="dxa"/>
            <w:bottom w:w="0" w:type="dxa"/>
            <w:right w:w="108" w:type="dxa"/>
          </w:tblCellMar>
        </w:tblPrEx>
        <w:trPr>
          <w:trHeight w:val="308" w:hRule="atLeast"/>
        </w:trPr>
        <w:tc>
          <w:tcPr>
            <w:tcW w:w="1359"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20605</w:t>
            </w:r>
          </w:p>
        </w:tc>
        <w:tc>
          <w:tcPr>
            <w:tcW w:w="328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科技条件与服务</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178.09</w:t>
            </w:r>
          </w:p>
        </w:tc>
        <w:tc>
          <w:tcPr>
            <w:tcW w:w="11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165.08</w:t>
            </w:r>
          </w:p>
        </w:tc>
        <w:tc>
          <w:tcPr>
            <w:tcW w:w="13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13.01</w:t>
            </w:r>
          </w:p>
        </w:tc>
      </w:tr>
      <w:tr>
        <w:tblPrEx>
          <w:tblCellMar>
            <w:top w:w="0" w:type="dxa"/>
            <w:left w:w="108" w:type="dxa"/>
            <w:bottom w:w="0" w:type="dxa"/>
            <w:right w:w="108" w:type="dxa"/>
          </w:tblCellMar>
        </w:tblPrEx>
        <w:trPr>
          <w:trHeight w:val="308" w:hRule="atLeast"/>
        </w:trPr>
        <w:tc>
          <w:tcPr>
            <w:tcW w:w="1359"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2060501</w:t>
            </w:r>
          </w:p>
        </w:tc>
        <w:tc>
          <w:tcPr>
            <w:tcW w:w="328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机构运行</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165.08</w:t>
            </w:r>
          </w:p>
        </w:tc>
        <w:tc>
          <w:tcPr>
            <w:tcW w:w="11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165.08</w:t>
            </w:r>
          </w:p>
        </w:tc>
        <w:tc>
          <w:tcPr>
            <w:tcW w:w="13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59"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2060599</w:t>
            </w:r>
          </w:p>
        </w:tc>
        <w:tc>
          <w:tcPr>
            <w:tcW w:w="328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其他科技条件与服务支出</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13.01</w:t>
            </w:r>
          </w:p>
        </w:tc>
        <w:tc>
          <w:tcPr>
            <w:tcW w:w="11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13.01</w:t>
            </w:r>
          </w:p>
        </w:tc>
      </w:tr>
      <w:tr>
        <w:tblPrEx>
          <w:tblCellMar>
            <w:top w:w="0" w:type="dxa"/>
            <w:left w:w="108" w:type="dxa"/>
            <w:bottom w:w="0" w:type="dxa"/>
            <w:right w:w="108" w:type="dxa"/>
          </w:tblCellMar>
        </w:tblPrEx>
        <w:trPr>
          <w:trHeight w:val="308" w:hRule="atLeast"/>
        </w:trPr>
        <w:tc>
          <w:tcPr>
            <w:tcW w:w="1359"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28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23.86</w:t>
            </w:r>
          </w:p>
        </w:tc>
        <w:tc>
          <w:tcPr>
            <w:tcW w:w="11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23.86</w:t>
            </w:r>
          </w:p>
        </w:tc>
        <w:tc>
          <w:tcPr>
            <w:tcW w:w="13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59"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28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23.86</w:t>
            </w:r>
          </w:p>
        </w:tc>
        <w:tc>
          <w:tcPr>
            <w:tcW w:w="11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23.86</w:t>
            </w:r>
          </w:p>
        </w:tc>
        <w:tc>
          <w:tcPr>
            <w:tcW w:w="13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59"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328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4.05</w:t>
            </w:r>
          </w:p>
        </w:tc>
        <w:tc>
          <w:tcPr>
            <w:tcW w:w="11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4.05</w:t>
            </w:r>
          </w:p>
        </w:tc>
        <w:tc>
          <w:tcPr>
            <w:tcW w:w="13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59"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28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19.81</w:t>
            </w:r>
          </w:p>
        </w:tc>
        <w:tc>
          <w:tcPr>
            <w:tcW w:w="11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19.81</w:t>
            </w:r>
          </w:p>
        </w:tc>
        <w:tc>
          <w:tcPr>
            <w:tcW w:w="13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59"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28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8.67</w:t>
            </w:r>
          </w:p>
        </w:tc>
        <w:tc>
          <w:tcPr>
            <w:tcW w:w="11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8.67</w:t>
            </w:r>
          </w:p>
        </w:tc>
        <w:tc>
          <w:tcPr>
            <w:tcW w:w="13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59"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28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8.67</w:t>
            </w:r>
          </w:p>
        </w:tc>
        <w:tc>
          <w:tcPr>
            <w:tcW w:w="11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8.67</w:t>
            </w:r>
          </w:p>
        </w:tc>
        <w:tc>
          <w:tcPr>
            <w:tcW w:w="13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59"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328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8.67</w:t>
            </w:r>
          </w:p>
        </w:tc>
        <w:tc>
          <w:tcPr>
            <w:tcW w:w="11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8.67</w:t>
            </w:r>
          </w:p>
        </w:tc>
        <w:tc>
          <w:tcPr>
            <w:tcW w:w="13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59"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328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14.85</w:t>
            </w:r>
          </w:p>
        </w:tc>
        <w:tc>
          <w:tcPr>
            <w:tcW w:w="11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14.85</w:t>
            </w:r>
          </w:p>
        </w:tc>
        <w:tc>
          <w:tcPr>
            <w:tcW w:w="13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59"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328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14.85</w:t>
            </w:r>
          </w:p>
        </w:tc>
        <w:tc>
          <w:tcPr>
            <w:tcW w:w="11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14.85</w:t>
            </w:r>
          </w:p>
        </w:tc>
        <w:tc>
          <w:tcPr>
            <w:tcW w:w="13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59"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328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14.85</w:t>
            </w:r>
          </w:p>
        </w:tc>
        <w:tc>
          <w:tcPr>
            <w:tcW w:w="11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14.85</w:t>
            </w:r>
          </w:p>
        </w:tc>
        <w:tc>
          <w:tcPr>
            <w:tcW w:w="138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8540" w:type="dxa"/>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ind w:left="645"/>
        <w:rPr>
          <w:rFonts w:hint="eastAsia" w:ascii="仿宋_GB2312" w:eastAsia="仿宋_GB2312"/>
          <w:sz w:val="32"/>
          <w:szCs w:val="32"/>
        </w:rPr>
      </w:pPr>
    </w:p>
    <w:p>
      <w:pPr>
        <w:ind w:left="645"/>
        <w:rPr>
          <w:rFonts w:hint="eastAsia" w:ascii="仿宋_GB2312" w:eastAsia="仿宋_GB2312"/>
          <w:sz w:val="32"/>
          <w:szCs w:val="32"/>
        </w:rPr>
      </w:pPr>
      <w:r>
        <w:rPr>
          <w:rFonts w:hint="eastAsia" w:ascii="仿宋_GB2312" w:eastAsia="仿宋_GB2312"/>
          <w:sz w:val="32"/>
          <w:szCs w:val="32"/>
        </w:rPr>
        <w:t>表六：一般公共预算财政拨款基本支出决算表</w:t>
      </w:r>
    </w:p>
    <w:tbl>
      <w:tblPr>
        <w:tblStyle w:val="4"/>
        <w:tblW w:w="8435" w:type="dxa"/>
        <w:tblInd w:w="93" w:type="dxa"/>
        <w:tblLayout w:type="fixed"/>
        <w:tblCellMar>
          <w:top w:w="0" w:type="dxa"/>
          <w:left w:w="108" w:type="dxa"/>
          <w:bottom w:w="0" w:type="dxa"/>
          <w:right w:w="108" w:type="dxa"/>
        </w:tblCellMar>
      </w:tblPr>
      <w:tblGrid>
        <w:gridCol w:w="834"/>
        <w:gridCol w:w="1162"/>
        <w:gridCol w:w="882"/>
        <w:gridCol w:w="862"/>
        <w:gridCol w:w="1042"/>
        <w:gridCol w:w="871"/>
        <w:gridCol w:w="881"/>
        <w:gridCol w:w="1031"/>
        <w:gridCol w:w="870"/>
      </w:tblGrid>
      <w:tr>
        <w:tblPrEx>
          <w:tblCellMar>
            <w:top w:w="0" w:type="dxa"/>
            <w:left w:w="108" w:type="dxa"/>
            <w:bottom w:w="0" w:type="dxa"/>
            <w:right w:w="108" w:type="dxa"/>
          </w:tblCellMar>
        </w:tblPrEx>
        <w:trPr>
          <w:trHeight w:val="390" w:hRule="atLeast"/>
        </w:trPr>
        <w:tc>
          <w:tcPr>
            <w:tcW w:w="8435" w:type="dxa"/>
            <w:gridSpan w:val="9"/>
            <w:tcBorders>
              <w:top w:val="nil"/>
              <w:left w:val="nil"/>
              <w:bottom w:val="nil"/>
              <w:right w:val="nil"/>
            </w:tcBorders>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一般公共预算财政拨款基本支出决算表</w:t>
            </w:r>
          </w:p>
        </w:tc>
      </w:tr>
      <w:tr>
        <w:tblPrEx>
          <w:tblCellMar>
            <w:top w:w="0" w:type="dxa"/>
            <w:left w:w="108" w:type="dxa"/>
            <w:bottom w:w="0" w:type="dxa"/>
            <w:right w:w="108" w:type="dxa"/>
          </w:tblCellMar>
        </w:tblPrEx>
        <w:trPr>
          <w:trHeight w:val="255" w:hRule="atLeast"/>
        </w:trPr>
        <w:tc>
          <w:tcPr>
            <w:tcW w:w="83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6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8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6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4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7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782"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CellMar>
            <w:top w:w="0" w:type="dxa"/>
            <w:left w:w="108" w:type="dxa"/>
            <w:bottom w:w="0" w:type="dxa"/>
            <w:right w:w="108" w:type="dxa"/>
          </w:tblCellMar>
        </w:tblPrEx>
        <w:trPr>
          <w:trHeight w:val="255" w:hRule="atLeast"/>
        </w:trPr>
        <w:tc>
          <w:tcPr>
            <w:tcW w:w="4782" w:type="dxa"/>
            <w:gridSpan w:val="5"/>
            <w:tcBorders>
              <w:top w:val="nil"/>
              <w:left w:val="nil"/>
              <w:bottom w:val="nil"/>
              <w:right w:val="nil"/>
            </w:tcBorders>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部门：广西壮族自治区建材产品质量检验站</w:t>
            </w:r>
          </w:p>
        </w:tc>
        <w:tc>
          <w:tcPr>
            <w:tcW w:w="87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8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901"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CellMar>
            <w:top w:w="0" w:type="dxa"/>
            <w:left w:w="108" w:type="dxa"/>
            <w:bottom w:w="0" w:type="dxa"/>
            <w:right w:w="108" w:type="dxa"/>
          </w:tblCellMar>
        </w:tblPrEx>
        <w:trPr>
          <w:trHeight w:val="308" w:hRule="atLeast"/>
        </w:trPr>
        <w:tc>
          <w:tcPr>
            <w:tcW w:w="2878"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5557"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CellMar>
            <w:top w:w="0" w:type="dxa"/>
            <w:left w:w="108" w:type="dxa"/>
            <w:bottom w:w="0" w:type="dxa"/>
            <w:right w:w="108" w:type="dxa"/>
          </w:tblCellMar>
        </w:tblPrEx>
        <w:trPr>
          <w:trHeight w:val="308" w:hRule="atLeast"/>
        </w:trPr>
        <w:tc>
          <w:tcPr>
            <w:tcW w:w="834" w:type="dxa"/>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162"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82"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862"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042"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71"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881"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031"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70"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CellMar>
            <w:top w:w="0" w:type="dxa"/>
            <w:left w:w="108" w:type="dxa"/>
            <w:bottom w:w="0" w:type="dxa"/>
            <w:right w:w="108" w:type="dxa"/>
          </w:tblCellMar>
        </w:tblPrEx>
        <w:trPr>
          <w:trHeight w:val="308" w:hRule="atLeast"/>
        </w:trPr>
        <w:tc>
          <w:tcPr>
            <w:tcW w:w="834" w:type="dxa"/>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162"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882"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862"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42"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871"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881"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31"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870"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83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11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166.70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0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8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35.52</w:t>
            </w:r>
          </w:p>
        </w:tc>
        <w:tc>
          <w:tcPr>
            <w:tcW w:w="8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10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83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11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10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8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5.67</w:t>
            </w:r>
          </w:p>
        </w:tc>
        <w:tc>
          <w:tcPr>
            <w:tcW w:w="8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10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83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11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10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8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10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83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11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10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8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10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83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11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10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8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10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83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11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10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8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0.19</w:t>
            </w:r>
          </w:p>
        </w:tc>
        <w:tc>
          <w:tcPr>
            <w:tcW w:w="8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10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83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11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19.81</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10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8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w:t>
            </w:r>
          </w:p>
        </w:tc>
        <w:tc>
          <w:tcPr>
            <w:tcW w:w="8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10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83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11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10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8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w:t>
            </w:r>
          </w:p>
        </w:tc>
        <w:tc>
          <w:tcPr>
            <w:tcW w:w="8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10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83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11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8.67</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10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8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10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83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11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10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8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10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83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11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10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8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11.41</w:t>
            </w:r>
          </w:p>
        </w:tc>
        <w:tc>
          <w:tcPr>
            <w:tcW w:w="8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10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83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11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14.85</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10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8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10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83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11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10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8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8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10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83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11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10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8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10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83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11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10.24</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10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8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10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83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11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10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8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w:t>
            </w:r>
          </w:p>
        </w:tc>
        <w:tc>
          <w:tcPr>
            <w:tcW w:w="8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10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83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11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10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8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10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83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11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10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8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10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83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11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10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8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10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83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11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10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8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10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83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11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10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8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0.71</w:t>
            </w:r>
          </w:p>
        </w:tc>
        <w:tc>
          <w:tcPr>
            <w:tcW w:w="8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10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83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11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6.19</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10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8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10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83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11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10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8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w:t>
            </w:r>
          </w:p>
        </w:tc>
        <w:tc>
          <w:tcPr>
            <w:tcW w:w="8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10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83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11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10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8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10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83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11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10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8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9.04</w:t>
            </w:r>
          </w:p>
        </w:tc>
        <w:tc>
          <w:tcPr>
            <w:tcW w:w="8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10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83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11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10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8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1"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031"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83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11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10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8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1"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031"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83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162"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8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10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8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81"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031"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1996"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176.94</w:t>
            </w:r>
          </w:p>
        </w:tc>
        <w:tc>
          <w:tcPr>
            <w:tcW w:w="4687" w:type="dxa"/>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35.52</w:t>
            </w:r>
          </w:p>
        </w:tc>
      </w:tr>
      <w:tr>
        <w:tblPrEx>
          <w:tblCellMar>
            <w:top w:w="0" w:type="dxa"/>
            <w:left w:w="108" w:type="dxa"/>
            <w:bottom w:w="0" w:type="dxa"/>
            <w:right w:w="108" w:type="dxa"/>
          </w:tblCellMar>
        </w:tblPrEx>
        <w:trPr>
          <w:trHeight w:val="308" w:hRule="atLeast"/>
        </w:trPr>
        <w:tc>
          <w:tcPr>
            <w:tcW w:w="8435"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bl>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ind w:firstLine="320" w:firstLineChars="100"/>
        <w:rPr>
          <w:rFonts w:hint="eastAsia" w:ascii="仿宋_GB2312" w:eastAsia="仿宋_GB2312"/>
          <w:sz w:val="32"/>
          <w:szCs w:val="32"/>
        </w:rPr>
      </w:pPr>
      <w:r>
        <w:rPr>
          <w:rFonts w:hint="eastAsia" w:ascii="仿宋_GB2312" w:eastAsia="仿宋_GB2312"/>
          <w:sz w:val="32"/>
          <w:szCs w:val="32"/>
        </w:rPr>
        <w:t>表七：一般公共预算财政拨款安排的“三公”经费支出决算表</w:t>
      </w:r>
    </w:p>
    <w:p>
      <w:pPr>
        <w:ind w:firstLine="320" w:firstLineChars="100"/>
        <w:rPr>
          <w:rFonts w:hint="eastAsia" w:ascii="仿宋_GB2312" w:eastAsia="仿宋_GB2312"/>
          <w:sz w:val="32"/>
          <w:szCs w:val="32"/>
        </w:rPr>
      </w:pPr>
    </w:p>
    <w:tbl>
      <w:tblPr>
        <w:tblStyle w:val="4"/>
        <w:tblW w:w="8794" w:type="dxa"/>
        <w:tblInd w:w="-67" w:type="dxa"/>
        <w:tblLayout w:type="fixed"/>
        <w:tblCellMar>
          <w:top w:w="0" w:type="dxa"/>
          <w:left w:w="108" w:type="dxa"/>
          <w:bottom w:w="0" w:type="dxa"/>
          <w:right w:w="108" w:type="dxa"/>
        </w:tblCellMar>
      </w:tblPr>
      <w:tblGrid>
        <w:gridCol w:w="788"/>
        <w:gridCol w:w="675"/>
        <w:gridCol w:w="768"/>
        <w:gridCol w:w="750"/>
        <w:gridCol w:w="844"/>
        <w:gridCol w:w="713"/>
        <w:gridCol w:w="731"/>
        <w:gridCol w:w="675"/>
        <w:gridCol w:w="694"/>
        <w:gridCol w:w="731"/>
        <w:gridCol w:w="769"/>
        <w:gridCol w:w="656"/>
      </w:tblGrid>
      <w:tr>
        <w:tblPrEx>
          <w:tblCellMar>
            <w:top w:w="0" w:type="dxa"/>
            <w:left w:w="108" w:type="dxa"/>
            <w:bottom w:w="0" w:type="dxa"/>
            <w:right w:w="108" w:type="dxa"/>
          </w:tblCellMar>
        </w:tblPrEx>
        <w:trPr>
          <w:trHeight w:val="540" w:hRule="atLeast"/>
        </w:trPr>
        <w:tc>
          <w:tcPr>
            <w:tcW w:w="8794" w:type="dxa"/>
            <w:gridSpan w:val="12"/>
            <w:tcBorders>
              <w:top w:val="nil"/>
              <w:left w:val="nil"/>
              <w:bottom w:val="nil"/>
              <w:right w:val="nil"/>
            </w:tcBorders>
            <w:noWrap/>
            <w:vAlign w:val="bottom"/>
          </w:tcPr>
          <w:p>
            <w:pPr>
              <w:jc w:val="center"/>
              <w:rPr>
                <w:rFonts w:hint="eastAsia" w:ascii="宋体" w:hAnsi="宋体" w:eastAsia="宋体" w:cs="宋体"/>
                <w:i w:val="0"/>
                <w:iCs w:val="0"/>
                <w:color w:val="000000"/>
                <w:kern w:val="0"/>
                <w:sz w:val="44"/>
                <w:szCs w:val="44"/>
                <w:u w:val="none"/>
                <w:lang w:val="en-US" w:eastAsia="zh-CN" w:bidi="ar"/>
              </w:rPr>
            </w:pPr>
            <w:r>
              <w:rPr>
                <w:rFonts w:hint="eastAsia" w:ascii="宋体" w:hAnsi="宋体" w:eastAsia="宋体" w:cs="宋体"/>
                <w:i w:val="0"/>
                <w:iCs w:val="0"/>
                <w:color w:val="000000"/>
                <w:kern w:val="0"/>
                <w:sz w:val="44"/>
                <w:szCs w:val="44"/>
                <w:u w:val="none"/>
                <w:lang w:val="en-US" w:eastAsia="zh-CN" w:bidi="ar"/>
              </w:rPr>
              <w:t>一般公共预算财政拨款“三公”经费</w:t>
            </w:r>
          </w:p>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44"/>
                <w:szCs w:val="44"/>
                <w:u w:val="none"/>
                <w:lang w:val="en-US" w:eastAsia="zh-CN" w:bidi="ar"/>
              </w:rPr>
              <w:t>支出决算表</w:t>
            </w:r>
          </w:p>
        </w:tc>
      </w:tr>
      <w:tr>
        <w:tblPrEx>
          <w:tblCellMar>
            <w:top w:w="0" w:type="dxa"/>
            <w:left w:w="108" w:type="dxa"/>
            <w:bottom w:w="0" w:type="dxa"/>
            <w:right w:w="108" w:type="dxa"/>
          </w:tblCellMar>
        </w:tblPrEx>
        <w:trPr>
          <w:trHeight w:val="255" w:hRule="atLeast"/>
        </w:trPr>
        <w:tc>
          <w:tcPr>
            <w:tcW w:w="78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7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6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5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4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1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3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7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850" w:type="dxa"/>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CellMar>
            <w:top w:w="0" w:type="dxa"/>
            <w:left w:w="108" w:type="dxa"/>
            <w:bottom w:w="0" w:type="dxa"/>
            <w:right w:w="108" w:type="dxa"/>
          </w:tblCellMar>
        </w:tblPrEx>
        <w:trPr>
          <w:trHeight w:val="255" w:hRule="atLeast"/>
        </w:trPr>
        <w:tc>
          <w:tcPr>
            <w:tcW w:w="4538" w:type="dxa"/>
            <w:gridSpan w:val="6"/>
            <w:tcBorders>
              <w:top w:val="nil"/>
              <w:left w:val="nil"/>
              <w:bottom w:val="nil"/>
              <w:right w:val="nil"/>
            </w:tcBorders>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部门：广西壮族自治区建材产品质量检验站</w:t>
            </w:r>
          </w:p>
        </w:tc>
        <w:tc>
          <w:tcPr>
            <w:tcW w:w="73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7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850" w:type="dxa"/>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CellMar>
            <w:top w:w="0" w:type="dxa"/>
            <w:left w:w="108" w:type="dxa"/>
            <w:bottom w:w="0" w:type="dxa"/>
            <w:right w:w="108" w:type="dxa"/>
          </w:tblCellMar>
        </w:tblPrEx>
        <w:trPr>
          <w:trHeight w:val="308" w:hRule="atLeast"/>
        </w:trPr>
        <w:tc>
          <w:tcPr>
            <w:tcW w:w="4538" w:type="dxa"/>
            <w:gridSpan w:val="6"/>
            <w:tcBorders>
              <w:top w:val="single" w:color="000000" w:sz="4" w:space="0"/>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4256" w:type="dxa"/>
            <w:gridSpan w:val="6"/>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CellMar>
            <w:top w:w="0" w:type="dxa"/>
            <w:left w:w="108" w:type="dxa"/>
            <w:bottom w:w="0" w:type="dxa"/>
            <w:right w:w="108" w:type="dxa"/>
          </w:tblCellMar>
        </w:tblPrEx>
        <w:trPr>
          <w:trHeight w:val="308" w:hRule="atLeast"/>
        </w:trPr>
        <w:tc>
          <w:tcPr>
            <w:tcW w:w="788" w:type="dxa"/>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675"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362" w:type="dxa"/>
            <w:gridSpan w:val="3"/>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713"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731"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675"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194" w:type="dxa"/>
            <w:gridSpan w:val="3"/>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656"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CellMar>
            <w:top w:w="0" w:type="dxa"/>
            <w:left w:w="108" w:type="dxa"/>
            <w:bottom w:w="0" w:type="dxa"/>
            <w:right w:w="108" w:type="dxa"/>
          </w:tblCellMar>
        </w:tblPrEx>
        <w:trPr>
          <w:trHeight w:val="615" w:hRule="atLeast"/>
        </w:trPr>
        <w:tc>
          <w:tcPr>
            <w:tcW w:w="788" w:type="dxa"/>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675"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768"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75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844"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713"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731"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675"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694"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731"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769"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656"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788"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7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68"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5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44"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13"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731"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67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694"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731"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69"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656"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CellMar>
            <w:top w:w="0" w:type="dxa"/>
            <w:left w:w="108" w:type="dxa"/>
            <w:bottom w:w="0" w:type="dxa"/>
            <w:right w:w="108" w:type="dxa"/>
          </w:tblCellMar>
        </w:tblPrEx>
        <w:trPr>
          <w:trHeight w:val="308" w:hRule="atLeast"/>
        </w:trPr>
        <w:tc>
          <w:tcPr>
            <w:tcW w:w="78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10.46</w:t>
            </w:r>
          </w:p>
        </w:tc>
        <w:tc>
          <w:tcPr>
            <w:tcW w:w="6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10.12</w:t>
            </w:r>
          </w:p>
        </w:tc>
        <w:tc>
          <w:tcPr>
            <w:tcW w:w="7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10.12</w:t>
            </w:r>
          </w:p>
        </w:tc>
        <w:tc>
          <w:tcPr>
            <w:tcW w:w="7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0.34</w:t>
            </w:r>
          </w:p>
        </w:tc>
        <w:tc>
          <w:tcPr>
            <w:tcW w:w="7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9.04</w:t>
            </w:r>
          </w:p>
        </w:tc>
        <w:tc>
          <w:tcPr>
            <w:tcW w:w="6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9.04</w:t>
            </w:r>
          </w:p>
        </w:tc>
        <w:tc>
          <w:tcPr>
            <w:tcW w:w="7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9.04</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15" w:hRule="atLeast"/>
        </w:trPr>
        <w:tc>
          <w:tcPr>
            <w:tcW w:w="8794"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ind w:left="645"/>
        <w:rPr>
          <w:rFonts w:hint="eastAsia" w:ascii="仿宋_GB2312" w:eastAsia="仿宋_GB2312"/>
          <w:sz w:val="32"/>
          <w:szCs w:val="32"/>
        </w:rPr>
      </w:pPr>
    </w:p>
    <w:p>
      <w:pPr>
        <w:ind w:left="645"/>
        <w:rPr>
          <w:rFonts w:hint="eastAsia" w:ascii="仿宋_GB2312" w:eastAsia="仿宋_GB2312"/>
          <w:sz w:val="32"/>
          <w:szCs w:val="32"/>
        </w:rPr>
      </w:pPr>
      <w:r>
        <w:rPr>
          <w:rFonts w:hint="eastAsia" w:ascii="仿宋_GB2312" w:eastAsia="仿宋_GB2312"/>
          <w:sz w:val="32"/>
          <w:szCs w:val="32"/>
        </w:rPr>
        <w:t>表八：政府性基金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tbl>
      <w:tblPr>
        <w:tblStyle w:val="4"/>
        <w:tblW w:w="8435" w:type="dxa"/>
        <w:tblInd w:w="93" w:type="dxa"/>
        <w:tblLayout w:type="fixed"/>
        <w:tblCellMar>
          <w:top w:w="0" w:type="dxa"/>
          <w:left w:w="108" w:type="dxa"/>
          <w:bottom w:w="0" w:type="dxa"/>
          <w:right w:w="108" w:type="dxa"/>
        </w:tblCellMar>
      </w:tblPr>
      <w:tblGrid>
        <w:gridCol w:w="314"/>
        <w:gridCol w:w="315"/>
        <w:gridCol w:w="493"/>
        <w:gridCol w:w="1466"/>
        <w:gridCol w:w="844"/>
        <w:gridCol w:w="989"/>
        <w:gridCol w:w="626"/>
        <w:gridCol w:w="626"/>
        <w:gridCol w:w="1123"/>
        <w:gridCol w:w="1639"/>
      </w:tblGrid>
      <w:tr>
        <w:tblPrEx>
          <w:tblCellMar>
            <w:top w:w="0" w:type="dxa"/>
            <w:left w:w="108" w:type="dxa"/>
            <w:bottom w:w="0" w:type="dxa"/>
            <w:right w:w="108" w:type="dxa"/>
          </w:tblCellMar>
        </w:tblPrEx>
        <w:trPr>
          <w:trHeight w:val="390" w:hRule="atLeast"/>
        </w:trPr>
        <w:tc>
          <w:tcPr>
            <w:tcW w:w="8435" w:type="dxa"/>
            <w:gridSpan w:val="10"/>
            <w:tcBorders>
              <w:top w:val="nil"/>
              <w:left w:val="nil"/>
              <w:bottom w:val="nil"/>
              <w:right w:val="nil"/>
            </w:tcBorders>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CellMar>
            <w:top w:w="0" w:type="dxa"/>
            <w:left w:w="108" w:type="dxa"/>
            <w:bottom w:w="0" w:type="dxa"/>
            <w:right w:w="108" w:type="dxa"/>
          </w:tblCellMar>
        </w:tblPrEx>
        <w:trPr>
          <w:trHeight w:val="255" w:hRule="atLeast"/>
        </w:trPr>
        <w:tc>
          <w:tcPr>
            <w:tcW w:w="31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1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1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6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4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4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1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1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2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639"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CellMar>
            <w:top w:w="0" w:type="dxa"/>
            <w:left w:w="108" w:type="dxa"/>
            <w:bottom w:w="0" w:type="dxa"/>
            <w:right w:w="108" w:type="dxa"/>
          </w:tblCellMar>
        </w:tblPrEx>
        <w:trPr>
          <w:trHeight w:val="255" w:hRule="atLeast"/>
        </w:trPr>
        <w:tc>
          <w:tcPr>
            <w:tcW w:w="4421" w:type="dxa"/>
            <w:gridSpan w:val="6"/>
            <w:tcBorders>
              <w:top w:val="nil"/>
              <w:left w:val="nil"/>
              <w:bottom w:val="nil"/>
              <w:right w:val="nil"/>
            </w:tcBorders>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部门：广西壮族自治区建材产品质量检验站</w:t>
            </w:r>
          </w:p>
        </w:tc>
        <w:tc>
          <w:tcPr>
            <w:tcW w:w="61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1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2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639"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CellMar>
            <w:top w:w="0" w:type="dxa"/>
            <w:left w:w="108" w:type="dxa"/>
            <w:bottom w:w="0" w:type="dxa"/>
            <w:right w:w="108" w:type="dxa"/>
          </w:tblCellMar>
        </w:tblPrEx>
        <w:trPr>
          <w:trHeight w:val="308" w:hRule="atLeast"/>
        </w:trPr>
        <w:tc>
          <w:tcPr>
            <w:tcW w:w="2410"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88"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788"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2375" w:type="dxa"/>
            <w:gridSpan w:val="3"/>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639"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CellMar>
            <w:top w:w="0" w:type="dxa"/>
            <w:left w:w="108" w:type="dxa"/>
            <w:bottom w:w="0" w:type="dxa"/>
            <w:right w:w="108" w:type="dxa"/>
          </w:tblCellMar>
        </w:tblPrEx>
        <w:trPr>
          <w:trHeight w:val="308" w:hRule="atLeast"/>
        </w:trPr>
        <w:tc>
          <w:tcPr>
            <w:tcW w:w="1122" w:type="dxa"/>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46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88"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788"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626"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626"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123"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39"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1122"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46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88"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788"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626"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626"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123"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639"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1122"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46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88"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788"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626"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626"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123"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639"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2410"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1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1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6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308" w:hRule="atLeast"/>
        </w:trPr>
        <w:tc>
          <w:tcPr>
            <w:tcW w:w="2410"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8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6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6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1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6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944"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6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944"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6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944"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6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944"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6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944"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6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944"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6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8435" w:type="dxa"/>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bl>
    <w:p>
      <w:pPr>
        <w:ind w:left="645"/>
        <w:rPr>
          <w:rFonts w:hint="eastAsia" w:ascii="仿宋_GB2312" w:eastAsia="仿宋_GB2312"/>
          <w:sz w:val="32"/>
          <w:szCs w:val="32"/>
        </w:rPr>
      </w:pP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广西壮族自治区建材产品质量检验站</w:t>
      </w:r>
      <w:r>
        <w:rPr>
          <w:rFonts w:hint="eastAsia" w:ascii="仿宋" w:hAnsi="仿宋" w:eastAsia="仿宋" w:cs="仿宋"/>
          <w:b w:val="0"/>
          <w:bCs w:val="0"/>
          <w:sz w:val="32"/>
          <w:szCs w:val="32"/>
        </w:rPr>
        <w:t>没有政府性基金预算财政拨款收入，也没有政府性基金预算财政拨款安排的支出，故本表无数据</w:t>
      </w:r>
      <w:r>
        <w:rPr>
          <w:rFonts w:hint="eastAsia" w:ascii="仿宋" w:hAnsi="仿宋" w:eastAsia="仿宋" w:cs="仿宋"/>
          <w:b w:val="0"/>
          <w:bCs w:val="0"/>
          <w:sz w:val="32"/>
          <w:szCs w:val="32"/>
          <w:lang w:eastAsia="zh-CN"/>
        </w:rPr>
        <w:t>。</w:t>
      </w:r>
    </w:p>
    <w:p>
      <w:pPr>
        <w:rPr>
          <w:rFonts w:hint="eastAsia" w:ascii="黑体" w:hAnsi="黑体" w:eastAsia="黑体"/>
          <w:sz w:val="32"/>
          <w:szCs w:val="32"/>
          <w:lang w:eastAsia="zh-CN"/>
        </w:rPr>
      </w:pPr>
    </w:p>
    <w:p>
      <w:pPr>
        <w:ind w:left="645"/>
        <w:rPr>
          <w:rFonts w:hint="eastAsia" w:ascii="仿宋_GB2312" w:eastAsia="仿宋_GB2312"/>
          <w:sz w:val="32"/>
          <w:szCs w:val="32"/>
        </w:rPr>
      </w:pPr>
      <w:r>
        <w:rPr>
          <w:rFonts w:hint="eastAsia" w:ascii="仿宋_GB2312" w:eastAsia="仿宋_GB2312"/>
          <w:sz w:val="32"/>
          <w:szCs w:val="32"/>
        </w:rPr>
        <w:t>表九：国有资本经营预算</w:t>
      </w:r>
      <w:r>
        <w:rPr>
          <w:rFonts w:hint="eastAsia" w:ascii="仿宋_GB2312" w:hAnsi="黑体" w:eastAsia="仿宋_GB2312"/>
          <w:sz w:val="32"/>
          <w:szCs w:val="32"/>
        </w:rPr>
        <w:t>财政拨款</w:t>
      </w:r>
      <w:r>
        <w:rPr>
          <w:rFonts w:hint="eastAsia" w:ascii="仿宋_GB2312" w:eastAsia="仿宋_GB2312"/>
          <w:sz w:val="32"/>
          <w:szCs w:val="32"/>
        </w:rPr>
        <w:t>收入支出决算表</w:t>
      </w:r>
    </w:p>
    <w:tbl>
      <w:tblPr>
        <w:tblStyle w:val="4"/>
        <w:tblW w:w="8435" w:type="dxa"/>
        <w:tblInd w:w="93" w:type="dxa"/>
        <w:tblLayout w:type="autofit"/>
        <w:tblCellMar>
          <w:top w:w="0" w:type="dxa"/>
          <w:left w:w="108" w:type="dxa"/>
          <w:bottom w:w="0" w:type="dxa"/>
          <w:right w:w="108" w:type="dxa"/>
        </w:tblCellMar>
      </w:tblPr>
      <w:tblGrid>
        <w:gridCol w:w="4016"/>
        <w:gridCol w:w="222"/>
        <w:gridCol w:w="222"/>
        <w:gridCol w:w="1096"/>
        <w:gridCol w:w="639"/>
        <w:gridCol w:w="624"/>
        <w:gridCol w:w="1616"/>
      </w:tblGrid>
      <w:tr>
        <w:tblPrEx>
          <w:tblCellMar>
            <w:top w:w="0" w:type="dxa"/>
            <w:left w:w="108" w:type="dxa"/>
            <w:bottom w:w="0" w:type="dxa"/>
            <w:right w:w="108" w:type="dxa"/>
          </w:tblCellMar>
        </w:tblPrEx>
        <w:trPr>
          <w:trHeight w:val="390" w:hRule="atLeast"/>
        </w:trPr>
        <w:tc>
          <w:tcPr>
            <w:tcW w:w="8435" w:type="dxa"/>
            <w:gridSpan w:val="7"/>
            <w:tcBorders>
              <w:top w:val="nil"/>
              <w:left w:val="nil"/>
              <w:bottom w:val="nil"/>
              <w:right w:val="nil"/>
            </w:tcBorders>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国有资本经营预算财政拨款支出决算表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部门：广西壮族自治区建材产品质量检验站</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3577" w:type="dxa"/>
            <w:gridSpan w:val="3"/>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CellMar>
            <w:top w:w="0" w:type="dxa"/>
            <w:left w:w="108" w:type="dxa"/>
            <w:bottom w:w="0" w:type="dxa"/>
            <w:right w:w="108" w:type="dxa"/>
          </w:tblCellMar>
        </w:tblPrEx>
        <w:trPr>
          <w:trHeight w:val="308" w:hRule="atLeast"/>
        </w:trPr>
        <w:tc>
          <w:tcPr>
            <w:tcW w:w="3926" w:type="dxa"/>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61"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08"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408"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CellMar>
            <w:top w:w="0" w:type="dxa"/>
            <w:left w:w="108" w:type="dxa"/>
            <w:bottom w:w="0" w:type="dxa"/>
            <w:right w:w="108" w:type="dxa"/>
          </w:tblCellMar>
        </w:tblPrEx>
        <w:trPr>
          <w:trHeight w:val="308" w:hRule="atLeast"/>
        </w:trPr>
        <w:tc>
          <w:tcPr>
            <w:tcW w:w="3926"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61"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408"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408"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3926"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61"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408"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408"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tc>
      </w:tr>
    </w:tbl>
    <w:p>
      <w:pPr>
        <w:ind w:left="645"/>
        <w:rPr>
          <w:rFonts w:hint="eastAsia" w:ascii="仿宋_GB2312" w:eastAsia="仿宋_GB2312"/>
          <w:sz w:val="32"/>
          <w:szCs w:val="32"/>
        </w:rPr>
      </w:pP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广西壮族自治区建材产品质量检验站</w:t>
      </w:r>
      <w:r>
        <w:rPr>
          <w:rFonts w:hint="eastAsia" w:ascii="仿宋" w:hAnsi="仿宋" w:eastAsia="仿宋" w:cs="仿宋"/>
          <w:b w:val="0"/>
          <w:bCs w:val="0"/>
          <w:sz w:val="32"/>
          <w:szCs w:val="32"/>
        </w:rPr>
        <w:t>没有</w:t>
      </w:r>
      <w:r>
        <w:rPr>
          <w:rFonts w:hint="eastAsia" w:ascii="仿宋_GB2312" w:eastAsia="仿宋_GB2312"/>
          <w:sz w:val="32"/>
          <w:szCs w:val="32"/>
        </w:rPr>
        <w:t>国有资本经营</w:t>
      </w:r>
      <w:r>
        <w:rPr>
          <w:rFonts w:hint="eastAsia" w:ascii="仿宋" w:hAnsi="仿宋" w:eastAsia="仿宋" w:cs="仿宋"/>
          <w:b w:val="0"/>
          <w:bCs w:val="0"/>
          <w:sz w:val="32"/>
          <w:szCs w:val="32"/>
        </w:rPr>
        <w:t>预算财政拨款收入，也没有</w:t>
      </w:r>
      <w:r>
        <w:rPr>
          <w:rFonts w:hint="eastAsia" w:ascii="仿宋_GB2312" w:eastAsia="仿宋_GB2312"/>
          <w:sz w:val="32"/>
          <w:szCs w:val="32"/>
        </w:rPr>
        <w:t>国有资本经营</w:t>
      </w:r>
      <w:r>
        <w:rPr>
          <w:rFonts w:hint="eastAsia" w:ascii="仿宋" w:hAnsi="仿宋" w:eastAsia="仿宋" w:cs="仿宋"/>
          <w:b w:val="0"/>
          <w:bCs w:val="0"/>
          <w:sz w:val="32"/>
          <w:szCs w:val="32"/>
        </w:rPr>
        <w:t>预算财政拨款安排的支出，故本表无数据</w:t>
      </w:r>
      <w:r>
        <w:rPr>
          <w:rFonts w:hint="eastAsia" w:ascii="仿宋" w:hAnsi="仿宋" w:eastAsia="仿宋" w:cs="仿宋"/>
          <w:b w:val="0"/>
          <w:bCs w:val="0"/>
          <w:sz w:val="32"/>
          <w:szCs w:val="32"/>
          <w:lang w:eastAsia="zh-CN"/>
        </w:rPr>
        <w:t>。</w:t>
      </w:r>
    </w:p>
    <w:p>
      <w:pPr>
        <w:rPr>
          <w:rFonts w:hint="eastAsia" w:ascii="黑体" w:hAnsi="黑体" w:eastAsia="黑体"/>
          <w:sz w:val="32"/>
          <w:szCs w:val="32"/>
        </w:rPr>
      </w:pPr>
    </w:p>
    <w:p>
      <w:pPr>
        <w:ind w:firstLine="645"/>
        <w:rPr>
          <w:rFonts w:hint="eastAsia" w:ascii="黑体" w:hAnsi="黑体" w:eastAsia="黑体"/>
          <w:sz w:val="32"/>
          <w:szCs w:val="32"/>
        </w:rPr>
      </w:pPr>
      <w:r>
        <w:rPr>
          <w:rFonts w:hint="eastAsia" w:ascii="黑体" w:hAnsi="黑体" w:eastAsia="黑体"/>
          <w:sz w:val="32"/>
          <w:szCs w:val="32"/>
        </w:rPr>
        <w:t>第三部分：</w:t>
      </w:r>
      <w:r>
        <w:rPr>
          <w:rFonts w:hint="eastAsia" w:ascii="黑体" w:hAnsi="黑体" w:eastAsia="黑体"/>
          <w:sz w:val="32"/>
          <w:szCs w:val="32"/>
          <w:lang w:eastAsia="zh-CN"/>
        </w:rPr>
        <w:t>广西壮族自治区建材产品质量检验站</w:t>
      </w:r>
      <w:r>
        <w:rPr>
          <w:rFonts w:hint="eastAsia" w:ascii="黑体" w:hAnsi="黑体" w:eastAsia="黑体"/>
          <w:sz w:val="32"/>
          <w:szCs w:val="32"/>
        </w:rPr>
        <w:t>2020年度部门决算情况说明</w:t>
      </w:r>
    </w:p>
    <w:p>
      <w:pPr>
        <w:ind w:firstLine="645"/>
        <w:rPr>
          <w:rFonts w:hint="eastAsia" w:ascii="黑体" w:hAnsi="黑体" w:eastAsia="黑体"/>
          <w:sz w:val="32"/>
          <w:szCs w:val="32"/>
          <w:lang w:eastAsia="zh-CN"/>
        </w:rPr>
      </w:pPr>
      <w:r>
        <w:rPr>
          <w:rFonts w:hint="eastAsia" w:ascii="黑体" w:hAnsi="黑体" w:eastAsia="黑体"/>
          <w:sz w:val="32"/>
          <w:szCs w:val="32"/>
          <w:lang w:eastAsia="zh-CN"/>
        </w:rPr>
        <w:t>一、2020 年度收入支出决算总体情况。</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（一）本部门2020年度总收入</w:t>
      </w:r>
      <w:r>
        <w:rPr>
          <w:rFonts w:hint="eastAsia" w:ascii="仿宋_GB2312" w:eastAsia="仿宋_GB2312"/>
          <w:kern w:val="0"/>
          <w:sz w:val="32"/>
          <w:szCs w:val="32"/>
          <w:lang w:val="en-US" w:eastAsia="zh-CN"/>
        </w:rPr>
        <w:t>737.61</w:t>
      </w:r>
      <w:r>
        <w:rPr>
          <w:rFonts w:hint="eastAsia" w:ascii="仿宋_GB2312" w:eastAsia="仿宋_GB2312" w:cs="仿宋_GB2312"/>
          <w:kern w:val="0"/>
          <w:sz w:val="32"/>
          <w:szCs w:val="32"/>
        </w:rPr>
        <w:t>万元，其中本年收入</w:t>
      </w:r>
      <w:r>
        <w:rPr>
          <w:rFonts w:hint="eastAsia" w:ascii="仿宋_GB2312" w:eastAsia="仿宋_GB2312" w:cs="仿宋_GB2312"/>
          <w:kern w:val="0"/>
          <w:sz w:val="32"/>
          <w:szCs w:val="32"/>
          <w:lang w:val="en-US" w:eastAsia="zh-CN"/>
        </w:rPr>
        <w:t>737.61</w:t>
      </w:r>
      <w:r>
        <w:rPr>
          <w:rFonts w:hint="eastAsia" w:ascii="仿宋_GB2312" w:eastAsia="仿宋_GB2312" w:cs="仿宋_GB2312"/>
          <w:kern w:val="0"/>
          <w:sz w:val="32"/>
          <w:szCs w:val="32"/>
        </w:rPr>
        <w:t xml:space="preserve">万元, </w:t>
      </w:r>
      <w:r>
        <w:rPr>
          <w:rFonts w:hint="eastAsia" w:ascii="仿宋_GB2312" w:hAnsi="黑体" w:eastAsia="仿宋_GB2312" w:cs="仿宋_GB2312"/>
          <w:kern w:val="0"/>
          <w:sz w:val="32"/>
          <w:szCs w:val="32"/>
        </w:rPr>
        <w:t>较2019年度决算数减少</w:t>
      </w:r>
      <w:r>
        <w:rPr>
          <w:rFonts w:hint="eastAsia" w:ascii="仿宋_GB2312" w:hAnsi="黑体" w:eastAsia="仿宋_GB2312" w:cs="仿宋_GB2312"/>
          <w:kern w:val="0"/>
          <w:sz w:val="32"/>
          <w:szCs w:val="32"/>
          <w:lang w:val="en-US" w:eastAsia="zh-CN"/>
        </w:rPr>
        <w:t>28.19</w:t>
      </w:r>
      <w:r>
        <w:rPr>
          <w:rFonts w:hint="eastAsia" w:ascii="仿宋_GB2312" w:hAnsi="黑体" w:eastAsia="仿宋_GB2312" w:cs="仿宋_GB2312"/>
          <w:kern w:val="0"/>
          <w:sz w:val="32"/>
          <w:szCs w:val="32"/>
        </w:rPr>
        <w:t xml:space="preserve"> 万元，下降</w:t>
      </w:r>
      <w:r>
        <w:rPr>
          <w:rFonts w:hint="eastAsia" w:ascii="仿宋_GB2312" w:hAnsi="黑体" w:eastAsia="仿宋_GB2312" w:cs="仿宋_GB2312"/>
          <w:kern w:val="0"/>
          <w:sz w:val="32"/>
          <w:szCs w:val="32"/>
          <w:lang w:val="en-US" w:eastAsia="zh-CN"/>
        </w:rPr>
        <w:t>3.68</w:t>
      </w:r>
      <w:r>
        <w:rPr>
          <w:rFonts w:hint="eastAsia" w:ascii="仿宋_GB2312" w:hAnsi="黑体" w:eastAsia="仿宋_GB2312" w:cs="仿宋_GB2312"/>
          <w:kern w:val="0"/>
          <w:sz w:val="32"/>
          <w:szCs w:val="32"/>
        </w:rPr>
        <w:t xml:space="preserve"> %。</w:t>
      </w:r>
      <w:r>
        <w:rPr>
          <w:rFonts w:hint="eastAsia" w:ascii="仿宋_GB2312" w:eastAsia="仿宋_GB2312" w:cs="仿宋_GB2312"/>
          <w:kern w:val="0"/>
          <w:sz w:val="32"/>
          <w:szCs w:val="32"/>
        </w:rPr>
        <w:t>收入具体情况如下</w:t>
      </w:r>
      <w:r>
        <w:rPr>
          <w:rFonts w:hint="eastAsia" w:ascii="仿宋_GB2312" w:eastAsia="仿宋_GB2312" w:cs="仿宋_GB2312"/>
          <w:kern w:val="0"/>
          <w:sz w:val="32"/>
          <w:szCs w:val="32"/>
          <w:lang w:eastAsia="zh-CN"/>
        </w:rPr>
        <w:t>：</w:t>
      </w:r>
    </w:p>
    <w:p>
      <w:pPr>
        <w:autoSpaceDE w:val="0"/>
        <w:autoSpaceDN w:val="0"/>
        <w:adjustRightInd w:val="0"/>
        <w:spacing w:line="560" w:lineRule="exact"/>
        <w:ind w:firstLine="627" w:firstLineChars="196"/>
        <w:jc w:val="left"/>
        <w:rPr>
          <w:rFonts w:hint="eastAsia" w:ascii="仿宋_GB2312" w:hAnsi="黑体" w:eastAsia="仿宋_GB2312" w:cs="仿宋_GB2312"/>
          <w:kern w:val="0"/>
          <w:sz w:val="32"/>
          <w:szCs w:val="32"/>
        </w:rPr>
      </w:pPr>
      <w:r>
        <w:rPr>
          <w:rFonts w:hint="eastAsia" w:ascii="仿宋_GB2312" w:eastAsia="仿宋_GB2312"/>
          <w:bCs/>
          <w:kern w:val="0"/>
          <w:sz w:val="32"/>
          <w:szCs w:val="32"/>
        </w:rPr>
        <w:t>1</w:t>
      </w:r>
      <w:r>
        <w:rPr>
          <w:rFonts w:hint="eastAsia" w:ascii="仿宋_GB2312" w:eastAsia="仿宋_GB2312" w:cs="仿宋_GB2312"/>
          <w:kern w:val="0"/>
          <w:sz w:val="32"/>
          <w:szCs w:val="32"/>
        </w:rPr>
        <w:t>.一般公共预算财政拨款收入</w:t>
      </w:r>
      <w:r>
        <w:rPr>
          <w:rFonts w:hint="eastAsia" w:ascii="仿宋_GB2312" w:eastAsia="仿宋_GB2312"/>
          <w:kern w:val="0"/>
          <w:sz w:val="32"/>
          <w:szCs w:val="32"/>
          <w:lang w:val="en-US" w:eastAsia="zh-CN"/>
        </w:rPr>
        <w:t>237.61</w:t>
      </w:r>
      <w:r>
        <w:rPr>
          <w:rFonts w:hint="eastAsia" w:ascii="仿宋_GB2312" w:eastAsia="仿宋_GB2312" w:cs="仿宋_GB2312"/>
          <w:kern w:val="0"/>
          <w:sz w:val="32"/>
          <w:szCs w:val="32"/>
        </w:rPr>
        <w:t>万元，为自治区本级财政当年拨付的资金。</w:t>
      </w:r>
      <w:r>
        <w:rPr>
          <w:rFonts w:hint="eastAsia" w:ascii="仿宋_GB2312" w:hAnsi="黑体" w:eastAsia="仿宋_GB2312" w:cs="仿宋_GB2312"/>
          <w:kern w:val="0"/>
          <w:sz w:val="32"/>
          <w:szCs w:val="32"/>
        </w:rPr>
        <w:t>较2019年度决算数增加</w:t>
      </w:r>
      <w:r>
        <w:rPr>
          <w:rFonts w:hint="eastAsia" w:ascii="仿宋_GB2312" w:hAnsi="黑体" w:eastAsia="仿宋_GB2312" w:cs="仿宋_GB2312"/>
          <w:kern w:val="0"/>
          <w:sz w:val="32"/>
          <w:szCs w:val="32"/>
          <w:lang w:val="en-US" w:eastAsia="zh-CN"/>
        </w:rPr>
        <w:t>9.81</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4.31</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部分人员获得职称晋升，工资提高</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2.政府性基金预算财政拨款收入</w:t>
      </w:r>
      <w:r>
        <w:rPr>
          <w:rFonts w:hint="eastAsia" w:ascii="仿宋_GB2312" w:eastAsia="仿宋_GB2312"/>
          <w:kern w:val="0"/>
          <w:sz w:val="32"/>
          <w:szCs w:val="32"/>
          <w:lang w:val="en-US" w:eastAsia="zh-CN"/>
        </w:rPr>
        <w:t>0万</w:t>
      </w:r>
      <w:r>
        <w:rPr>
          <w:rFonts w:hint="eastAsia" w:ascii="仿宋_GB2312" w:eastAsia="仿宋_GB2312" w:cs="仿宋_GB2312"/>
          <w:kern w:val="0"/>
          <w:sz w:val="32"/>
          <w:szCs w:val="32"/>
        </w:rPr>
        <w:t>元</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bCs/>
          <w:kern w:val="0"/>
          <w:sz w:val="32"/>
          <w:szCs w:val="32"/>
        </w:rPr>
        <w:t>3</w:t>
      </w:r>
      <w:r>
        <w:rPr>
          <w:rFonts w:hint="eastAsia" w:ascii="仿宋_GB2312" w:eastAsia="仿宋_GB2312" w:cs="仿宋_GB2312"/>
          <w:kern w:val="0"/>
          <w:sz w:val="32"/>
          <w:szCs w:val="32"/>
        </w:rPr>
        <w:t>.国有资本经营预算财政拨款收入</w:t>
      </w:r>
      <w:r>
        <w:rPr>
          <w:rFonts w:hint="eastAsia" w:ascii="仿宋_GB2312" w:eastAsia="仿宋_GB2312"/>
          <w:kern w:val="0"/>
          <w:sz w:val="32"/>
          <w:szCs w:val="32"/>
          <w:lang w:val="en-US" w:eastAsia="zh-CN"/>
        </w:rPr>
        <w:t>0万</w:t>
      </w:r>
      <w:r>
        <w:rPr>
          <w:rFonts w:hint="eastAsia" w:ascii="仿宋_GB2312" w:eastAsia="仿宋_GB2312" w:cs="仿宋_GB2312"/>
          <w:kern w:val="0"/>
          <w:sz w:val="32"/>
          <w:szCs w:val="32"/>
        </w:rPr>
        <w:t>元</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4.事业收入</w:t>
      </w:r>
      <w:r>
        <w:rPr>
          <w:rFonts w:hint="eastAsia" w:ascii="仿宋_GB2312" w:eastAsia="仿宋_GB2312"/>
          <w:kern w:val="0"/>
          <w:sz w:val="32"/>
          <w:szCs w:val="32"/>
          <w:lang w:val="en-US" w:eastAsia="zh-CN"/>
        </w:rPr>
        <w:t>500</w:t>
      </w:r>
      <w:r>
        <w:rPr>
          <w:rFonts w:hint="eastAsia" w:ascii="仿宋_GB2312" w:eastAsia="仿宋_GB2312" w:cs="仿宋_GB2312"/>
          <w:kern w:val="0"/>
          <w:sz w:val="32"/>
          <w:szCs w:val="32"/>
        </w:rPr>
        <w:t>万元，为事业单位开展业务活动取得的收入。</w:t>
      </w:r>
      <w:r>
        <w:rPr>
          <w:rFonts w:hint="eastAsia" w:ascii="仿宋_GB2312" w:hAnsi="黑体" w:eastAsia="仿宋_GB2312" w:cs="仿宋_GB2312"/>
          <w:kern w:val="0"/>
          <w:sz w:val="32"/>
          <w:szCs w:val="32"/>
        </w:rPr>
        <w:t>较2019年度决算数减少</w:t>
      </w:r>
      <w:r>
        <w:rPr>
          <w:rFonts w:hint="eastAsia" w:ascii="仿宋_GB2312" w:hAnsi="黑体" w:eastAsia="仿宋_GB2312" w:cs="仿宋_GB2312"/>
          <w:kern w:val="0"/>
          <w:sz w:val="32"/>
          <w:szCs w:val="32"/>
          <w:lang w:val="en-US" w:eastAsia="zh-CN"/>
        </w:rPr>
        <w:t>38</w:t>
      </w:r>
      <w:r>
        <w:rPr>
          <w:rFonts w:hint="eastAsia" w:ascii="仿宋_GB2312" w:hAnsi="黑体" w:eastAsia="仿宋_GB2312" w:cs="仿宋_GB2312"/>
          <w:kern w:val="0"/>
          <w:sz w:val="32"/>
          <w:szCs w:val="32"/>
        </w:rPr>
        <w:t>万元，下降</w:t>
      </w:r>
      <w:r>
        <w:rPr>
          <w:rFonts w:hint="eastAsia" w:ascii="仿宋_GB2312" w:hAnsi="黑体" w:eastAsia="仿宋_GB2312" w:cs="仿宋_GB2312"/>
          <w:kern w:val="0"/>
          <w:sz w:val="32"/>
          <w:szCs w:val="32"/>
          <w:lang w:val="en-US" w:eastAsia="zh-CN"/>
        </w:rPr>
        <w:t>7.06</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业务量减少</w:t>
      </w:r>
      <w:r>
        <w:rPr>
          <w:rFonts w:hint="eastAsia" w:ascii="仿宋_GB2312" w:eastAsia="仿宋_GB2312" w:cs="仿宋_GB2312"/>
          <w:kern w:val="0"/>
          <w:sz w:val="32"/>
          <w:szCs w:val="32"/>
        </w:rPr>
        <w:t>。</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bCs/>
          <w:kern w:val="0"/>
          <w:sz w:val="32"/>
          <w:szCs w:val="32"/>
        </w:rPr>
        <w:t>5</w:t>
      </w:r>
      <w:r>
        <w:rPr>
          <w:rFonts w:hint="eastAsia" w:ascii="仿宋_GB2312" w:eastAsia="仿宋_GB2312" w:cs="仿宋_GB2312"/>
          <w:kern w:val="0"/>
          <w:sz w:val="32"/>
          <w:szCs w:val="32"/>
        </w:rPr>
        <w:t>.经营收入</w:t>
      </w:r>
      <w:r>
        <w:rPr>
          <w:rFonts w:hint="eastAsia" w:ascii="仿宋_GB2312" w:eastAsia="仿宋_GB2312"/>
          <w:kern w:val="0"/>
          <w:sz w:val="32"/>
          <w:szCs w:val="32"/>
          <w:lang w:val="en-US" w:eastAsia="zh-CN"/>
        </w:rPr>
        <w:t>0万</w:t>
      </w:r>
      <w:r>
        <w:rPr>
          <w:rFonts w:hint="eastAsia" w:ascii="仿宋_GB2312" w:eastAsia="仿宋_GB2312" w:cs="仿宋_GB2312"/>
          <w:kern w:val="0"/>
          <w:sz w:val="32"/>
          <w:szCs w:val="32"/>
          <w:lang w:eastAsia="zh-CN"/>
        </w:rPr>
        <w:t>元</w:t>
      </w:r>
      <w:r>
        <w:rPr>
          <w:rFonts w:hint="eastAsia" w:ascii="仿宋_GB2312" w:hAnsi="黑体" w:eastAsia="仿宋_GB2312" w:cs="仿宋_GB2312"/>
          <w:kern w:val="0"/>
          <w:sz w:val="32"/>
          <w:szCs w:val="32"/>
        </w:rPr>
        <w:t>。</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bCs/>
          <w:kern w:val="0"/>
          <w:sz w:val="32"/>
          <w:szCs w:val="32"/>
        </w:rPr>
        <w:t>6</w:t>
      </w:r>
      <w:r>
        <w:rPr>
          <w:rFonts w:hint="eastAsia" w:ascii="仿宋_GB2312" w:eastAsia="仿宋_GB2312" w:cs="仿宋_GB2312"/>
          <w:kern w:val="0"/>
          <w:sz w:val="32"/>
          <w:szCs w:val="32"/>
        </w:rPr>
        <w:t>.其他收入</w:t>
      </w:r>
      <w:r>
        <w:rPr>
          <w:rFonts w:hint="eastAsia" w:ascii="仿宋_GB2312" w:eastAsia="仿宋_GB2312"/>
          <w:kern w:val="0"/>
          <w:sz w:val="32"/>
          <w:szCs w:val="32"/>
          <w:lang w:val="en-US" w:eastAsia="zh-CN"/>
        </w:rPr>
        <w:t>0万</w:t>
      </w:r>
      <w:r>
        <w:rPr>
          <w:rFonts w:hint="eastAsia" w:ascii="仿宋_GB2312" w:eastAsia="仿宋_GB2312" w:cs="仿宋_GB2312"/>
          <w:kern w:val="0"/>
          <w:sz w:val="32"/>
          <w:szCs w:val="32"/>
        </w:rPr>
        <w:t>元</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bCs/>
          <w:kern w:val="0"/>
          <w:sz w:val="32"/>
          <w:szCs w:val="32"/>
        </w:rPr>
        <w:t>7</w:t>
      </w:r>
      <w:r>
        <w:rPr>
          <w:rFonts w:hint="eastAsia" w:ascii="仿宋_GB2312" w:eastAsia="仿宋_GB2312" w:cs="仿宋_GB2312"/>
          <w:kern w:val="0"/>
          <w:sz w:val="32"/>
          <w:szCs w:val="32"/>
        </w:rPr>
        <w:t>.用事业基金弥补收支差额</w:t>
      </w:r>
      <w:r>
        <w:rPr>
          <w:rFonts w:hint="eastAsia" w:ascii="仿宋_GB2312" w:eastAsia="仿宋_GB2312"/>
          <w:kern w:val="0"/>
          <w:sz w:val="32"/>
          <w:szCs w:val="32"/>
          <w:lang w:val="en-US" w:eastAsia="zh-CN"/>
        </w:rPr>
        <w:t>0万</w:t>
      </w:r>
      <w:r>
        <w:rPr>
          <w:rFonts w:hint="eastAsia" w:ascii="仿宋_GB2312" w:eastAsia="仿宋_GB2312" w:cs="仿宋_GB2312"/>
          <w:kern w:val="0"/>
          <w:sz w:val="32"/>
          <w:szCs w:val="32"/>
        </w:rPr>
        <w:t>元</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bCs/>
          <w:kern w:val="0"/>
          <w:sz w:val="32"/>
          <w:szCs w:val="32"/>
        </w:rPr>
        <w:t>8</w:t>
      </w:r>
      <w:r>
        <w:rPr>
          <w:rFonts w:hint="eastAsia" w:ascii="仿宋_GB2312" w:eastAsia="仿宋_GB2312" w:cs="仿宋_GB2312"/>
          <w:kern w:val="0"/>
          <w:sz w:val="32"/>
          <w:szCs w:val="32"/>
        </w:rPr>
        <w:t>.上年结转和结余</w:t>
      </w:r>
      <w:r>
        <w:rPr>
          <w:rFonts w:hint="eastAsia" w:ascii="仿宋_GB2312" w:eastAsia="仿宋_GB2312"/>
          <w:kern w:val="0"/>
          <w:sz w:val="32"/>
          <w:szCs w:val="32"/>
          <w:lang w:val="en-US" w:eastAsia="zh-CN"/>
        </w:rPr>
        <w:t>150.39</w:t>
      </w:r>
      <w:r>
        <w:rPr>
          <w:rFonts w:hint="eastAsia" w:ascii="仿宋_GB2312" w:eastAsia="仿宋_GB2312" w:cs="仿宋_GB2312"/>
          <w:kern w:val="0"/>
          <w:sz w:val="32"/>
          <w:szCs w:val="32"/>
        </w:rPr>
        <w:t>万元，为以前年度支出预算因客观条件变化未执行完毕、结转到本年度按有关规定继续使用的资金。</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（二）本部门2020年度总支出</w:t>
      </w:r>
      <w:r>
        <w:rPr>
          <w:rFonts w:hint="eastAsia" w:ascii="仿宋_GB2312" w:eastAsia="仿宋_GB2312"/>
          <w:kern w:val="0"/>
          <w:sz w:val="32"/>
          <w:szCs w:val="32"/>
          <w:lang w:val="en-US" w:eastAsia="zh-CN"/>
        </w:rPr>
        <w:t>768.87</w:t>
      </w:r>
      <w:r>
        <w:rPr>
          <w:rFonts w:hint="eastAsia" w:ascii="仿宋_GB2312" w:eastAsia="仿宋_GB2312" w:cs="仿宋_GB2312"/>
          <w:kern w:val="0"/>
          <w:sz w:val="32"/>
          <w:szCs w:val="32"/>
        </w:rPr>
        <w:t>万元，其中本年支出</w:t>
      </w:r>
      <w:r>
        <w:rPr>
          <w:rFonts w:hint="eastAsia" w:ascii="仿宋_GB2312" w:eastAsia="仿宋_GB2312"/>
          <w:kern w:val="0"/>
          <w:sz w:val="32"/>
          <w:szCs w:val="32"/>
          <w:lang w:val="en-US" w:eastAsia="zh-CN"/>
        </w:rPr>
        <w:t>768.87</w:t>
      </w:r>
      <w:r>
        <w:rPr>
          <w:rFonts w:hint="eastAsia" w:ascii="仿宋_GB2312" w:eastAsia="仿宋_GB2312" w:cs="仿宋_GB2312"/>
          <w:kern w:val="0"/>
          <w:sz w:val="32"/>
          <w:szCs w:val="32"/>
        </w:rPr>
        <w:t xml:space="preserve">万元, </w:t>
      </w:r>
      <w:r>
        <w:rPr>
          <w:rFonts w:hint="eastAsia" w:ascii="仿宋_GB2312" w:hAnsi="黑体" w:eastAsia="仿宋_GB2312" w:cs="仿宋_GB2312"/>
          <w:kern w:val="0"/>
          <w:sz w:val="32"/>
          <w:szCs w:val="32"/>
        </w:rPr>
        <w:t>较2019年度决算数增加</w:t>
      </w:r>
      <w:r>
        <w:rPr>
          <w:rFonts w:hint="eastAsia" w:ascii="仿宋_GB2312" w:hAnsi="黑体" w:eastAsia="仿宋_GB2312" w:cs="仿宋_GB2312"/>
          <w:kern w:val="0"/>
          <w:sz w:val="32"/>
          <w:szCs w:val="32"/>
          <w:lang w:val="en-US" w:eastAsia="zh-CN"/>
        </w:rPr>
        <w:t>44.65</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6.17</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支出具体情况如下：</w:t>
      </w:r>
    </w:p>
    <w:p>
      <w:pPr>
        <w:autoSpaceDE w:val="0"/>
        <w:autoSpaceDN w:val="0"/>
        <w:adjustRightInd w:val="0"/>
        <w:spacing w:line="560" w:lineRule="exact"/>
        <w:ind w:firstLine="627" w:firstLineChars="196"/>
        <w:jc w:val="left"/>
        <w:rPr>
          <w:rFonts w:hint="default" w:ascii="仿宋_GB2312" w:eastAsia="仿宋_GB2312" w:cs="仿宋_GB2312"/>
          <w:kern w:val="0"/>
          <w:sz w:val="32"/>
          <w:szCs w:val="32"/>
          <w:lang w:val="en-US" w:eastAsia="zh-CN"/>
        </w:rPr>
      </w:pPr>
      <w:r>
        <w:rPr>
          <w:rFonts w:hint="eastAsia" w:ascii="仿宋_GB2312" w:eastAsia="仿宋_GB2312"/>
          <w:bCs/>
          <w:kern w:val="0"/>
          <w:sz w:val="32"/>
          <w:szCs w:val="32"/>
        </w:rPr>
        <w:t>1</w:t>
      </w:r>
      <w:r>
        <w:rPr>
          <w:rFonts w:hint="eastAsia" w:ascii="仿宋_GB2312" w:eastAsia="仿宋_GB2312" w:cs="仿宋_GB2312"/>
          <w:kern w:val="0"/>
          <w:sz w:val="32"/>
          <w:szCs w:val="32"/>
        </w:rPr>
        <w:t>.科学技术支出</w:t>
      </w:r>
      <w:r>
        <w:rPr>
          <w:rFonts w:hint="eastAsia" w:ascii="仿宋_GB2312" w:eastAsia="仿宋_GB2312"/>
          <w:kern w:val="0"/>
          <w:sz w:val="32"/>
          <w:szCs w:val="32"/>
          <w:lang w:val="en-US" w:eastAsia="zh-CN"/>
        </w:rPr>
        <w:t>721.49</w:t>
      </w:r>
      <w:r>
        <w:rPr>
          <w:rFonts w:hint="eastAsia" w:ascii="仿宋_GB2312" w:eastAsia="仿宋_GB2312" w:cs="仿宋_GB2312"/>
          <w:kern w:val="0"/>
          <w:sz w:val="32"/>
          <w:szCs w:val="32"/>
        </w:rPr>
        <w:t>万元</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主要用于机构运行</w:t>
      </w:r>
      <w:r>
        <w:rPr>
          <w:rFonts w:hint="eastAsia" w:ascii="仿宋_GB2312" w:eastAsia="仿宋_GB2312" w:cs="仿宋_GB2312"/>
          <w:kern w:val="0"/>
          <w:sz w:val="32"/>
          <w:szCs w:val="32"/>
          <w:lang w:eastAsia="zh-CN"/>
        </w:rPr>
        <w:t>支出</w:t>
      </w:r>
      <w:r>
        <w:rPr>
          <w:rFonts w:hint="eastAsia" w:ascii="仿宋_GB2312" w:eastAsia="仿宋_GB2312" w:cs="仿宋_GB2312"/>
          <w:kern w:val="0"/>
          <w:sz w:val="32"/>
          <w:szCs w:val="32"/>
          <w:lang w:val="en-US" w:eastAsia="zh-CN"/>
        </w:rPr>
        <w:t>165.08万元， 其他科技条件与服务支出544.27万元。</w:t>
      </w:r>
    </w:p>
    <w:p>
      <w:pPr>
        <w:autoSpaceDE w:val="0"/>
        <w:autoSpaceDN w:val="0"/>
        <w:adjustRightInd w:val="0"/>
        <w:spacing w:line="560" w:lineRule="exact"/>
        <w:ind w:firstLine="627" w:firstLineChars="196"/>
        <w:jc w:val="left"/>
        <w:rPr>
          <w:rFonts w:hint="eastAsia" w:ascii="仿宋_GB2312" w:hAnsi="黑体" w:eastAsia="仿宋_GB2312" w:cs="仿宋_GB2312"/>
          <w:kern w:val="0"/>
          <w:sz w:val="32"/>
          <w:szCs w:val="32"/>
        </w:rPr>
      </w:pPr>
      <w:r>
        <w:rPr>
          <w:rFonts w:hint="eastAsia" w:ascii="仿宋_GB2312" w:hAnsi="黑体" w:eastAsia="仿宋_GB2312" w:cs="仿宋_GB2312"/>
          <w:kern w:val="0"/>
          <w:sz w:val="32"/>
          <w:szCs w:val="32"/>
        </w:rPr>
        <w:t>较2019年度决算数减少</w:t>
      </w:r>
      <w:r>
        <w:rPr>
          <w:rFonts w:hint="eastAsia" w:ascii="仿宋_GB2312" w:hAnsi="黑体" w:eastAsia="仿宋_GB2312" w:cs="仿宋_GB2312"/>
          <w:kern w:val="0"/>
          <w:sz w:val="32"/>
          <w:szCs w:val="32"/>
          <w:lang w:val="en-US" w:eastAsia="zh-CN"/>
        </w:rPr>
        <w:t>2.73</w:t>
      </w:r>
      <w:r>
        <w:rPr>
          <w:rFonts w:hint="eastAsia" w:ascii="仿宋_GB2312" w:hAnsi="黑体" w:eastAsia="仿宋_GB2312" w:cs="仿宋_GB2312"/>
          <w:kern w:val="0"/>
          <w:sz w:val="32"/>
          <w:szCs w:val="32"/>
        </w:rPr>
        <w:t>万元，下降</w:t>
      </w:r>
      <w:r>
        <w:rPr>
          <w:rFonts w:hint="eastAsia" w:ascii="仿宋_GB2312" w:hAnsi="黑体" w:eastAsia="仿宋_GB2312" w:cs="仿宋_GB2312"/>
          <w:kern w:val="0"/>
          <w:sz w:val="32"/>
          <w:szCs w:val="32"/>
          <w:lang w:val="en-US" w:eastAsia="zh-CN"/>
        </w:rPr>
        <w:t>2.73</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人员、业务量减少，开支减少</w:t>
      </w:r>
      <w:r>
        <w:rPr>
          <w:rFonts w:hint="eastAsia" w:ascii="仿宋_GB2312" w:hAnsi="黑体" w:eastAsia="仿宋_GB2312" w:cs="仿宋_GB2312"/>
          <w:kern w:val="0"/>
          <w:sz w:val="32"/>
          <w:szCs w:val="32"/>
        </w:rPr>
        <w:t>。</w:t>
      </w:r>
    </w:p>
    <w:p>
      <w:pPr>
        <w:numPr>
          <w:ilvl w:val="0"/>
          <w:numId w:val="0"/>
        </w:numPr>
        <w:autoSpaceDE w:val="0"/>
        <w:autoSpaceDN w:val="0"/>
        <w:adjustRightInd w:val="0"/>
        <w:spacing w:line="560" w:lineRule="exact"/>
        <w:ind w:firstLine="640" w:firstLineChars="200"/>
        <w:jc w:val="left"/>
        <w:rPr>
          <w:rFonts w:hint="eastAsia" w:ascii="仿宋_GB2312" w:eastAsia="仿宋_GB2312" w:cs="仿宋_GB2312"/>
          <w:kern w:val="0"/>
          <w:sz w:val="32"/>
          <w:szCs w:val="32"/>
          <w:lang w:eastAsia="zh-CN"/>
        </w:rPr>
      </w:pPr>
      <w:r>
        <w:rPr>
          <w:rFonts w:hint="eastAsia" w:ascii="仿宋_GB2312" w:hAnsi="黑体" w:eastAsia="仿宋_GB2312" w:cs="仿宋_GB2312"/>
          <w:kern w:val="0"/>
          <w:sz w:val="32"/>
          <w:szCs w:val="32"/>
          <w:lang w:val="en-US" w:eastAsia="zh-CN"/>
        </w:rPr>
        <w:t>2.</w:t>
      </w:r>
      <w:r>
        <w:rPr>
          <w:rFonts w:hint="eastAsia" w:ascii="仿宋_GB2312" w:hAnsi="黑体" w:eastAsia="仿宋_GB2312" w:cs="仿宋_GB2312"/>
          <w:kern w:val="0"/>
          <w:sz w:val="32"/>
          <w:szCs w:val="32"/>
        </w:rPr>
        <w:t>社会保障和就业支出</w:t>
      </w:r>
      <w:r>
        <w:rPr>
          <w:rFonts w:hint="eastAsia" w:ascii="仿宋_GB2312" w:hAnsi="黑体" w:eastAsia="仿宋_GB2312" w:cs="仿宋_GB2312"/>
          <w:kern w:val="0"/>
          <w:sz w:val="32"/>
          <w:szCs w:val="32"/>
          <w:lang w:val="en-US" w:eastAsia="zh-CN"/>
        </w:rPr>
        <w:t>23.86万元，</w:t>
      </w:r>
      <w:r>
        <w:rPr>
          <w:rFonts w:hint="eastAsia" w:ascii="仿宋_GB2312" w:eastAsia="仿宋_GB2312" w:cs="仿宋_GB2312"/>
          <w:kern w:val="0"/>
          <w:sz w:val="32"/>
          <w:szCs w:val="32"/>
        </w:rPr>
        <w:t>主要用于</w:t>
      </w:r>
      <w:r>
        <w:rPr>
          <w:rFonts w:hint="eastAsia" w:ascii="仿宋_GB2312" w:hAnsi="黑体" w:eastAsia="仿宋_GB2312"/>
          <w:bCs/>
          <w:color w:val="000000"/>
          <w:sz w:val="32"/>
          <w:szCs w:val="32"/>
        </w:rPr>
        <w:t>按国家规定</w:t>
      </w:r>
      <w:r>
        <w:rPr>
          <w:rFonts w:hint="eastAsia" w:ascii="仿宋_GB2312" w:eastAsia="仿宋_GB2312" w:cs="仿宋_GB2312"/>
          <w:kern w:val="0"/>
          <w:sz w:val="32"/>
          <w:szCs w:val="32"/>
        </w:rPr>
        <w:t>发放的离退休人员工资津补贴及离退休人员管理方面的支出</w:t>
      </w:r>
      <w:r>
        <w:rPr>
          <w:rFonts w:hint="eastAsia" w:ascii="仿宋_GB2312" w:eastAsia="仿宋_GB2312" w:cs="仿宋_GB2312"/>
          <w:kern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default" w:ascii="仿宋_GB2312" w:eastAsia="仿宋_GB2312" w:cs="仿宋_GB2312"/>
          <w:kern w:val="0"/>
          <w:sz w:val="32"/>
          <w:szCs w:val="32"/>
          <w:lang w:val="en-US" w:eastAsia="zh-CN"/>
        </w:rPr>
      </w:pPr>
      <w:r>
        <w:rPr>
          <w:rFonts w:hint="eastAsia" w:ascii="仿宋_GB2312" w:hAnsi="黑体" w:eastAsia="仿宋_GB2312" w:cs="仿宋_GB2312"/>
          <w:kern w:val="0"/>
          <w:sz w:val="32"/>
          <w:szCs w:val="32"/>
        </w:rPr>
        <w:t>较2019年度决算数减少</w:t>
      </w:r>
      <w:r>
        <w:rPr>
          <w:rFonts w:hint="eastAsia" w:ascii="仿宋_GB2312" w:hAnsi="黑体" w:eastAsia="仿宋_GB2312" w:cs="仿宋_GB2312"/>
          <w:kern w:val="0"/>
          <w:sz w:val="32"/>
          <w:szCs w:val="32"/>
          <w:lang w:val="en-US" w:eastAsia="zh-CN"/>
        </w:rPr>
        <w:t>5.07</w:t>
      </w:r>
      <w:r>
        <w:rPr>
          <w:rFonts w:hint="eastAsia" w:ascii="仿宋_GB2312" w:hAnsi="黑体" w:eastAsia="仿宋_GB2312" w:cs="仿宋_GB2312"/>
          <w:kern w:val="0"/>
          <w:sz w:val="32"/>
          <w:szCs w:val="32"/>
        </w:rPr>
        <w:t>万元，下降</w:t>
      </w:r>
      <w:r>
        <w:rPr>
          <w:rFonts w:hint="eastAsia" w:ascii="仿宋_GB2312" w:hAnsi="黑体" w:eastAsia="仿宋_GB2312" w:cs="仿宋_GB2312"/>
          <w:kern w:val="0"/>
          <w:sz w:val="32"/>
          <w:szCs w:val="32"/>
          <w:lang w:val="en-US" w:eastAsia="zh-CN"/>
        </w:rPr>
        <w:t>21.25</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人员减少，开支减少</w:t>
      </w:r>
      <w:r>
        <w:rPr>
          <w:rFonts w:hint="eastAsia" w:ascii="仿宋_GB2312" w:hAnsi="黑体" w:eastAsia="仿宋_GB2312" w:cs="仿宋_GB2312"/>
          <w:kern w:val="0"/>
          <w:sz w:val="32"/>
          <w:szCs w:val="32"/>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黑体" w:eastAsia="仿宋_GB2312" w:cs="仿宋_GB2312"/>
          <w:kern w:val="0"/>
          <w:sz w:val="32"/>
          <w:szCs w:val="32"/>
          <w:lang w:val="en-US" w:eastAsia="zh-CN"/>
        </w:rPr>
      </w:pPr>
      <w:r>
        <w:rPr>
          <w:rFonts w:hint="eastAsia" w:ascii="仿宋_GB2312" w:hAnsi="黑体" w:eastAsia="仿宋_GB2312" w:cs="仿宋_GB2312"/>
          <w:kern w:val="0"/>
          <w:sz w:val="32"/>
          <w:szCs w:val="32"/>
          <w:lang w:val="en-US" w:eastAsia="zh-CN"/>
        </w:rPr>
        <w:t>3.</w:t>
      </w:r>
      <w:r>
        <w:rPr>
          <w:rFonts w:hint="default" w:ascii="仿宋_GB2312" w:hAnsi="黑体" w:eastAsia="仿宋_GB2312" w:cs="仿宋_GB2312"/>
          <w:kern w:val="0"/>
          <w:sz w:val="32"/>
          <w:szCs w:val="32"/>
          <w:lang w:val="en-US" w:eastAsia="zh-CN"/>
        </w:rPr>
        <w:t>卫生健康支出</w:t>
      </w:r>
      <w:r>
        <w:rPr>
          <w:rFonts w:hint="eastAsia" w:ascii="仿宋_GB2312" w:hAnsi="黑体" w:eastAsia="仿宋_GB2312" w:cs="仿宋_GB2312"/>
          <w:kern w:val="0"/>
          <w:sz w:val="32"/>
          <w:szCs w:val="32"/>
          <w:lang w:val="en-US" w:eastAsia="zh-CN"/>
        </w:rPr>
        <w:t>8.67万元，主要用于事业单位医疗支付职工医疗保险。</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default" w:ascii="仿宋_GB2312" w:hAnsi="黑体" w:eastAsia="仿宋_GB2312" w:cs="仿宋_GB2312"/>
          <w:kern w:val="0"/>
          <w:sz w:val="32"/>
          <w:szCs w:val="32"/>
          <w:lang w:val="en-US" w:eastAsia="zh-CN"/>
        </w:rPr>
      </w:pPr>
      <w:r>
        <w:rPr>
          <w:rFonts w:hint="eastAsia" w:ascii="仿宋_GB2312" w:hAnsi="黑体" w:eastAsia="仿宋_GB2312" w:cs="仿宋_GB2312"/>
          <w:kern w:val="0"/>
          <w:sz w:val="32"/>
          <w:szCs w:val="32"/>
        </w:rPr>
        <w:t>较2019年度决算数减少</w:t>
      </w:r>
      <w:r>
        <w:rPr>
          <w:rFonts w:hint="eastAsia" w:ascii="仿宋_GB2312" w:hAnsi="黑体" w:eastAsia="仿宋_GB2312" w:cs="仿宋_GB2312"/>
          <w:kern w:val="0"/>
          <w:sz w:val="32"/>
          <w:szCs w:val="32"/>
          <w:lang w:val="en-US" w:eastAsia="zh-CN"/>
        </w:rPr>
        <w:t>0.04</w:t>
      </w:r>
      <w:r>
        <w:rPr>
          <w:rFonts w:hint="eastAsia" w:ascii="仿宋_GB2312" w:hAnsi="黑体" w:eastAsia="仿宋_GB2312" w:cs="仿宋_GB2312"/>
          <w:kern w:val="0"/>
          <w:sz w:val="32"/>
          <w:szCs w:val="32"/>
        </w:rPr>
        <w:t>万元，下降</w:t>
      </w:r>
      <w:r>
        <w:rPr>
          <w:rFonts w:hint="eastAsia" w:ascii="仿宋_GB2312" w:hAnsi="黑体" w:eastAsia="仿宋_GB2312" w:cs="仿宋_GB2312"/>
          <w:kern w:val="0"/>
          <w:sz w:val="32"/>
          <w:szCs w:val="32"/>
          <w:lang w:val="en-US" w:eastAsia="zh-CN"/>
        </w:rPr>
        <w:t>0.04</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人员减少，开支减少</w:t>
      </w:r>
      <w:r>
        <w:rPr>
          <w:rFonts w:hint="eastAsia" w:ascii="仿宋_GB2312" w:hAnsi="黑体" w:eastAsia="仿宋_GB2312" w:cs="仿宋_GB2312"/>
          <w:kern w:val="0"/>
          <w:sz w:val="32"/>
          <w:szCs w:val="32"/>
        </w:rPr>
        <w:t>。</w:t>
      </w:r>
    </w:p>
    <w:p>
      <w:pPr>
        <w:numPr>
          <w:ilvl w:val="0"/>
          <w:numId w:val="0"/>
        </w:numPr>
        <w:autoSpaceDE w:val="0"/>
        <w:autoSpaceDN w:val="0"/>
        <w:adjustRightInd w:val="0"/>
        <w:spacing w:line="560" w:lineRule="exact"/>
        <w:ind w:leftChars="196" w:firstLine="320" w:firstLineChars="100"/>
        <w:jc w:val="left"/>
        <w:rPr>
          <w:rFonts w:hint="eastAsia" w:ascii="仿宋_GB2312" w:eastAsia="仿宋_GB2312" w:cs="仿宋_GB2312"/>
          <w:kern w:val="0"/>
          <w:sz w:val="32"/>
          <w:szCs w:val="32"/>
          <w:lang w:eastAsia="zh-CN"/>
        </w:rPr>
      </w:pPr>
      <w:r>
        <w:rPr>
          <w:rFonts w:hint="eastAsia" w:ascii="仿宋_GB2312" w:hAnsi="黑体" w:eastAsia="仿宋_GB2312" w:cs="仿宋_GB2312"/>
          <w:kern w:val="0"/>
          <w:sz w:val="32"/>
          <w:szCs w:val="32"/>
          <w:lang w:val="en-US" w:eastAsia="zh-CN"/>
        </w:rPr>
        <w:t>4.</w:t>
      </w:r>
      <w:r>
        <w:rPr>
          <w:rFonts w:hint="default" w:ascii="仿宋_GB2312" w:hAnsi="黑体" w:eastAsia="仿宋_GB2312" w:cs="仿宋_GB2312"/>
          <w:kern w:val="0"/>
          <w:sz w:val="32"/>
          <w:szCs w:val="32"/>
          <w:lang w:val="en-US" w:eastAsia="zh-CN"/>
        </w:rPr>
        <w:t>住房保障支出</w:t>
      </w:r>
      <w:r>
        <w:rPr>
          <w:rFonts w:hint="eastAsia" w:ascii="仿宋_GB2312" w:hAnsi="黑体" w:eastAsia="仿宋_GB2312" w:cs="仿宋_GB2312"/>
          <w:kern w:val="0"/>
          <w:sz w:val="32"/>
          <w:szCs w:val="32"/>
          <w:lang w:val="en-US" w:eastAsia="zh-CN"/>
        </w:rPr>
        <w:t>14.85万元，</w:t>
      </w:r>
      <w:r>
        <w:rPr>
          <w:rFonts w:hint="eastAsia" w:ascii="仿宋_GB2312" w:eastAsia="仿宋_GB2312"/>
          <w:bCs/>
          <w:kern w:val="0"/>
          <w:sz w:val="32"/>
          <w:szCs w:val="32"/>
        </w:rPr>
        <w:t>主要用于住房公</w:t>
      </w:r>
      <w:r>
        <w:rPr>
          <w:rFonts w:hint="eastAsia" w:ascii="仿宋_GB2312" w:eastAsia="仿宋_GB2312" w:cs="仿宋_GB2312"/>
          <w:kern w:val="0"/>
          <w:sz w:val="32"/>
          <w:szCs w:val="32"/>
        </w:rPr>
        <w:t>积金</w:t>
      </w:r>
      <w:r>
        <w:rPr>
          <w:rFonts w:hint="eastAsia" w:ascii="仿宋_GB2312" w:eastAsia="仿宋_GB2312" w:cs="仿宋_GB2312"/>
          <w:kern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eastAsia="仿宋_GB2312" w:cs="仿宋_GB2312"/>
          <w:kern w:val="0"/>
          <w:sz w:val="32"/>
          <w:szCs w:val="32"/>
          <w:lang w:val="en-US" w:eastAsia="zh-CN"/>
        </w:rPr>
      </w:pPr>
      <w:r>
        <w:rPr>
          <w:rFonts w:hint="eastAsia" w:ascii="仿宋_GB2312" w:hAnsi="黑体" w:eastAsia="仿宋_GB2312" w:cs="仿宋_GB2312"/>
          <w:kern w:val="0"/>
          <w:sz w:val="32"/>
          <w:szCs w:val="32"/>
        </w:rPr>
        <w:t>较2019年度决算数减少</w:t>
      </w:r>
      <w:r>
        <w:rPr>
          <w:rFonts w:hint="eastAsia" w:ascii="仿宋_GB2312" w:hAnsi="黑体" w:eastAsia="仿宋_GB2312" w:cs="仿宋_GB2312"/>
          <w:kern w:val="0"/>
          <w:sz w:val="32"/>
          <w:szCs w:val="32"/>
          <w:lang w:val="en-US" w:eastAsia="zh-CN"/>
        </w:rPr>
        <w:t>0.08</w:t>
      </w:r>
      <w:r>
        <w:rPr>
          <w:rFonts w:hint="eastAsia" w:ascii="仿宋_GB2312" w:hAnsi="黑体" w:eastAsia="仿宋_GB2312" w:cs="仿宋_GB2312"/>
          <w:kern w:val="0"/>
          <w:sz w:val="32"/>
          <w:szCs w:val="32"/>
        </w:rPr>
        <w:t>万元，下降</w:t>
      </w:r>
      <w:r>
        <w:rPr>
          <w:rFonts w:hint="eastAsia" w:ascii="仿宋_GB2312" w:hAnsi="黑体" w:eastAsia="仿宋_GB2312" w:cs="仿宋_GB2312"/>
          <w:kern w:val="0"/>
          <w:sz w:val="32"/>
          <w:szCs w:val="32"/>
          <w:lang w:val="en-US" w:eastAsia="zh-CN"/>
        </w:rPr>
        <w:t>0.05</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人员减少，开支减少</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cs="仿宋_GB2312"/>
          <w:kern w:val="0"/>
          <w:sz w:val="32"/>
          <w:szCs w:val="32"/>
          <w:lang w:val="en-US" w:eastAsia="zh-CN"/>
        </w:rPr>
        <w:t>5</w:t>
      </w:r>
      <w:r>
        <w:rPr>
          <w:rFonts w:hint="eastAsia" w:ascii="仿宋_GB2312" w:eastAsia="仿宋_GB2312" w:cs="仿宋_GB2312"/>
          <w:kern w:val="0"/>
          <w:sz w:val="32"/>
          <w:szCs w:val="32"/>
        </w:rPr>
        <w:t>.结余分配</w:t>
      </w:r>
      <w:r>
        <w:rPr>
          <w:rFonts w:hint="eastAsia" w:ascii="仿宋_GB2312" w:eastAsia="仿宋_GB2312"/>
          <w:kern w:val="0"/>
          <w:sz w:val="32"/>
          <w:szCs w:val="32"/>
          <w:lang w:val="en-US" w:eastAsia="zh-CN"/>
        </w:rPr>
        <w:t>0万</w:t>
      </w:r>
      <w:r>
        <w:rPr>
          <w:rFonts w:hint="eastAsia" w:ascii="仿宋_GB2312" w:eastAsia="仿宋_GB2312" w:cs="仿宋_GB2312"/>
          <w:kern w:val="0"/>
          <w:sz w:val="32"/>
          <w:szCs w:val="32"/>
        </w:rPr>
        <w:t>元</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cs="仿宋_GB2312"/>
          <w:kern w:val="0"/>
          <w:sz w:val="32"/>
          <w:szCs w:val="32"/>
          <w:lang w:val="en-US" w:eastAsia="zh-CN"/>
        </w:rPr>
        <w:t>6</w:t>
      </w:r>
      <w:r>
        <w:rPr>
          <w:rFonts w:hint="eastAsia" w:ascii="仿宋_GB2312" w:eastAsia="仿宋_GB2312" w:cs="仿宋_GB2312"/>
          <w:kern w:val="0"/>
          <w:sz w:val="32"/>
          <w:szCs w:val="32"/>
        </w:rPr>
        <w:t>.年末结转和结余</w:t>
      </w:r>
      <w:r>
        <w:rPr>
          <w:rFonts w:hint="eastAsia" w:ascii="仿宋_GB2312" w:eastAsia="仿宋_GB2312"/>
          <w:kern w:val="0"/>
          <w:sz w:val="32"/>
          <w:szCs w:val="32"/>
          <w:lang w:val="en-US" w:eastAsia="zh-CN"/>
        </w:rPr>
        <w:t>119.12</w:t>
      </w:r>
      <w:r>
        <w:rPr>
          <w:rFonts w:hint="eastAsia" w:ascii="仿宋_GB2312" w:eastAsia="仿宋_GB2312" w:cs="仿宋_GB2312"/>
          <w:kern w:val="0"/>
          <w:sz w:val="32"/>
          <w:szCs w:val="32"/>
        </w:rPr>
        <w:t>万元，为本年度或以前年度</w:t>
      </w:r>
    </w:p>
    <w:p>
      <w:pPr>
        <w:autoSpaceDE w:val="0"/>
        <w:autoSpaceDN w:val="0"/>
        <w:adjustRightInd w:val="0"/>
        <w:spacing w:line="560" w:lineRule="exact"/>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预算安排、因客观条件发生变化无法按原计划实施，需要延迟到以后年度按有关规定继续使用的资金。</w:t>
      </w:r>
      <w:r>
        <w:rPr>
          <w:rFonts w:hint="eastAsia" w:ascii="仿宋_GB2312" w:hAnsi="黑体" w:eastAsia="仿宋_GB2312" w:cs="仿宋_GB2312"/>
          <w:kern w:val="0"/>
          <w:sz w:val="32"/>
          <w:szCs w:val="32"/>
        </w:rPr>
        <w:t>较2019年度决算数减少</w:t>
      </w:r>
      <w:r>
        <w:rPr>
          <w:rFonts w:hint="eastAsia" w:ascii="仿宋_GB2312" w:hAnsi="黑体" w:eastAsia="仿宋_GB2312" w:cs="仿宋_GB2312"/>
          <w:kern w:val="0"/>
          <w:sz w:val="32"/>
          <w:szCs w:val="32"/>
          <w:lang w:val="en-US" w:eastAsia="zh-CN"/>
        </w:rPr>
        <w:t>35.08</w:t>
      </w:r>
      <w:r>
        <w:rPr>
          <w:rFonts w:hint="eastAsia" w:ascii="仿宋_GB2312" w:hAnsi="黑体" w:eastAsia="仿宋_GB2312" w:cs="仿宋_GB2312"/>
          <w:kern w:val="0"/>
          <w:sz w:val="32"/>
          <w:szCs w:val="32"/>
        </w:rPr>
        <w:t>万元，下降</w:t>
      </w:r>
      <w:r>
        <w:rPr>
          <w:rFonts w:hint="eastAsia" w:ascii="仿宋_GB2312" w:hAnsi="黑体" w:eastAsia="仿宋_GB2312" w:cs="仿宋_GB2312"/>
          <w:kern w:val="0"/>
          <w:sz w:val="32"/>
          <w:szCs w:val="32"/>
          <w:lang w:val="en-US" w:eastAsia="zh-CN"/>
        </w:rPr>
        <w:t>22.75</w:t>
      </w:r>
      <w:r>
        <w:rPr>
          <w:rFonts w:hint="eastAsia" w:ascii="仿宋_GB2312" w:hAnsi="黑体" w:eastAsia="仿宋_GB2312" w:cs="仿宋_GB2312"/>
          <w:kern w:val="0"/>
          <w:sz w:val="32"/>
          <w:szCs w:val="32"/>
        </w:rPr>
        <w:t>%，主要原因是本年度严格预算管理，及时追加减经费，结转结余经费大幅减少。</w:t>
      </w:r>
    </w:p>
    <w:p>
      <w:pPr>
        <w:ind w:firstLine="645"/>
        <w:rPr>
          <w:rFonts w:hint="eastAsia" w:ascii="黑体" w:hAnsi="黑体" w:eastAsia="黑体"/>
          <w:sz w:val="32"/>
          <w:szCs w:val="32"/>
          <w:lang w:eastAsia="zh-CN"/>
        </w:rPr>
      </w:pPr>
      <w:r>
        <w:rPr>
          <w:rFonts w:hint="eastAsia" w:ascii="黑体" w:hAnsi="黑体" w:eastAsia="黑体"/>
          <w:sz w:val="32"/>
          <w:szCs w:val="32"/>
          <w:lang w:eastAsia="zh-CN"/>
        </w:rPr>
        <w:t>二、2020 年度一般公共预算财政拨款支出决算情况。</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hAnsi="黑体" w:eastAsia="仿宋_GB2312"/>
          <w:bCs/>
          <w:color w:val="000000"/>
          <w:sz w:val="32"/>
          <w:szCs w:val="32"/>
          <w:u w:val="none"/>
          <w:lang w:eastAsia="zh-CN"/>
        </w:rPr>
        <w:t>广西壮族自治区建材产品质量检验站</w:t>
      </w:r>
      <w:r>
        <w:rPr>
          <w:rFonts w:hint="eastAsia" w:ascii="仿宋_GB2312" w:eastAsia="仿宋_GB2312"/>
          <w:kern w:val="0"/>
          <w:sz w:val="32"/>
          <w:szCs w:val="32"/>
        </w:rPr>
        <w:t>2020</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w:t>
      </w:r>
      <w:r>
        <w:rPr>
          <w:rFonts w:hint="eastAsia" w:ascii="仿宋_GB2312" w:eastAsia="仿宋_GB2312"/>
          <w:kern w:val="0"/>
          <w:sz w:val="32"/>
          <w:szCs w:val="32"/>
          <w:lang w:val="en-US" w:eastAsia="zh-CN"/>
        </w:rPr>
        <w:t>237.61</w:t>
      </w:r>
      <w:r>
        <w:rPr>
          <w:rFonts w:hint="eastAsia" w:ascii="仿宋_GB2312" w:eastAsia="仿宋_GB2312" w:cs="仿宋_GB2312"/>
          <w:kern w:val="0"/>
          <w:sz w:val="32"/>
          <w:szCs w:val="32"/>
        </w:rPr>
        <w:t>万元，</w:t>
      </w:r>
      <w:r>
        <w:rPr>
          <w:rFonts w:hint="eastAsia" w:ascii="仿宋_GB2312" w:hAnsi="黑体" w:eastAsia="仿宋_GB2312" w:cs="仿宋_GB2312"/>
          <w:kern w:val="0"/>
          <w:sz w:val="32"/>
          <w:szCs w:val="32"/>
        </w:rPr>
        <w:t>较2019年度决算数减少</w:t>
      </w:r>
      <w:r>
        <w:rPr>
          <w:rFonts w:hint="eastAsia" w:ascii="仿宋_GB2312" w:hAnsi="黑体" w:eastAsia="仿宋_GB2312" w:cs="仿宋_GB2312"/>
          <w:kern w:val="0"/>
          <w:sz w:val="32"/>
          <w:szCs w:val="32"/>
          <w:lang w:val="en-US" w:eastAsia="zh-CN"/>
        </w:rPr>
        <w:t>9.81</w:t>
      </w:r>
      <w:r>
        <w:rPr>
          <w:rFonts w:hint="eastAsia" w:ascii="仿宋_GB2312" w:hAnsi="黑体" w:eastAsia="仿宋_GB2312" w:cs="仿宋_GB2312"/>
          <w:kern w:val="0"/>
          <w:sz w:val="32"/>
          <w:szCs w:val="32"/>
        </w:rPr>
        <w:t xml:space="preserve"> 万元，下降</w:t>
      </w:r>
      <w:r>
        <w:rPr>
          <w:rFonts w:hint="eastAsia" w:ascii="仿宋_GB2312" w:hAnsi="黑体" w:eastAsia="仿宋_GB2312" w:cs="仿宋_GB2312"/>
          <w:kern w:val="0"/>
          <w:sz w:val="32"/>
          <w:szCs w:val="32"/>
          <w:lang w:val="en-US" w:eastAsia="zh-CN"/>
        </w:rPr>
        <w:t>4.31</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其中：基本支出</w:t>
      </w:r>
      <w:r>
        <w:rPr>
          <w:rFonts w:hint="eastAsia" w:ascii="仿宋_GB2312" w:eastAsia="仿宋_GB2312"/>
          <w:kern w:val="0"/>
          <w:sz w:val="32"/>
          <w:szCs w:val="32"/>
          <w:lang w:val="en-US" w:eastAsia="zh-CN"/>
        </w:rPr>
        <w:t>212.46</w:t>
      </w:r>
      <w:r>
        <w:rPr>
          <w:rFonts w:hint="eastAsia" w:ascii="仿宋_GB2312" w:eastAsia="仿宋_GB2312" w:cs="仿宋_GB2312"/>
          <w:kern w:val="0"/>
          <w:sz w:val="32"/>
          <w:szCs w:val="32"/>
        </w:rPr>
        <w:t>万元，项目支出</w:t>
      </w:r>
      <w:r>
        <w:rPr>
          <w:rFonts w:hint="eastAsia" w:ascii="仿宋_GB2312" w:eastAsia="仿宋_GB2312"/>
          <w:kern w:val="0"/>
          <w:sz w:val="32"/>
          <w:szCs w:val="32"/>
          <w:lang w:val="en-US" w:eastAsia="zh-CN"/>
        </w:rPr>
        <w:t>25.15</w:t>
      </w:r>
      <w:r>
        <w:rPr>
          <w:rFonts w:hint="eastAsia" w:ascii="仿宋_GB2312" w:eastAsia="仿宋_GB2312" w:cs="仿宋_GB2312"/>
          <w:kern w:val="0"/>
          <w:sz w:val="32"/>
          <w:szCs w:val="32"/>
        </w:rPr>
        <w:t>万元。</w:t>
      </w:r>
    </w:p>
    <w:p>
      <w:pPr>
        <w:autoSpaceDE w:val="0"/>
        <w:autoSpaceDN w:val="0"/>
        <w:adjustRightInd w:val="0"/>
        <w:spacing w:line="560" w:lineRule="exact"/>
        <w:ind w:firstLine="640" w:firstLineChars="200"/>
        <w:jc w:val="left"/>
        <w:rPr>
          <w:rFonts w:hint="eastAsia" w:ascii="仿宋_GB2312" w:hAnsi="黑体" w:eastAsia="仿宋_GB2312" w:cs="仿宋_GB2312"/>
          <w:kern w:val="0"/>
          <w:sz w:val="32"/>
          <w:szCs w:val="32"/>
        </w:rPr>
      </w:pPr>
      <w:r>
        <w:rPr>
          <w:rFonts w:hint="eastAsia" w:ascii="仿宋_GB2312" w:hAnsi="黑体" w:eastAsia="仿宋_GB2312"/>
          <w:bCs/>
          <w:color w:val="000000"/>
          <w:sz w:val="32"/>
          <w:szCs w:val="32"/>
          <w:u w:val="none"/>
          <w:lang w:eastAsia="zh-CN"/>
        </w:rPr>
        <w:t>广西壮族自治区建材产品质量检验站</w:t>
      </w:r>
      <w:r>
        <w:rPr>
          <w:rFonts w:hint="eastAsia" w:ascii="仿宋_GB2312" w:hAnsi="黑体" w:eastAsia="仿宋_GB2312"/>
          <w:kern w:val="0"/>
          <w:sz w:val="32"/>
          <w:szCs w:val="32"/>
        </w:rPr>
        <w:t xml:space="preserve">2020 </w:t>
      </w:r>
      <w:r>
        <w:rPr>
          <w:rFonts w:hint="eastAsia" w:ascii="仿宋_GB2312" w:hAnsi="黑体" w:eastAsia="仿宋_GB2312" w:cs="仿宋_GB2312"/>
          <w:kern w:val="0"/>
          <w:sz w:val="32"/>
          <w:szCs w:val="32"/>
        </w:rPr>
        <w:t>年度</w:t>
      </w:r>
      <w:r>
        <w:rPr>
          <w:rFonts w:hint="eastAsia" w:ascii="仿宋_GB2312" w:hAnsi="黑体" w:eastAsia="仿宋_GB2312"/>
          <w:sz w:val="32"/>
          <w:szCs w:val="32"/>
        </w:rPr>
        <w:t>一般</w:t>
      </w:r>
      <w:r>
        <w:rPr>
          <w:rFonts w:hint="eastAsia" w:ascii="仿宋_GB2312" w:hAnsi="黑体" w:eastAsia="仿宋_GB2312" w:cs="仿宋_GB2312"/>
          <w:kern w:val="0"/>
          <w:sz w:val="32"/>
          <w:szCs w:val="32"/>
        </w:rPr>
        <w:t>公共预算财政拨款支出年初预算为</w:t>
      </w:r>
      <w:r>
        <w:rPr>
          <w:rFonts w:hint="eastAsia" w:ascii="仿宋_GB2312" w:hAnsi="黑体" w:eastAsia="仿宋_GB2312" w:cs="仿宋_GB2312"/>
          <w:kern w:val="0"/>
          <w:sz w:val="32"/>
          <w:szCs w:val="32"/>
          <w:lang w:val="en-US" w:eastAsia="zh-CN"/>
        </w:rPr>
        <w:t>248.03</w:t>
      </w:r>
      <w:r>
        <w:rPr>
          <w:rFonts w:hint="eastAsia" w:ascii="仿宋_GB2312" w:hAnsi="黑体" w:eastAsia="仿宋_GB2312" w:cs="仿宋_GB2312"/>
          <w:kern w:val="0"/>
          <w:sz w:val="32"/>
          <w:szCs w:val="32"/>
        </w:rPr>
        <w:t>万元，支出决算为</w:t>
      </w:r>
      <w:r>
        <w:rPr>
          <w:rFonts w:hint="eastAsia" w:ascii="仿宋_GB2312" w:hAnsi="黑体" w:eastAsia="仿宋_GB2312" w:cs="仿宋_GB2312"/>
          <w:kern w:val="0"/>
          <w:sz w:val="32"/>
          <w:szCs w:val="32"/>
          <w:lang w:val="en-US" w:eastAsia="zh-CN"/>
        </w:rPr>
        <w:t>237.61</w:t>
      </w:r>
      <w:r>
        <w:rPr>
          <w:rFonts w:hint="eastAsia" w:ascii="仿宋_GB2312" w:hAnsi="黑体" w:eastAsia="仿宋_GB2312" w:cs="仿宋_GB2312"/>
          <w:kern w:val="0"/>
          <w:sz w:val="32"/>
          <w:szCs w:val="32"/>
        </w:rPr>
        <w:t>万元，完成年初预算的</w:t>
      </w:r>
      <w:r>
        <w:rPr>
          <w:rFonts w:hint="eastAsia" w:ascii="仿宋_GB2312" w:hAnsi="黑体" w:eastAsia="仿宋_GB2312" w:cs="仿宋_GB2312"/>
          <w:kern w:val="0"/>
          <w:sz w:val="32"/>
          <w:szCs w:val="32"/>
          <w:lang w:val="en-US" w:eastAsia="zh-CN"/>
        </w:rPr>
        <w:t>95.8</w:t>
      </w:r>
      <w:r>
        <w:rPr>
          <w:rFonts w:hint="eastAsia" w:ascii="仿宋_GB2312" w:hAnsi="黑体" w:eastAsia="仿宋_GB2312" w:cs="仿宋_GB2312"/>
          <w:kern w:val="0"/>
          <w:sz w:val="32"/>
          <w:szCs w:val="32"/>
        </w:rPr>
        <w:t>%。</w:t>
      </w:r>
    </w:p>
    <w:p>
      <w:pPr>
        <w:autoSpaceDE w:val="0"/>
        <w:autoSpaceDN w:val="0"/>
        <w:adjustRightInd w:val="0"/>
        <w:spacing w:line="560" w:lineRule="exact"/>
        <w:ind w:firstLine="640" w:firstLineChars="200"/>
        <w:jc w:val="left"/>
        <w:rPr>
          <w:rFonts w:hint="default" w:ascii="仿宋_GB2312" w:eastAsia="仿宋_GB2312" w:cs="仿宋_GB2312"/>
          <w:kern w:val="0"/>
          <w:sz w:val="32"/>
          <w:szCs w:val="32"/>
          <w:lang w:val="en-US" w:eastAsia="zh-CN"/>
        </w:rPr>
      </w:pPr>
      <w:r>
        <w:rPr>
          <w:rFonts w:hint="eastAsia" w:ascii="仿宋_GB2312" w:hAnsi="Times New Roman" w:eastAsia="仿宋_GB2312" w:cs="Times New Roman"/>
          <w:bCs/>
          <w:kern w:val="0"/>
          <w:sz w:val="32"/>
          <w:szCs w:val="32"/>
          <w:lang w:val="en-US" w:eastAsia="zh-CN"/>
        </w:rPr>
        <w:t>（一）</w:t>
      </w:r>
      <w:r>
        <w:rPr>
          <w:rFonts w:hint="eastAsia" w:ascii="仿宋_GB2312" w:eastAsia="仿宋_GB2312"/>
          <w:bCs/>
          <w:kern w:val="0"/>
          <w:sz w:val="32"/>
          <w:szCs w:val="32"/>
        </w:rPr>
        <w:t>科学技术支出</w:t>
      </w:r>
      <w:r>
        <w:rPr>
          <w:rFonts w:hint="eastAsia" w:ascii="仿宋_GB2312" w:hAnsi="黑体" w:eastAsia="仿宋_GB2312" w:cs="仿宋_GB2312"/>
          <w:kern w:val="0"/>
          <w:sz w:val="32"/>
          <w:szCs w:val="32"/>
        </w:rPr>
        <w:t>年初预算为</w:t>
      </w:r>
      <w:r>
        <w:rPr>
          <w:rFonts w:hint="eastAsia" w:ascii="仿宋_GB2312" w:hAnsi="黑体" w:eastAsia="仿宋_GB2312" w:cs="仿宋_GB2312"/>
          <w:kern w:val="0"/>
          <w:sz w:val="32"/>
          <w:szCs w:val="32"/>
          <w:lang w:val="en-US" w:eastAsia="zh-CN"/>
        </w:rPr>
        <w:t>200.65</w:t>
      </w:r>
      <w:r>
        <w:rPr>
          <w:rFonts w:hint="eastAsia" w:ascii="仿宋_GB2312" w:hAnsi="黑体" w:eastAsia="仿宋_GB2312" w:cs="仿宋_GB2312"/>
          <w:kern w:val="0"/>
          <w:sz w:val="32"/>
          <w:szCs w:val="32"/>
        </w:rPr>
        <w:t>万元，支出决算为</w:t>
      </w:r>
      <w:r>
        <w:rPr>
          <w:rFonts w:hint="eastAsia" w:ascii="仿宋_GB2312" w:hAnsi="黑体" w:eastAsia="仿宋_GB2312" w:cs="仿宋_GB2312"/>
          <w:kern w:val="0"/>
          <w:sz w:val="32"/>
          <w:szCs w:val="32"/>
          <w:lang w:val="en-US" w:eastAsia="zh-CN"/>
        </w:rPr>
        <w:t>190.23</w:t>
      </w:r>
      <w:r>
        <w:rPr>
          <w:rFonts w:hint="eastAsia" w:ascii="仿宋_GB2312" w:hAnsi="黑体" w:eastAsia="仿宋_GB2312" w:cs="仿宋_GB2312"/>
          <w:kern w:val="0"/>
          <w:sz w:val="32"/>
          <w:szCs w:val="32"/>
        </w:rPr>
        <w:t>万元，完成年初预算的</w:t>
      </w:r>
      <w:r>
        <w:rPr>
          <w:rFonts w:hint="eastAsia" w:ascii="仿宋_GB2312" w:hAnsi="黑体" w:eastAsia="仿宋_GB2312" w:cs="仿宋_GB2312"/>
          <w:kern w:val="0"/>
          <w:sz w:val="32"/>
          <w:szCs w:val="32"/>
          <w:lang w:val="en-US" w:eastAsia="zh-CN"/>
        </w:rPr>
        <w:t>94.81</w:t>
      </w:r>
      <w:r>
        <w:rPr>
          <w:rFonts w:hint="eastAsia" w:ascii="仿宋_GB2312" w:hAnsi="黑体" w:eastAsia="仿宋_GB2312" w:cs="仿宋_GB2312"/>
          <w:kern w:val="0"/>
          <w:sz w:val="32"/>
          <w:szCs w:val="32"/>
        </w:rPr>
        <w:t>%。预决算差异</w:t>
      </w:r>
      <w:r>
        <w:rPr>
          <w:rFonts w:hint="eastAsia" w:ascii="仿宋_GB2312" w:hAnsi="黑体" w:eastAsia="仿宋_GB2312" w:cs="仿宋_GB2312"/>
          <w:kern w:val="0"/>
          <w:sz w:val="32"/>
          <w:szCs w:val="32"/>
          <w:lang w:eastAsia="zh-CN"/>
        </w:rPr>
        <w:t>主要是人员减少，开支降低。</w:t>
      </w:r>
      <w:r>
        <w:rPr>
          <w:rFonts w:hint="eastAsia" w:ascii="仿宋_GB2312" w:eastAsia="仿宋_GB2312" w:cs="仿宋_GB2312"/>
          <w:kern w:val="0"/>
          <w:sz w:val="32"/>
          <w:szCs w:val="32"/>
        </w:rPr>
        <w:t>主要用于其他技术研究与开发支出</w:t>
      </w:r>
      <w:r>
        <w:rPr>
          <w:rFonts w:hint="eastAsia" w:ascii="仿宋_GB2312" w:eastAsia="仿宋_GB2312" w:cs="仿宋_GB2312"/>
          <w:kern w:val="0"/>
          <w:sz w:val="32"/>
          <w:szCs w:val="32"/>
          <w:lang w:val="en-US" w:eastAsia="zh-CN"/>
        </w:rPr>
        <w:t>12.14万元，机构运行支出165.08万元，其他科技条件与服务支出13.01万元。</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eastAsia="仿宋_GB2312" w:cs="仿宋_GB2312"/>
          <w:kern w:val="0"/>
          <w:sz w:val="32"/>
          <w:szCs w:val="32"/>
          <w:lang w:val="en-US" w:eastAsia="zh-CN"/>
        </w:rPr>
      </w:pPr>
      <w:r>
        <w:rPr>
          <w:rFonts w:hint="eastAsia" w:ascii="仿宋_GB2312" w:hAnsi="Times New Roman" w:eastAsia="仿宋_GB2312" w:cs="Times New Roman"/>
          <w:bCs/>
          <w:kern w:val="0"/>
          <w:sz w:val="32"/>
          <w:szCs w:val="32"/>
          <w:lang w:val="en-US" w:eastAsia="zh-CN"/>
        </w:rPr>
        <w:t>(二)</w:t>
      </w:r>
      <w:r>
        <w:rPr>
          <w:rFonts w:hint="eastAsia" w:ascii="仿宋_GB2312" w:eastAsia="仿宋_GB2312" w:cs="仿宋_GB2312"/>
          <w:kern w:val="0"/>
          <w:sz w:val="32"/>
          <w:szCs w:val="32"/>
        </w:rPr>
        <w:t>社会保障和就业支出</w:t>
      </w:r>
      <w:r>
        <w:rPr>
          <w:rFonts w:hint="eastAsia" w:ascii="仿宋_GB2312" w:hAnsi="黑体" w:eastAsia="仿宋_GB2312" w:cs="仿宋_GB2312"/>
          <w:kern w:val="0"/>
          <w:sz w:val="32"/>
          <w:szCs w:val="32"/>
        </w:rPr>
        <w:t>年初预算为</w:t>
      </w:r>
      <w:r>
        <w:rPr>
          <w:rFonts w:hint="eastAsia" w:ascii="仿宋_GB2312" w:hAnsi="黑体" w:eastAsia="仿宋_GB2312" w:cs="仿宋_GB2312"/>
          <w:kern w:val="0"/>
          <w:sz w:val="32"/>
          <w:szCs w:val="32"/>
          <w:lang w:val="en-US" w:eastAsia="zh-CN"/>
        </w:rPr>
        <w:t>23.86</w:t>
      </w:r>
      <w:r>
        <w:rPr>
          <w:rFonts w:hint="eastAsia" w:ascii="仿宋_GB2312" w:hAnsi="黑体" w:eastAsia="仿宋_GB2312" w:cs="仿宋_GB2312"/>
          <w:kern w:val="0"/>
          <w:sz w:val="32"/>
          <w:szCs w:val="32"/>
        </w:rPr>
        <w:t>万元，支出决算为</w:t>
      </w:r>
      <w:r>
        <w:rPr>
          <w:rFonts w:hint="eastAsia" w:ascii="仿宋_GB2312" w:hAnsi="黑体" w:eastAsia="仿宋_GB2312" w:cs="仿宋_GB2312"/>
          <w:kern w:val="0"/>
          <w:sz w:val="32"/>
          <w:szCs w:val="32"/>
          <w:lang w:val="en-US" w:eastAsia="zh-CN"/>
        </w:rPr>
        <w:t>23.86</w:t>
      </w:r>
      <w:r>
        <w:rPr>
          <w:rFonts w:hint="eastAsia" w:ascii="仿宋_GB2312" w:hAnsi="黑体" w:eastAsia="仿宋_GB2312" w:cs="仿宋_GB2312"/>
          <w:kern w:val="0"/>
          <w:sz w:val="32"/>
          <w:szCs w:val="32"/>
        </w:rPr>
        <w:t>万元，完成年初预算的</w:t>
      </w:r>
      <w:r>
        <w:rPr>
          <w:rFonts w:hint="eastAsia" w:ascii="仿宋_GB2312" w:hAnsi="黑体" w:eastAsia="仿宋_GB2312" w:cs="仿宋_GB2312"/>
          <w:kern w:val="0"/>
          <w:sz w:val="32"/>
          <w:szCs w:val="32"/>
          <w:lang w:val="en-US" w:eastAsia="zh-CN"/>
        </w:rPr>
        <w:t>100</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主要用于</w:t>
      </w:r>
      <w:r>
        <w:rPr>
          <w:rFonts w:hint="eastAsia" w:ascii="仿宋_GB2312" w:hAnsi="黑体" w:eastAsia="仿宋_GB2312"/>
          <w:bCs/>
          <w:color w:val="000000"/>
          <w:sz w:val="32"/>
          <w:szCs w:val="32"/>
        </w:rPr>
        <w:t>按国家规定</w:t>
      </w:r>
      <w:r>
        <w:rPr>
          <w:rFonts w:hint="eastAsia" w:ascii="仿宋_GB2312" w:eastAsia="仿宋_GB2312" w:cs="仿宋_GB2312"/>
          <w:kern w:val="0"/>
          <w:sz w:val="32"/>
          <w:szCs w:val="32"/>
        </w:rPr>
        <w:t>发放的离退休人员工资津补贴及离退休人员管理方面的支出</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lang w:val="en-US" w:eastAsia="zh-CN"/>
        </w:rPr>
        <w:t xml:space="preserve">         </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cs="仿宋_GB2312"/>
          <w:kern w:val="0"/>
          <w:sz w:val="32"/>
          <w:szCs w:val="32"/>
          <w:lang w:eastAsia="zh-CN"/>
        </w:rPr>
        <w:t>（三）</w:t>
      </w:r>
      <w:r>
        <w:rPr>
          <w:rFonts w:hint="eastAsia" w:ascii="仿宋_GB2312" w:eastAsia="仿宋_GB2312" w:cs="仿宋_GB2312"/>
          <w:kern w:val="0"/>
          <w:sz w:val="32"/>
          <w:szCs w:val="32"/>
        </w:rPr>
        <w:t>卫生健康支出</w:t>
      </w:r>
      <w:r>
        <w:rPr>
          <w:rFonts w:hint="eastAsia" w:ascii="仿宋_GB2312" w:hAnsi="黑体" w:eastAsia="仿宋_GB2312" w:cs="仿宋_GB2312"/>
          <w:kern w:val="0"/>
          <w:sz w:val="32"/>
          <w:szCs w:val="32"/>
        </w:rPr>
        <w:t>年初预算为</w:t>
      </w:r>
      <w:r>
        <w:rPr>
          <w:rFonts w:hint="eastAsia" w:ascii="仿宋_GB2312" w:hAnsi="黑体" w:eastAsia="仿宋_GB2312" w:cs="仿宋_GB2312"/>
          <w:kern w:val="0"/>
          <w:sz w:val="32"/>
          <w:szCs w:val="32"/>
          <w:lang w:val="en-US" w:eastAsia="zh-CN"/>
        </w:rPr>
        <w:t>8.67</w:t>
      </w:r>
      <w:r>
        <w:rPr>
          <w:rFonts w:hint="eastAsia" w:ascii="仿宋_GB2312" w:hAnsi="黑体" w:eastAsia="仿宋_GB2312" w:cs="仿宋_GB2312"/>
          <w:kern w:val="0"/>
          <w:sz w:val="32"/>
          <w:szCs w:val="32"/>
        </w:rPr>
        <w:t>万元，支出决算为</w:t>
      </w:r>
      <w:r>
        <w:rPr>
          <w:rFonts w:hint="eastAsia" w:ascii="仿宋_GB2312" w:hAnsi="黑体" w:eastAsia="仿宋_GB2312" w:cs="仿宋_GB2312"/>
          <w:kern w:val="0"/>
          <w:sz w:val="32"/>
          <w:szCs w:val="32"/>
          <w:lang w:val="en-US" w:eastAsia="zh-CN"/>
        </w:rPr>
        <w:t>8.67</w:t>
      </w:r>
      <w:r>
        <w:rPr>
          <w:rFonts w:hint="eastAsia" w:ascii="仿宋_GB2312" w:hAnsi="黑体" w:eastAsia="仿宋_GB2312" w:cs="仿宋_GB2312"/>
          <w:kern w:val="0"/>
          <w:sz w:val="32"/>
          <w:szCs w:val="32"/>
        </w:rPr>
        <w:t>万元，完成年初预算的</w:t>
      </w:r>
      <w:r>
        <w:rPr>
          <w:rFonts w:hint="eastAsia" w:ascii="仿宋_GB2312" w:hAnsi="黑体" w:eastAsia="仿宋_GB2312" w:cs="仿宋_GB2312"/>
          <w:kern w:val="0"/>
          <w:sz w:val="32"/>
          <w:szCs w:val="32"/>
          <w:lang w:val="en-US" w:eastAsia="zh-CN"/>
        </w:rPr>
        <w:t>100</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主要用于</w:t>
      </w:r>
      <w:r>
        <w:rPr>
          <w:rFonts w:hint="eastAsia" w:ascii="仿宋_GB2312" w:hAnsi="黑体" w:eastAsia="仿宋_GB2312" w:cs="仿宋_GB2312"/>
          <w:kern w:val="0"/>
          <w:sz w:val="32"/>
          <w:szCs w:val="32"/>
          <w:lang w:val="en-US" w:eastAsia="zh-CN"/>
        </w:rPr>
        <w:t>主要用于事业单位医疗，支付职工医疗保险</w:t>
      </w:r>
      <w:r>
        <w:rPr>
          <w:rFonts w:hint="eastAsia" w:ascii="仿宋_GB2312" w:eastAsia="仿宋_GB2312" w:cs="仿宋_GB2312"/>
          <w:kern w:val="0"/>
          <w:sz w:val="32"/>
          <w:szCs w:val="32"/>
          <w:lang w:eastAsia="zh-CN"/>
        </w:rPr>
        <w:t>。</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lang w:eastAsia="zh-CN"/>
        </w:rPr>
        <w:t>（四）</w:t>
      </w:r>
      <w:r>
        <w:rPr>
          <w:rFonts w:hint="eastAsia" w:ascii="仿宋_GB2312" w:eastAsia="仿宋_GB2312" w:cs="仿宋_GB2312"/>
          <w:kern w:val="0"/>
          <w:sz w:val="32"/>
          <w:szCs w:val="32"/>
        </w:rPr>
        <w:t>住房保障支出</w:t>
      </w:r>
      <w:r>
        <w:rPr>
          <w:rFonts w:hint="eastAsia" w:ascii="仿宋_GB2312" w:hAnsi="黑体" w:eastAsia="仿宋_GB2312" w:cs="仿宋_GB2312"/>
          <w:kern w:val="0"/>
          <w:sz w:val="32"/>
          <w:szCs w:val="32"/>
        </w:rPr>
        <w:t>年初预算为</w:t>
      </w:r>
      <w:r>
        <w:rPr>
          <w:rFonts w:hint="eastAsia" w:ascii="仿宋_GB2312" w:hAnsi="黑体" w:eastAsia="仿宋_GB2312" w:cs="仿宋_GB2312"/>
          <w:kern w:val="0"/>
          <w:sz w:val="32"/>
          <w:szCs w:val="32"/>
          <w:lang w:val="en-US" w:eastAsia="zh-CN"/>
        </w:rPr>
        <w:t>14.85</w:t>
      </w:r>
      <w:r>
        <w:rPr>
          <w:rFonts w:hint="eastAsia" w:ascii="仿宋_GB2312" w:hAnsi="黑体" w:eastAsia="仿宋_GB2312" w:cs="仿宋_GB2312"/>
          <w:kern w:val="0"/>
          <w:sz w:val="32"/>
          <w:szCs w:val="32"/>
        </w:rPr>
        <w:t>万元，支出决算为</w:t>
      </w:r>
      <w:r>
        <w:rPr>
          <w:rFonts w:hint="eastAsia" w:ascii="仿宋_GB2312" w:hAnsi="黑体" w:eastAsia="仿宋_GB2312" w:cs="仿宋_GB2312"/>
          <w:kern w:val="0"/>
          <w:sz w:val="32"/>
          <w:szCs w:val="32"/>
          <w:lang w:val="en-US" w:eastAsia="zh-CN"/>
        </w:rPr>
        <w:t>14.85</w:t>
      </w:r>
      <w:r>
        <w:rPr>
          <w:rFonts w:hint="eastAsia" w:ascii="仿宋_GB2312" w:hAnsi="黑体" w:eastAsia="仿宋_GB2312" w:cs="仿宋_GB2312"/>
          <w:kern w:val="0"/>
          <w:sz w:val="32"/>
          <w:szCs w:val="32"/>
        </w:rPr>
        <w:t>万元，完成年初预算的</w:t>
      </w:r>
      <w:r>
        <w:rPr>
          <w:rFonts w:hint="eastAsia" w:ascii="仿宋_GB2312" w:hAnsi="黑体" w:eastAsia="仿宋_GB2312" w:cs="仿宋_GB2312"/>
          <w:kern w:val="0"/>
          <w:sz w:val="32"/>
          <w:szCs w:val="32"/>
          <w:lang w:val="en-US" w:eastAsia="zh-CN"/>
        </w:rPr>
        <w:t>100</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主要用于</w:t>
      </w:r>
      <w:r>
        <w:rPr>
          <w:rFonts w:hint="eastAsia" w:ascii="仿宋_GB2312" w:eastAsia="仿宋_GB2312"/>
          <w:bCs/>
          <w:kern w:val="0"/>
          <w:sz w:val="32"/>
          <w:szCs w:val="32"/>
        </w:rPr>
        <w:t>主要用于住房公</w:t>
      </w:r>
      <w:r>
        <w:rPr>
          <w:rFonts w:hint="eastAsia" w:ascii="仿宋_GB2312" w:eastAsia="仿宋_GB2312" w:cs="仿宋_GB2312"/>
          <w:kern w:val="0"/>
          <w:sz w:val="32"/>
          <w:szCs w:val="32"/>
        </w:rPr>
        <w:t>积金</w:t>
      </w:r>
      <w:r>
        <w:rPr>
          <w:rFonts w:hint="eastAsia" w:ascii="仿宋_GB2312" w:eastAsia="仿宋_GB2312" w:cs="仿宋_GB2312"/>
          <w:kern w:val="0"/>
          <w:sz w:val="32"/>
          <w:szCs w:val="32"/>
          <w:lang w:eastAsia="zh-CN"/>
        </w:rPr>
        <w:t>。</w:t>
      </w:r>
    </w:p>
    <w:p>
      <w:pPr>
        <w:ind w:firstLine="645"/>
        <w:rPr>
          <w:rFonts w:hint="eastAsia" w:ascii="黑体" w:hAnsi="黑体" w:eastAsia="黑体"/>
          <w:sz w:val="32"/>
          <w:szCs w:val="32"/>
          <w:lang w:eastAsia="zh-CN"/>
        </w:rPr>
      </w:pPr>
      <w:r>
        <w:rPr>
          <w:rFonts w:hint="eastAsia" w:ascii="黑体" w:hAnsi="黑体" w:eastAsia="黑体"/>
          <w:sz w:val="32"/>
          <w:szCs w:val="32"/>
          <w:lang w:eastAsia="zh-CN"/>
        </w:rPr>
        <w:t>三、2020年度一般公共预算财政拨款基本支出决算情况说明。</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2020年度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公共预算财政拨款基本支出</w:t>
      </w:r>
      <w:r>
        <w:rPr>
          <w:rFonts w:hint="eastAsia" w:ascii="仿宋_GB2312" w:eastAsia="仿宋_GB2312" w:cs="仿宋_GB2312"/>
          <w:kern w:val="0"/>
          <w:sz w:val="32"/>
          <w:szCs w:val="32"/>
          <w:lang w:val="en-US" w:eastAsia="zh-CN"/>
        </w:rPr>
        <w:t>212.46</w:t>
      </w:r>
      <w:r>
        <w:rPr>
          <w:rFonts w:hint="eastAsia" w:ascii="仿宋_GB2312" w:eastAsia="仿宋_GB2312" w:cs="仿宋_GB2312"/>
          <w:kern w:val="0"/>
          <w:sz w:val="32"/>
          <w:szCs w:val="32"/>
        </w:rPr>
        <w:t>万元，支出具体情况如下：</w:t>
      </w:r>
    </w:p>
    <w:p>
      <w:pPr>
        <w:autoSpaceDE w:val="0"/>
        <w:autoSpaceDN w:val="0"/>
        <w:adjustRightInd w:val="0"/>
        <w:spacing w:line="560" w:lineRule="exact"/>
        <w:ind w:firstLine="640" w:firstLineChars="200"/>
        <w:jc w:val="left"/>
        <w:rPr>
          <w:rFonts w:hint="default" w:ascii="仿宋_GB2312" w:eastAsia="仿宋_GB2312"/>
          <w:bCs/>
          <w:kern w:val="0"/>
          <w:sz w:val="32"/>
          <w:szCs w:val="32"/>
          <w:lang w:val="en-US"/>
        </w:rPr>
      </w:pPr>
      <w:r>
        <w:rPr>
          <w:rFonts w:hint="eastAsia" w:ascii="仿宋_GB2312" w:eastAsia="仿宋_GB2312"/>
          <w:bCs/>
          <w:kern w:val="0"/>
          <w:sz w:val="32"/>
          <w:szCs w:val="32"/>
        </w:rPr>
        <w:t>（一）工资福利支出</w:t>
      </w:r>
      <w:r>
        <w:rPr>
          <w:rFonts w:hint="eastAsia" w:ascii="仿宋_GB2312" w:eastAsia="仿宋_GB2312"/>
          <w:bCs/>
          <w:kern w:val="0"/>
          <w:sz w:val="32"/>
          <w:szCs w:val="32"/>
          <w:lang w:val="en-US" w:eastAsia="zh-CN"/>
        </w:rPr>
        <w:t>166.7</w:t>
      </w:r>
      <w:r>
        <w:rPr>
          <w:rFonts w:hint="eastAsia" w:ascii="仿宋_GB2312" w:eastAsia="仿宋_GB2312"/>
          <w:bCs/>
          <w:kern w:val="0"/>
          <w:sz w:val="32"/>
          <w:szCs w:val="32"/>
        </w:rPr>
        <w:t>万元，完成年初预算的</w:t>
      </w:r>
      <w:r>
        <w:rPr>
          <w:rFonts w:hint="eastAsia" w:ascii="仿宋_GB2312" w:eastAsia="仿宋_GB2312"/>
          <w:bCs/>
          <w:kern w:val="0"/>
          <w:sz w:val="32"/>
          <w:szCs w:val="32"/>
          <w:lang w:val="en-US" w:eastAsia="zh-CN"/>
        </w:rPr>
        <w:t>98.94</w:t>
      </w:r>
      <w:r>
        <w:rPr>
          <w:rFonts w:hint="eastAsia" w:ascii="仿宋_GB2312" w:eastAsia="仿宋_GB2312"/>
          <w:bCs/>
          <w:kern w:val="0"/>
          <w:sz w:val="32"/>
          <w:szCs w:val="32"/>
        </w:rPr>
        <w:t>%。</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人员减少，开支减少。</w:t>
      </w:r>
    </w:p>
    <w:p>
      <w:pPr>
        <w:autoSpaceDE w:val="0"/>
        <w:autoSpaceDN w:val="0"/>
        <w:adjustRightInd w:val="0"/>
        <w:spacing w:line="560" w:lineRule="exact"/>
        <w:ind w:firstLine="640" w:firstLineChars="200"/>
        <w:jc w:val="left"/>
        <w:rPr>
          <w:rFonts w:hint="eastAsia" w:ascii="仿宋_GB2312" w:eastAsia="仿宋_GB2312"/>
          <w:bCs/>
          <w:kern w:val="0"/>
          <w:sz w:val="32"/>
          <w:szCs w:val="32"/>
        </w:rPr>
      </w:pPr>
      <w:r>
        <w:rPr>
          <w:rFonts w:hint="eastAsia" w:ascii="仿宋_GB2312" w:eastAsia="仿宋_GB2312"/>
          <w:bCs/>
          <w:kern w:val="0"/>
          <w:sz w:val="32"/>
          <w:szCs w:val="32"/>
        </w:rPr>
        <w:t>（二）商品和服务支出</w:t>
      </w:r>
      <w:r>
        <w:rPr>
          <w:rFonts w:hint="eastAsia" w:ascii="仿宋_GB2312" w:eastAsia="仿宋_GB2312"/>
          <w:bCs/>
          <w:kern w:val="0"/>
          <w:sz w:val="32"/>
          <w:szCs w:val="32"/>
          <w:lang w:val="en-US" w:eastAsia="zh-CN"/>
        </w:rPr>
        <w:t>35.52</w:t>
      </w:r>
      <w:r>
        <w:rPr>
          <w:rFonts w:hint="eastAsia" w:ascii="仿宋_GB2312" w:eastAsia="仿宋_GB2312"/>
          <w:bCs/>
          <w:kern w:val="0"/>
          <w:sz w:val="32"/>
          <w:szCs w:val="32"/>
        </w:rPr>
        <w:t>万元，完成年初预算的</w:t>
      </w:r>
      <w:r>
        <w:rPr>
          <w:rFonts w:hint="eastAsia" w:ascii="仿宋_GB2312" w:eastAsia="仿宋_GB2312"/>
          <w:bCs/>
          <w:kern w:val="0"/>
          <w:sz w:val="32"/>
          <w:szCs w:val="32"/>
          <w:lang w:val="en-US" w:eastAsia="zh-CN"/>
        </w:rPr>
        <w:t>80.91</w:t>
      </w:r>
      <w:r>
        <w:rPr>
          <w:rFonts w:hint="eastAsia" w:ascii="仿宋_GB2312" w:eastAsia="仿宋_GB2312"/>
          <w:bCs/>
          <w:kern w:val="0"/>
          <w:sz w:val="32"/>
          <w:szCs w:val="32"/>
        </w:rPr>
        <w:t>%。</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人员减少，开支减少。</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lang w:eastAsia="zh-CN"/>
        </w:rPr>
        <w:t>（三）对个人和家庭的补助支出</w:t>
      </w:r>
      <w:r>
        <w:rPr>
          <w:rFonts w:hint="eastAsia" w:ascii="仿宋_GB2312" w:eastAsia="仿宋_GB2312" w:cs="仿宋_GB2312"/>
          <w:kern w:val="0"/>
          <w:sz w:val="32"/>
          <w:szCs w:val="32"/>
          <w:lang w:val="en-US" w:eastAsia="zh-CN"/>
        </w:rPr>
        <w:t>10.24万元。</w:t>
      </w:r>
      <w:r>
        <w:rPr>
          <w:rFonts w:hint="eastAsia" w:ascii="仿宋_GB2312" w:eastAsia="仿宋_GB2312"/>
          <w:bCs/>
          <w:kern w:val="0"/>
          <w:sz w:val="32"/>
          <w:szCs w:val="32"/>
        </w:rPr>
        <w:t>完成年初预算的</w:t>
      </w:r>
      <w:r>
        <w:rPr>
          <w:rFonts w:hint="eastAsia" w:ascii="仿宋_GB2312" w:eastAsia="仿宋_GB2312"/>
          <w:bCs/>
          <w:kern w:val="0"/>
          <w:sz w:val="32"/>
          <w:szCs w:val="32"/>
          <w:lang w:val="en-US" w:eastAsia="zh-CN"/>
        </w:rPr>
        <w:t>127.84</w:t>
      </w:r>
      <w:r>
        <w:rPr>
          <w:rFonts w:hint="eastAsia" w:ascii="仿宋_GB2312" w:eastAsia="仿宋_GB2312"/>
          <w:bCs/>
          <w:kern w:val="0"/>
          <w:sz w:val="32"/>
          <w:szCs w:val="32"/>
        </w:rPr>
        <w:t>%。</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退休人员增加，开支增大。</w:t>
      </w:r>
    </w:p>
    <w:p>
      <w:pPr>
        <w:ind w:firstLine="645"/>
        <w:rPr>
          <w:rFonts w:hint="eastAsia" w:ascii="黑体" w:hAnsi="黑体" w:eastAsia="黑体"/>
          <w:sz w:val="32"/>
          <w:szCs w:val="32"/>
          <w:lang w:eastAsia="zh-CN"/>
        </w:rPr>
      </w:pPr>
      <w:r>
        <w:rPr>
          <w:rFonts w:hint="eastAsia" w:ascii="黑体" w:hAnsi="黑体" w:eastAsia="黑体"/>
          <w:sz w:val="32"/>
          <w:szCs w:val="32"/>
          <w:lang w:eastAsia="zh-CN"/>
        </w:rPr>
        <w:t>四、2020 年度政府性基金支出决算情况。</w:t>
      </w:r>
    </w:p>
    <w:p>
      <w:pPr>
        <w:autoSpaceDE w:val="0"/>
        <w:autoSpaceDN w:val="0"/>
        <w:adjustRightInd w:val="0"/>
        <w:ind w:firstLine="640" w:firstLineChars="200"/>
        <w:jc w:val="left"/>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广西壮族自治区建材产品质量检验站2020年度无</w:t>
      </w:r>
      <w:r>
        <w:rPr>
          <w:rFonts w:hint="eastAsia" w:ascii="仿宋_GB2312" w:eastAsia="仿宋_GB2312" w:cs="仿宋_GB2312"/>
          <w:kern w:val="0"/>
          <w:sz w:val="32"/>
          <w:szCs w:val="32"/>
        </w:rPr>
        <w:t>政府性基金支出</w:t>
      </w:r>
      <w:r>
        <w:rPr>
          <w:rFonts w:hint="eastAsia" w:ascii="仿宋_GB2312" w:eastAsia="仿宋_GB2312" w:cs="仿宋_GB2312"/>
          <w:kern w:val="0"/>
          <w:sz w:val="32"/>
          <w:szCs w:val="32"/>
          <w:lang w:eastAsia="zh-CN"/>
        </w:rPr>
        <w:t>。</w:t>
      </w:r>
    </w:p>
    <w:p>
      <w:pPr>
        <w:ind w:firstLine="645"/>
        <w:rPr>
          <w:rFonts w:hint="eastAsia" w:ascii="黑体" w:hAnsi="黑体" w:eastAsia="黑体"/>
          <w:sz w:val="32"/>
          <w:szCs w:val="32"/>
          <w:lang w:eastAsia="zh-CN"/>
        </w:rPr>
      </w:pPr>
      <w:r>
        <w:rPr>
          <w:rFonts w:hint="eastAsia" w:ascii="黑体" w:hAnsi="黑体" w:eastAsia="黑体"/>
          <w:sz w:val="32"/>
          <w:szCs w:val="32"/>
          <w:lang w:eastAsia="zh-CN"/>
        </w:rPr>
        <w:t>五、2020年度国有资本经营预算支出决算情况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lang w:val="en-US" w:eastAsia="zh-CN"/>
        </w:rPr>
        <w:t>广西壮族自治区建材产品质量检验站2020年度无</w:t>
      </w:r>
      <w:r>
        <w:rPr>
          <w:rFonts w:hint="eastAsia" w:ascii="仿宋_GB2312" w:eastAsia="仿宋_GB2312" w:cs="仿宋_GB2312"/>
          <w:kern w:val="0"/>
          <w:sz w:val="32"/>
          <w:szCs w:val="32"/>
        </w:rPr>
        <w:t>国有资本经营支出</w:t>
      </w:r>
      <w:r>
        <w:rPr>
          <w:rFonts w:hint="eastAsia" w:ascii="仿宋_GB2312" w:eastAsia="仿宋_GB2312" w:cs="仿宋_GB2312"/>
          <w:kern w:val="0"/>
          <w:sz w:val="32"/>
          <w:szCs w:val="32"/>
          <w:lang w:eastAsia="zh-CN"/>
        </w:rPr>
        <w:t>。</w:t>
      </w:r>
    </w:p>
    <w:p>
      <w:pPr>
        <w:ind w:firstLine="645"/>
        <w:rPr>
          <w:rFonts w:hint="eastAsia" w:ascii="黑体" w:hAnsi="黑体" w:eastAsia="黑体"/>
          <w:sz w:val="32"/>
          <w:szCs w:val="32"/>
          <w:lang w:eastAsia="zh-CN"/>
        </w:rPr>
      </w:pPr>
      <w:r>
        <w:rPr>
          <w:rFonts w:hint="eastAsia" w:ascii="黑体" w:hAnsi="黑体" w:eastAsia="黑体"/>
          <w:sz w:val="32"/>
          <w:szCs w:val="32"/>
          <w:lang w:eastAsia="zh-CN"/>
        </w:rPr>
        <w:t>六、一般公共预算财政拨款安排的“三公”经费支出决算情况说明。</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lang w:val="en-US" w:eastAsia="zh-CN"/>
        </w:rPr>
        <w:t xml:space="preserve"> </w:t>
      </w:r>
      <w:r>
        <w:rPr>
          <w:rFonts w:hint="eastAsia" w:ascii="仿宋_GB2312" w:eastAsia="仿宋_GB2312" w:cs="仿宋_GB2312"/>
          <w:kern w:val="0"/>
          <w:sz w:val="32"/>
          <w:szCs w:val="32"/>
        </w:rPr>
        <w:t>2020年度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公共预算财政拨款安排的“三公”经费支出</w:t>
      </w:r>
      <w:r>
        <w:rPr>
          <w:rFonts w:hint="eastAsia" w:ascii="仿宋_GB2312" w:eastAsia="仿宋_GB2312" w:cs="仿宋_GB2312"/>
          <w:kern w:val="0"/>
          <w:sz w:val="32"/>
          <w:szCs w:val="32"/>
          <w:lang w:val="en-US" w:eastAsia="zh-CN"/>
        </w:rPr>
        <w:t>9.04</w:t>
      </w:r>
      <w:r>
        <w:rPr>
          <w:rFonts w:hint="eastAsia" w:ascii="仿宋_GB2312" w:eastAsia="仿宋_GB2312" w:cs="仿宋_GB2312"/>
          <w:kern w:val="0"/>
          <w:sz w:val="32"/>
          <w:szCs w:val="32"/>
        </w:rPr>
        <w:t>万元，完成年初预算的</w:t>
      </w:r>
      <w:r>
        <w:rPr>
          <w:rFonts w:hint="eastAsia" w:ascii="仿宋_GB2312" w:eastAsia="仿宋_GB2312" w:cs="仿宋_GB2312"/>
          <w:kern w:val="0"/>
          <w:sz w:val="32"/>
          <w:szCs w:val="32"/>
          <w:lang w:val="en-US" w:eastAsia="zh-CN"/>
        </w:rPr>
        <w:t>86.44</w:t>
      </w:r>
      <w:r>
        <w:rPr>
          <w:rFonts w:hint="eastAsia" w:ascii="仿宋_GB2312" w:eastAsia="仿宋_GB2312" w:cs="仿宋_GB2312"/>
          <w:kern w:val="0"/>
          <w:sz w:val="32"/>
          <w:szCs w:val="32"/>
        </w:rPr>
        <w:t>%，比</w:t>
      </w:r>
      <w:r>
        <w:rPr>
          <w:rFonts w:hint="eastAsia" w:ascii="仿宋_GB2312" w:eastAsia="仿宋_GB2312" w:cs="仿宋_GB2312"/>
          <w:kern w:val="0"/>
          <w:sz w:val="32"/>
          <w:szCs w:val="32"/>
          <w:lang w:eastAsia="zh-CN"/>
        </w:rPr>
        <w:t>去</w:t>
      </w:r>
      <w:r>
        <w:rPr>
          <w:rFonts w:hint="eastAsia" w:ascii="仿宋_GB2312" w:eastAsia="仿宋_GB2312" w:cs="仿宋_GB2312"/>
          <w:kern w:val="0"/>
          <w:sz w:val="32"/>
          <w:szCs w:val="32"/>
        </w:rPr>
        <w:t>年增</w:t>
      </w:r>
      <w:r>
        <w:rPr>
          <w:rFonts w:hint="eastAsia" w:ascii="仿宋_GB2312" w:eastAsia="仿宋_GB2312" w:cs="仿宋_GB2312"/>
          <w:kern w:val="0"/>
          <w:sz w:val="32"/>
          <w:szCs w:val="32"/>
          <w:lang w:val="en-US" w:eastAsia="zh-CN"/>
        </w:rPr>
        <w:t>0.94</w:t>
      </w:r>
      <w:r>
        <w:rPr>
          <w:rFonts w:hint="eastAsia" w:ascii="仿宋_GB2312" w:eastAsia="仿宋_GB2312" w:cs="仿宋_GB2312"/>
          <w:kern w:val="0"/>
          <w:sz w:val="32"/>
          <w:szCs w:val="32"/>
        </w:rPr>
        <w:t>万元，主要原因是</w:t>
      </w:r>
      <w:r>
        <w:rPr>
          <w:rFonts w:hint="eastAsia" w:ascii="仿宋_GB2312" w:eastAsia="仿宋_GB2312" w:cs="仿宋_GB2312"/>
          <w:kern w:val="0"/>
          <w:sz w:val="32"/>
          <w:szCs w:val="32"/>
          <w:lang w:eastAsia="zh-CN"/>
        </w:rPr>
        <w:t>公务用车年限较长，运行费用增加</w:t>
      </w:r>
      <w:r>
        <w:rPr>
          <w:rFonts w:hint="eastAsia" w:ascii="仿宋_GB2312" w:eastAsia="仿宋_GB2312" w:cs="仿宋_GB2312"/>
          <w:kern w:val="0"/>
          <w:sz w:val="32"/>
          <w:szCs w:val="32"/>
        </w:rPr>
        <w:t>。其中：因公出国（境）费支出决算</w:t>
      </w:r>
      <w:r>
        <w:rPr>
          <w:rFonts w:hint="eastAsia" w:ascii="仿宋_GB2312" w:eastAsia="仿宋_GB2312" w:cs="仿宋_GB2312"/>
          <w:kern w:val="0"/>
          <w:sz w:val="32"/>
          <w:szCs w:val="32"/>
          <w:lang w:val="en-US" w:eastAsia="zh-CN"/>
        </w:rPr>
        <w:t>0万</w:t>
      </w:r>
      <w:r>
        <w:rPr>
          <w:rFonts w:hint="eastAsia" w:ascii="仿宋_GB2312" w:eastAsia="仿宋_GB2312" w:cs="仿宋_GB2312"/>
          <w:kern w:val="0"/>
          <w:sz w:val="32"/>
          <w:szCs w:val="32"/>
        </w:rPr>
        <w:t>元，公务用车购置及运行费支出决算</w:t>
      </w:r>
      <w:r>
        <w:rPr>
          <w:rFonts w:hint="eastAsia" w:ascii="仿宋_GB2312" w:eastAsia="仿宋_GB2312" w:cs="仿宋_GB2312"/>
          <w:kern w:val="0"/>
          <w:sz w:val="32"/>
          <w:szCs w:val="32"/>
          <w:lang w:val="en-US" w:eastAsia="zh-CN"/>
        </w:rPr>
        <w:t>9.04</w:t>
      </w:r>
      <w:r>
        <w:rPr>
          <w:rFonts w:hint="eastAsia" w:ascii="仿宋_GB2312" w:eastAsia="仿宋_GB2312" w:cs="仿宋_GB2312"/>
          <w:kern w:val="0"/>
          <w:sz w:val="32"/>
          <w:szCs w:val="32"/>
        </w:rPr>
        <w:t>万元，公务接待费支出决算</w:t>
      </w:r>
      <w:r>
        <w:rPr>
          <w:rFonts w:hint="eastAsia" w:ascii="仿宋_GB2312" w:eastAsia="仿宋_GB2312" w:cs="仿宋_GB2312"/>
          <w:kern w:val="0"/>
          <w:sz w:val="32"/>
          <w:szCs w:val="32"/>
          <w:lang w:val="en-US" w:eastAsia="zh-CN"/>
        </w:rPr>
        <w:t>0万</w:t>
      </w:r>
      <w:r>
        <w:rPr>
          <w:rFonts w:hint="eastAsia" w:ascii="仿宋_GB2312" w:eastAsia="仿宋_GB2312" w:cs="仿宋_GB2312"/>
          <w:kern w:val="0"/>
          <w:sz w:val="32"/>
          <w:szCs w:val="32"/>
        </w:rPr>
        <w:t>元。</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具体情况如下：</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（一）因公出国（境）费支出</w:t>
      </w:r>
      <w:r>
        <w:rPr>
          <w:rFonts w:hint="eastAsia" w:ascii="仿宋_GB2312" w:eastAsia="仿宋_GB2312" w:cs="仿宋_GB2312"/>
          <w:kern w:val="0"/>
          <w:sz w:val="32"/>
          <w:szCs w:val="32"/>
          <w:lang w:val="en-US" w:eastAsia="zh-CN"/>
        </w:rPr>
        <w:t>0万</w:t>
      </w:r>
      <w:r>
        <w:rPr>
          <w:rFonts w:hint="eastAsia" w:ascii="仿宋_GB2312" w:eastAsia="仿宋_GB2312" w:cs="仿宋_GB2312"/>
          <w:kern w:val="0"/>
          <w:sz w:val="32"/>
          <w:szCs w:val="32"/>
        </w:rPr>
        <w:t>元。</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（二）公务用车购置及运行费支出</w:t>
      </w:r>
      <w:r>
        <w:rPr>
          <w:rFonts w:hint="eastAsia" w:ascii="仿宋_GB2312" w:eastAsia="仿宋_GB2312" w:cs="仿宋_GB2312"/>
          <w:kern w:val="0"/>
          <w:sz w:val="32"/>
          <w:szCs w:val="32"/>
          <w:lang w:val="en-US" w:eastAsia="zh-CN"/>
        </w:rPr>
        <w:t>9.04</w:t>
      </w:r>
      <w:r>
        <w:rPr>
          <w:rFonts w:hint="eastAsia" w:ascii="仿宋_GB2312" w:eastAsia="仿宋_GB2312" w:cs="仿宋_GB2312"/>
          <w:kern w:val="0"/>
          <w:sz w:val="32"/>
          <w:szCs w:val="32"/>
        </w:rPr>
        <w:t>万元。其中：</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公务用车购置支出</w:t>
      </w:r>
      <w:r>
        <w:rPr>
          <w:rFonts w:hint="eastAsia" w:ascii="仿宋_GB2312" w:eastAsia="仿宋_GB2312" w:cs="仿宋_GB2312"/>
          <w:kern w:val="0"/>
          <w:sz w:val="32"/>
          <w:szCs w:val="32"/>
          <w:lang w:val="en-US" w:eastAsia="zh-CN"/>
        </w:rPr>
        <w:t>0万</w:t>
      </w:r>
      <w:r>
        <w:rPr>
          <w:rFonts w:hint="eastAsia" w:ascii="仿宋_GB2312" w:eastAsia="仿宋_GB2312" w:cs="仿宋_GB2312"/>
          <w:kern w:val="0"/>
          <w:sz w:val="32"/>
          <w:szCs w:val="32"/>
        </w:rPr>
        <w:t>元，。</w:t>
      </w:r>
    </w:p>
    <w:p>
      <w:pPr>
        <w:autoSpaceDE w:val="0"/>
        <w:autoSpaceDN w:val="0"/>
        <w:adjustRightInd w:val="0"/>
        <w:spacing w:line="560" w:lineRule="exact"/>
        <w:ind w:firstLine="640" w:firstLineChars="200"/>
        <w:jc w:val="left"/>
        <w:rPr>
          <w:rFonts w:hint="eastAsia" w:ascii="仿宋_GB2312" w:hAnsi="黑体" w:eastAsia="仿宋_GB2312"/>
          <w:bCs/>
          <w:color w:val="000000"/>
          <w:sz w:val="32"/>
          <w:szCs w:val="32"/>
        </w:rPr>
      </w:pPr>
      <w:r>
        <w:rPr>
          <w:rFonts w:hint="eastAsia" w:ascii="仿宋_GB2312" w:eastAsia="仿宋_GB2312" w:cs="仿宋_GB2312"/>
          <w:kern w:val="0"/>
          <w:sz w:val="32"/>
          <w:szCs w:val="32"/>
        </w:rPr>
        <w:t>公务用车运行支出</w:t>
      </w:r>
      <w:r>
        <w:rPr>
          <w:rFonts w:hint="eastAsia" w:ascii="仿宋_GB2312" w:eastAsia="仿宋_GB2312" w:cs="仿宋_GB2312"/>
          <w:kern w:val="0"/>
          <w:sz w:val="32"/>
          <w:szCs w:val="32"/>
          <w:lang w:val="en-US" w:eastAsia="zh-CN"/>
        </w:rPr>
        <w:t>9.04</w:t>
      </w:r>
      <w:r>
        <w:rPr>
          <w:rFonts w:hint="eastAsia" w:ascii="仿宋_GB2312" w:eastAsia="仿宋_GB2312" w:cs="仿宋_GB2312"/>
          <w:kern w:val="0"/>
          <w:sz w:val="32"/>
          <w:szCs w:val="32"/>
        </w:rPr>
        <w:t>万元，完成年初预算的</w:t>
      </w:r>
      <w:r>
        <w:rPr>
          <w:rFonts w:hint="eastAsia" w:ascii="仿宋_GB2312" w:eastAsia="仿宋_GB2312" w:cs="仿宋_GB2312"/>
          <w:kern w:val="0"/>
          <w:sz w:val="32"/>
          <w:szCs w:val="32"/>
          <w:lang w:val="en-US" w:eastAsia="zh-CN"/>
        </w:rPr>
        <w:t>89.35</w:t>
      </w:r>
      <w:r>
        <w:rPr>
          <w:rFonts w:hint="eastAsia" w:ascii="仿宋_GB2312" w:eastAsia="仿宋_GB2312" w:cs="仿宋_GB2312"/>
          <w:kern w:val="0"/>
          <w:sz w:val="32"/>
          <w:szCs w:val="32"/>
        </w:rPr>
        <w:t>%，比上年增</w:t>
      </w:r>
      <w:r>
        <w:rPr>
          <w:rFonts w:hint="eastAsia" w:ascii="仿宋_GB2312" w:eastAsia="仿宋_GB2312" w:cs="仿宋_GB2312"/>
          <w:kern w:val="0"/>
          <w:sz w:val="32"/>
          <w:szCs w:val="32"/>
          <w:lang w:val="en-US" w:eastAsia="zh-CN"/>
        </w:rPr>
        <w:t>0.94</w:t>
      </w:r>
      <w:r>
        <w:rPr>
          <w:rFonts w:hint="eastAsia" w:ascii="仿宋_GB2312" w:eastAsia="仿宋_GB2312" w:cs="仿宋_GB2312"/>
          <w:kern w:val="0"/>
          <w:sz w:val="32"/>
          <w:szCs w:val="32"/>
        </w:rPr>
        <w:t>万元，原因是</w:t>
      </w:r>
      <w:r>
        <w:rPr>
          <w:rFonts w:hint="eastAsia" w:ascii="仿宋_GB2312" w:eastAsia="仿宋_GB2312" w:cs="仿宋_GB2312"/>
          <w:kern w:val="0"/>
          <w:sz w:val="32"/>
          <w:szCs w:val="32"/>
          <w:lang w:eastAsia="zh-CN"/>
        </w:rPr>
        <w:t>公务用车年限较长，运行费用增加</w:t>
      </w:r>
      <w:r>
        <w:rPr>
          <w:rFonts w:hint="eastAsia" w:ascii="仿宋_GB2312" w:eastAsia="仿宋_GB2312" w:cs="仿宋_GB2312"/>
          <w:kern w:val="0"/>
          <w:sz w:val="32"/>
          <w:szCs w:val="32"/>
        </w:rPr>
        <w:t>。主要用于机要文件交换、市内因公出行以及开展</w:t>
      </w:r>
      <w:r>
        <w:rPr>
          <w:rFonts w:hint="eastAsia" w:ascii="仿宋_GB2312" w:eastAsia="仿宋_GB2312" w:cs="仿宋_GB2312"/>
          <w:kern w:val="0"/>
          <w:sz w:val="32"/>
          <w:szCs w:val="32"/>
          <w:lang w:eastAsia="zh-CN"/>
        </w:rPr>
        <w:t>检验</w:t>
      </w:r>
      <w:r>
        <w:rPr>
          <w:rFonts w:hint="eastAsia" w:ascii="仿宋_GB2312" w:eastAsia="仿宋_GB2312" w:cs="仿宋_GB2312"/>
          <w:kern w:val="0"/>
          <w:sz w:val="32"/>
          <w:szCs w:val="32"/>
        </w:rPr>
        <w:t>业务所需车辆燃料费、维修费、过路过桥费、保险费等。2020年，</w:t>
      </w:r>
      <w:r>
        <w:rPr>
          <w:rFonts w:hint="eastAsia" w:ascii="仿宋_GB2312" w:hAnsi="黑体" w:eastAsia="仿宋_GB2312"/>
          <w:bCs/>
          <w:color w:val="000000"/>
          <w:sz w:val="32"/>
          <w:szCs w:val="32"/>
          <w:u w:val="none"/>
          <w:lang w:eastAsia="zh-CN"/>
        </w:rPr>
        <w:t>广西壮族自治区建材产品质量检验站</w:t>
      </w:r>
      <w:r>
        <w:rPr>
          <w:rFonts w:hint="eastAsia" w:ascii="仿宋_GB2312" w:hAnsi="黑体" w:eastAsia="仿宋_GB2312"/>
          <w:bCs/>
          <w:color w:val="000000"/>
          <w:sz w:val="32"/>
          <w:szCs w:val="32"/>
        </w:rPr>
        <w:t>开支财政拨款的公务用车保有量为</w:t>
      </w:r>
      <w:r>
        <w:rPr>
          <w:rFonts w:hint="eastAsia" w:ascii="仿宋_GB2312" w:hAnsi="黑体" w:eastAsia="仿宋_GB2312"/>
          <w:bCs/>
          <w:color w:val="000000"/>
          <w:sz w:val="32"/>
          <w:szCs w:val="32"/>
          <w:lang w:val="en-US" w:eastAsia="zh-CN"/>
        </w:rPr>
        <w:t>3</w:t>
      </w:r>
      <w:r>
        <w:rPr>
          <w:rFonts w:hint="eastAsia" w:ascii="仿宋_GB2312" w:hAnsi="黑体" w:eastAsia="仿宋_GB2312"/>
          <w:bCs/>
          <w:color w:val="000000"/>
          <w:sz w:val="32"/>
          <w:szCs w:val="32"/>
        </w:rPr>
        <w:t>辆，全年运行费支出</w:t>
      </w:r>
      <w:r>
        <w:rPr>
          <w:rFonts w:hint="eastAsia" w:ascii="仿宋_GB2312" w:hAnsi="黑体" w:eastAsia="仿宋_GB2312"/>
          <w:bCs/>
          <w:color w:val="000000"/>
          <w:sz w:val="32"/>
          <w:szCs w:val="32"/>
          <w:lang w:val="en-US" w:eastAsia="zh-CN"/>
        </w:rPr>
        <w:t>9.04</w:t>
      </w:r>
      <w:r>
        <w:rPr>
          <w:rFonts w:hint="eastAsia" w:ascii="仿宋_GB2312" w:hAnsi="黑体" w:eastAsia="仿宋_GB2312"/>
          <w:bCs/>
          <w:color w:val="000000"/>
          <w:sz w:val="32"/>
          <w:szCs w:val="32"/>
        </w:rPr>
        <w:t xml:space="preserve">万元，平均每辆 </w:t>
      </w:r>
      <w:r>
        <w:rPr>
          <w:rFonts w:hint="eastAsia" w:ascii="仿宋_GB2312" w:hAnsi="黑体" w:eastAsia="仿宋_GB2312"/>
          <w:bCs/>
          <w:color w:val="000000"/>
          <w:sz w:val="32"/>
          <w:szCs w:val="32"/>
          <w:lang w:val="en-US" w:eastAsia="zh-CN"/>
        </w:rPr>
        <w:t>3.01</w:t>
      </w:r>
      <w:r>
        <w:rPr>
          <w:rFonts w:hint="eastAsia" w:ascii="仿宋_GB2312" w:hAnsi="黑体" w:eastAsia="仿宋_GB2312"/>
          <w:bCs/>
          <w:color w:val="000000"/>
          <w:sz w:val="32"/>
          <w:szCs w:val="32"/>
        </w:rPr>
        <w:t>万元。</w:t>
      </w:r>
    </w:p>
    <w:p>
      <w:pPr>
        <w:autoSpaceDE w:val="0"/>
        <w:autoSpaceDN w:val="0"/>
        <w:adjustRightInd w:val="0"/>
        <w:spacing w:line="560" w:lineRule="exact"/>
        <w:ind w:firstLine="640" w:firstLineChars="200"/>
        <w:jc w:val="left"/>
        <w:rPr>
          <w:rFonts w:hint="default" w:ascii="仿宋_GB2312" w:eastAsia="仿宋_GB2312" w:cs="仿宋_GB2312"/>
          <w:kern w:val="0"/>
          <w:sz w:val="32"/>
          <w:szCs w:val="32"/>
          <w:lang w:val="en-US" w:eastAsia="zh-CN"/>
        </w:rPr>
      </w:pPr>
      <w:r>
        <w:rPr>
          <w:rFonts w:hint="eastAsia" w:ascii="仿宋_GB2312" w:eastAsia="仿宋_GB2312" w:cs="仿宋_GB2312"/>
          <w:kern w:val="0"/>
          <w:sz w:val="32"/>
          <w:szCs w:val="32"/>
        </w:rPr>
        <w:t>（三）公务接待费支出</w:t>
      </w:r>
      <w:r>
        <w:rPr>
          <w:rFonts w:hint="eastAsia" w:ascii="仿宋_GB2312" w:eastAsia="仿宋_GB2312" w:cs="仿宋_GB2312"/>
          <w:kern w:val="0"/>
          <w:sz w:val="32"/>
          <w:szCs w:val="32"/>
          <w:lang w:val="en-US" w:eastAsia="zh-CN"/>
        </w:rPr>
        <w:t>0万</w:t>
      </w:r>
      <w:bookmarkStart w:id="0" w:name="_GoBack"/>
      <w:bookmarkEnd w:id="0"/>
      <w:r>
        <w:rPr>
          <w:rFonts w:hint="eastAsia" w:ascii="仿宋_GB2312" w:eastAsia="仿宋_GB2312" w:cs="仿宋_GB2312"/>
          <w:kern w:val="0"/>
          <w:sz w:val="32"/>
          <w:szCs w:val="32"/>
        </w:rPr>
        <w:t>元</w:t>
      </w:r>
      <w:r>
        <w:rPr>
          <w:rFonts w:hint="eastAsia" w:ascii="仿宋_GB2312" w:eastAsia="仿宋_GB2312" w:cs="仿宋_GB2312"/>
          <w:kern w:val="0"/>
          <w:sz w:val="32"/>
          <w:szCs w:val="32"/>
          <w:lang w:eastAsia="zh-CN"/>
        </w:rPr>
        <w:t>。</w:t>
      </w:r>
    </w:p>
    <w:p>
      <w:pPr>
        <w:ind w:firstLine="645"/>
        <w:rPr>
          <w:rFonts w:hint="eastAsia" w:ascii="黑体" w:hAnsi="黑体" w:eastAsia="黑体"/>
          <w:sz w:val="32"/>
          <w:szCs w:val="32"/>
          <w:lang w:eastAsia="zh-CN"/>
        </w:rPr>
      </w:pPr>
      <w:r>
        <w:rPr>
          <w:rFonts w:hint="eastAsia" w:ascii="黑体" w:hAnsi="黑体" w:eastAsia="黑体"/>
          <w:sz w:val="32"/>
          <w:szCs w:val="32"/>
          <w:lang w:eastAsia="zh-CN"/>
        </w:rPr>
        <w:t>七、其他重要事项情况说明。</w:t>
      </w:r>
    </w:p>
    <w:p>
      <w:pPr>
        <w:autoSpaceDE w:val="0"/>
        <w:autoSpaceDN w:val="0"/>
        <w:adjustRightInd w:val="0"/>
        <w:spacing w:line="560" w:lineRule="exact"/>
        <w:ind w:firstLine="640" w:firstLineChars="200"/>
        <w:jc w:val="left"/>
        <w:rPr>
          <w:rFonts w:hint="eastAsia" w:ascii="楷体_GB2312" w:eastAsia="楷体_GB2312" w:cs="仿宋_GB2312"/>
          <w:kern w:val="0"/>
          <w:sz w:val="32"/>
          <w:szCs w:val="32"/>
        </w:rPr>
      </w:pPr>
      <w:r>
        <w:rPr>
          <w:rFonts w:hint="eastAsia" w:ascii="楷体_GB2312" w:eastAsia="楷体_GB2312" w:cs="仿宋_GB2312"/>
          <w:kern w:val="0"/>
          <w:sz w:val="32"/>
          <w:szCs w:val="32"/>
        </w:rPr>
        <w:t>（一）</w:t>
      </w:r>
      <w:r>
        <w:rPr>
          <w:rFonts w:hint="eastAsia" w:ascii="楷体_GB2312" w:eastAsia="楷体_GB2312"/>
          <w:sz w:val="32"/>
          <w:szCs w:val="32"/>
        </w:rPr>
        <w:t xml:space="preserve"> </w:t>
      </w:r>
      <w:r>
        <w:rPr>
          <w:rFonts w:hint="eastAsia" w:ascii="楷体_GB2312" w:eastAsia="楷体_GB2312" w:cs="仿宋_GB2312"/>
          <w:kern w:val="0"/>
          <w:sz w:val="32"/>
          <w:szCs w:val="32"/>
        </w:rPr>
        <w:t>机关运行经费支出情况说明。</w:t>
      </w:r>
    </w:p>
    <w:p>
      <w:pPr>
        <w:autoSpaceDE w:val="0"/>
        <w:autoSpaceDN w:val="0"/>
        <w:adjustRightInd w:val="0"/>
        <w:spacing w:line="560" w:lineRule="exact"/>
        <w:ind w:firstLine="640" w:firstLineChars="200"/>
        <w:jc w:val="left"/>
        <w:rPr>
          <w:rFonts w:hint="eastAsia" w:ascii="仿宋_GB2312" w:eastAsia="仿宋_GB2312" w:cs="仿宋_GB2312"/>
          <w:b w:val="0"/>
          <w:bCs/>
          <w:kern w:val="0"/>
          <w:sz w:val="32"/>
          <w:szCs w:val="32"/>
        </w:rPr>
      </w:pPr>
      <w:r>
        <w:rPr>
          <w:rFonts w:hint="eastAsia" w:ascii="仿宋_GB2312" w:eastAsia="仿宋_GB2312" w:cs="仿宋_GB2312"/>
          <w:b w:val="0"/>
          <w:bCs/>
          <w:kern w:val="0"/>
          <w:sz w:val="32"/>
          <w:szCs w:val="32"/>
          <w:lang w:eastAsia="zh-CN"/>
        </w:rPr>
        <w:t>广西壮族自治区建材产品质量检验站</w:t>
      </w:r>
      <w:r>
        <w:rPr>
          <w:rFonts w:hint="eastAsia" w:ascii="仿宋_GB2312" w:eastAsia="仿宋_GB2312" w:cs="仿宋_GB2312"/>
          <w:b w:val="0"/>
          <w:bCs/>
          <w:kern w:val="0"/>
          <w:sz w:val="32"/>
          <w:szCs w:val="32"/>
        </w:rPr>
        <w:t>无机关运行经费支出。</w:t>
      </w:r>
    </w:p>
    <w:p>
      <w:pPr>
        <w:autoSpaceDE w:val="0"/>
        <w:autoSpaceDN w:val="0"/>
        <w:adjustRightInd w:val="0"/>
        <w:spacing w:line="560" w:lineRule="exact"/>
        <w:ind w:firstLine="640" w:firstLineChars="200"/>
        <w:jc w:val="left"/>
        <w:rPr>
          <w:rFonts w:hint="eastAsia" w:ascii="楷体_GB2312" w:eastAsia="楷体_GB2312" w:cs="仿宋_GB2312"/>
          <w:kern w:val="0"/>
          <w:sz w:val="32"/>
          <w:szCs w:val="32"/>
        </w:rPr>
      </w:pPr>
      <w:r>
        <w:rPr>
          <w:rFonts w:hint="eastAsia" w:ascii="楷体_GB2312" w:eastAsia="楷体_GB2312" w:cs="仿宋_GB2312"/>
          <w:kern w:val="0"/>
          <w:sz w:val="32"/>
          <w:szCs w:val="32"/>
        </w:rPr>
        <w:t>（二）政府采购支出情况说明。</w:t>
      </w:r>
    </w:p>
    <w:p>
      <w:pPr>
        <w:autoSpaceDE w:val="0"/>
        <w:autoSpaceDN w:val="0"/>
        <w:adjustRightInd w:val="0"/>
        <w:spacing w:line="560" w:lineRule="exact"/>
        <w:ind w:firstLine="640" w:firstLineChars="200"/>
        <w:jc w:val="left"/>
        <w:rPr>
          <w:rFonts w:hint="eastAsia" w:ascii="仿宋_GB2312" w:eastAsia="仿宋_GB2312" w:cs="仿宋_GB2312"/>
          <w:b w:val="0"/>
          <w:bCs/>
          <w:kern w:val="0"/>
          <w:sz w:val="32"/>
          <w:szCs w:val="32"/>
        </w:rPr>
      </w:pPr>
      <w:r>
        <w:rPr>
          <w:rFonts w:hint="eastAsia" w:ascii="仿宋_GB2312" w:eastAsia="仿宋_GB2312" w:cs="仿宋_GB2312"/>
          <w:b w:val="0"/>
          <w:bCs/>
          <w:kern w:val="0"/>
          <w:sz w:val="32"/>
          <w:szCs w:val="32"/>
          <w:lang w:eastAsia="zh-CN"/>
        </w:rPr>
        <w:t>广西壮族自治区建材产品质量检验站</w:t>
      </w:r>
      <w:r>
        <w:rPr>
          <w:rFonts w:hint="eastAsia" w:ascii="仿宋_GB2312" w:eastAsia="仿宋_GB2312" w:cs="仿宋_GB2312"/>
          <w:b w:val="0"/>
          <w:bCs/>
          <w:kern w:val="0"/>
          <w:sz w:val="32"/>
          <w:szCs w:val="32"/>
        </w:rPr>
        <w:t>无政府采购支出。</w:t>
      </w:r>
    </w:p>
    <w:p>
      <w:pPr>
        <w:autoSpaceDE w:val="0"/>
        <w:autoSpaceDN w:val="0"/>
        <w:adjustRightInd w:val="0"/>
        <w:spacing w:line="560" w:lineRule="exact"/>
        <w:ind w:firstLine="640" w:firstLineChars="200"/>
        <w:jc w:val="left"/>
        <w:rPr>
          <w:rFonts w:hint="eastAsia" w:ascii="楷体_GB2312" w:eastAsia="楷体_GB2312" w:cs="仿宋_GB2312"/>
          <w:kern w:val="0"/>
          <w:sz w:val="32"/>
          <w:szCs w:val="32"/>
        </w:rPr>
      </w:pPr>
      <w:r>
        <w:rPr>
          <w:rFonts w:hint="eastAsia" w:ascii="楷体_GB2312" w:eastAsia="楷体_GB2312" w:cs="仿宋_GB2312"/>
          <w:kern w:val="0"/>
          <w:sz w:val="32"/>
          <w:szCs w:val="32"/>
        </w:rPr>
        <w:t>（三）国有资产占用情况说明。</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截至2020年12月31日，本部门共有车辆</w:t>
      </w:r>
      <w:r>
        <w:rPr>
          <w:rFonts w:hint="eastAsia" w:ascii="仿宋_GB2312" w:eastAsia="仿宋_GB2312" w:cs="仿宋_GB2312"/>
          <w:kern w:val="0"/>
          <w:sz w:val="32"/>
          <w:szCs w:val="32"/>
          <w:lang w:val="en-US" w:eastAsia="zh-CN"/>
        </w:rPr>
        <w:t>3</w:t>
      </w:r>
      <w:r>
        <w:rPr>
          <w:rFonts w:hint="eastAsia" w:ascii="仿宋_GB2312" w:eastAsia="仿宋_GB2312" w:cs="仿宋_GB2312"/>
          <w:kern w:val="0"/>
          <w:sz w:val="32"/>
          <w:szCs w:val="32"/>
        </w:rPr>
        <w:t>辆，其中：其他用车</w:t>
      </w:r>
      <w:r>
        <w:rPr>
          <w:rFonts w:hint="eastAsia" w:ascii="仿宋_GB2312" w:eastAsia="仿宋_GB2312" w:cs="仿宋_GB2312"/>
          <w:kern w:val="0"/>
          <w:sz w:val="32"/>
          <w:szCs w:val="32"/>
          <w:lang w:val="en-US" w:eastAsia="zh-CN"/>
        </w:rPr>
        <w:t>3</w:t>
      </w:r>
      <w:r>
        <w:rPr>
          <w:rFonts w:hint="eastAsia" w:ascii="仿宋_GB2312" w:eastAsia="仿宋_GB2312" w:cs="仿宋_GB2312"/>
          <w:kern w:val="0"/>
          <w:sz w:val="32"/>
          <w:szCs w:val="32"/>
        </w:rPr>
        <w:t>辆，其他用车主要是</w:t>
      </w:r>
      <w:r>
        <w:rPr>
          <w:rFonts w:hint="eastAsia" w:ascii="仿宋_GB2312" w:eastAsia="仿宋_GB2312" w:cs="仿宋_GB2312"/>
          <w:kern w:val="0"/>
          <w:sz w:val="32"/>
          <w:szCs w:val="32"/>
          <w:lang w:eastAsia="zh-CN"/>
        </w:rPr>
        <w:t>开展检验、检测业务的业务车辆</w:t>
      </w:r>
      <w:r>
        <w:rPr>
          <w:rFonts w:hint="eastAsia" w:ascii="仿宋_GB2312" w:eastAsia="仿宋_GB2312" w:cs="仿宋_GB2312"/>
          <w:kern w:val="0"/>
          <w:sz w:val="32"/>
          <w:szCs w:val="32"/>
        </w:rPr>
        <w:t>。</w:t>
      </w:r>
    </w:p>
    <w:p>
      <w:pPr>
        <w:autoSpaceDE w:val="0"/>
        <w:autoSpaceDN w:val="0"/>
        <w:adjustRightInd w:val="0"/>
        <w:spacing w:line="560" w:lineRule="exact"/>
        <w:ind w:firstLine="640" w:firstLineChars="200"/>
        <w:jc w:val="left"/>
        <w:rPr>
          <w:rFonts w:hint="eastAsia" w:ascii="楷体_GB2312" w:eastAsia="楷体_GB2312" w:cs="仿宋_GB2312"/>
          <w:kern w:val="0"/>
          <w:sz w:val="32"/>
          <w:szCs w:val="32"/>
        </w:rPr>
      </w:pPr>
      <w:r>
        <w:rPr>
          <w:rFonts w:hint="eastAsia" w:ascii="楷体_GB2312" w:eastAsia="楷体_GB2312" w:cs="仿宋_GB2312"/>
          <w:kern w:val="0"/>
          <w:sz w:val="32"/>
          <w:szCs w:val="32"/>
        </w:rPr>
        <w:t>（四）预算绩效管理工作开展情况。</w:t>
      </w:r>
    </w:p>
    <w:p>
      <w:pPr>
        <w:autoSpaceDE w:val="0"/>
        <w:autoSpaceDN w:val="0"/>
        <w:adjustRightInd w:val="0"/>
        <w:spacing w:line="560" w:lineRule="exact"/>
        <w:ind w:firstLine="640" w:firstLineChars="200"/>
        <w:jc w:val="left"/>
        <w:rPr>
          <w:rFonts w:hint="eastAsia" w:ascii="仿宋_GB2312" w:hAnsi="Times New Roman" w:eastAsia="仿宋_GB2312" w:cs="仿宋_GB2312"/>
          <w:kern w:val="0"/>
          <w:sz w:val="32"/>
          <w:szCs w:val="32"/>
          <w:lang w:val="en-US" w:eastAsia="zh-CN"/>
        </w:rPr>
      </w:pPr>
      <w:r>
        <w:rPr>
          <w:rFonts w:hint="eastAsia" w:ascii="仿宋_GB2312" w:hAnsi="Times New Roman" w:eastAsia="仿宋_GB2312" w:cs="仿宋_GB2312"/>
          <w:kern w:val="0"/>
          <w:sz w:val="32"/>
          <w:szCs w:val="32"/>
          <w:lang w:eastAsia="zh-CN"/>
        </w:rPr>
        <w:t>广西壮族自治区建材产品质量检验站</w:t>
      </w:r>
      <w:r>
        <w:rPr>
          <w:rFonts w:hint="eastAsia" w:ascii="仿宋_GB2312" w:hAnsi="Times New Roman" w:eastAsia="仿宋_GB2312" w:cs="仿宋_GB2312"/>
          <w:kern w:val="0"/>
          <w:sz w:val="32"/>
          <w:szCs w:val="32"/>
        </w:rPr>
        <w:t>未开展预算绩效管理工作</w:t>
      </w:r>
      <w:r>
        <w:rPr>
          <w:rFonts w:hint="eastAsia" w:ascii="仿宋_GB2312" w:eastAsia="仿宋_GB2312" w:cs="仿宋_GB2312"/>
          <w:kern w:val="0"/>
          <w:sz w:val="32"/>
          <w:szCs w:val="32"/>
          <w:lang w:eastAsia="zh-CN"/>
        </w:rPr>
        <w:t>。</w:t>
      </w:r>
    </w:p>
    <w:p>
      <w:pPr>
        <w:autoSpaceDE w:val="0"/>
        <w:autoSpaceDN w:val="0"/>
        <w:adjustRightInd w:val="0"/>
        <w:ind w:firstLine="640" w:firstLineChars="200"/>
        <w:jc w:val="left"/>
        <w:rPr>
          <w:rFonts w:hint="eastAsia" w:ascii="仿宋_GB2312" w:eastAsia="仿宋_GB2312" w:cs="仿宋_GB2312"/>
          <w:kern w:val="0"/>
          <w:sz w:val="32"/>
          <w:szCs w:val="32"/>
        </w:rPr>
      </w:pPr>
    </w:p>
    <w:p>
      <w:pPr>
        <w:autoSpaceDE w:val="0"/>
        <w:autoSpaceDN w:val="0"/>
        <w:adjustRightInd w:val="0"/>
        <w:ind w:firstLine="640" w:firstLineChars="200"/>
        <w:jc w:val="center"/>
        <w:rPr>
          <w:rFonts w:hint="eastAsia" w:ascii="黑体" w:hAnsi="黑体" w:eastAsia="黑体" w:cs="仿宋_GB2312"/>
          <w:kern w:val="0"/>
          <w:sz w:val="32"/>
          <w:szCs w:val="32"/>
        </w:rPr>
      </w:pPr>
      <w:r>
        <w:rPr>
          <w:rFonts w:hint="eastAsia" w:ascii="黑体" w:hAnsi="黑体" w:eastAsia="黑体" w:cs="仿宋_GB2312"/>
          <w:kern w:val="0"/>
          <w:sz w:val="32"/>
          <w:szCs w:val="32"/>
        </w:rPr>
        <w:t>第四部分：名词解释</w:t>
      </w:r>
    </w:p>
    <w:p>
      <w:pPr>
        <w:ind w:firstLine="640"/>
        <w:rPr>
          <w:rFonts w:hint="eastAsia" w:ascii="仿宋_GB2312" w:eastAsia="仿宋_GB2312"/>
          <w:sz w:val="32"/>
          <w:szCs w:val="32"/>
        </w:rPr>
      </w:pPr>
      <w:r>
        <w:rPr>
          <w:rFonts w:hint="eastAsia" w:ascii="仿宋_GB2312" w:eastAsia="仿宋_GB2312"/>
          <w:sz w:val="32"/>
          <w:szCs w:val="32"/>
        </w:rPr>
        <w:t xml:space="preserve">一、财政拨款收入：指自治区财政部门当年拨付的资金。 </w:t>
      </w:r>
    </w:p>
    <w:p>
      <w:pPr>
        <w:ind w:firstLine="640" w:firstLineChars="200"/>
        <w:rPr>
          <w:rFonts w:hint="eastAsia" w:ascii="仿宋_GB2312" w:eastAsia="仿宋_GB2312"/>
          <w:sz w:val="32"/>
          <w:szCs w:val="32"/>
        </w:rPr>
      </w:pPr>
      <w:r>
        <w:rPr>
          <w:rFonts w:hint="eastAsia" w:ascii="仿宋_GB2312" w:eastAsia="仿宋_GB2312"/>
          <w:sz w:val="32"/>
          <w:szCs w:val="32"/>
        </w:rPr>
        <w:t>二、事业收入：指事业单位开展专业业务活动及辅助活动所取得的收入。</w:t>
      </w:r>
    </w:p>
    <w:p>
      <w:pPr>
        <w:ind w:firstLine="640" w:firstLineChars="200"/>
        <w:rPr>
          <w:rFonts w:hint="eastAsia" w:ascii="仿宋_GB2312" w:eastAsia="仿宋_GB2312"/>
          <w:sz w:val="32"/>
          <w:szCs w:val="32"/>
        </w:rPr>
      </w:pPr>
      <w:r>
        <w:rPr>
          <w:rFonts w:hint="eastAsia" w:ascii="仿宋_GB2312" w:eastAsia="仿宋_GB2312"/>
          <w:sz w:val="32"/>
          <w:szCs w:val="32"/>
        </w:rPr>
        <w:t>三、经营收入：指事业单位在专业业务活动及其辅助活动之外开展非独立核算经营活动取得的收入。</w:t>
      </w:r>
    </w:p>
    <w:p>
      <w:pPr>
        <w:ind w:firstLine="640"/>
        <w:rPr>
          <w:rFonts w:hint="eastAsia" w:ascii="仿宋_GB2312" w:eastAsia="仿宋_GB2312"/>
          <w:sz w:val="32"/>
          <w:szCs w:val="32"/>
        </w:rPr>
      </w:pPr>
      <w:r>
        <w:rPr>
          <w:rFonts w:hint="eastAsia" w:ascii="仿宋_GB2312" w:eastAsia="仿宋_GB2312"/>
          <w:sz w:val="32"/>
          <w:szCs w:val="32"/>
        </w:rPr>
        <w:t>四、其他收入：指除上述“财政拨款收入”“事业收入”“经营收入”等以外的收入。</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六、年初结转和结余：指以前年度尚未完成、结转到本年 按有关规定继续使用的资金。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七、结余分配：指事业单位按规定提取的职工福利基金、事业基金和缴纳的所得税，以及建设单位按规定应交回的基本建设竣工项目结余资金。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八、年末结转和结余：指本年度或以前年度预算安排、因客观条件发生变化无法按原计划实施，需要延迟到以后年度按有关规定继续使用的资金。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九、基本支出：指为保障机构正常运转、完成日常工作任务而发生的人员支出和公用支出。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十、项目支出：指在基本支出之外为完成特定行政任务和事业发展目标所发生的支出。 </w:t>
      </w:r>
    </w:p>
    <w:p>
      <w:pPr>
        <w:ind w:firstLine="640"/>
        <w:rPr>
          <w:rFonts w:hint="eastAsia" w:ascii="仿宋_GB2312" w:eastAsia="仿宋_GB2312"/>
          <w:sz w:val="32"/>
          <w:szCs w:val="32"/>
        </w:rPr>
      </w:pPr>
      <w:r>
        <w:rPr>
          <w:rFonts w:hint="eastAsia" w:ascii="仿宋_GB2312" w:eastAsia="仿宋_GB2312"/>
          <w:sz w:val="32"/>
          <w:szCs w:val="32"/>
        </w:rPr>
        <w:t>十一、经营支出：指事业单位在专业业务活动及其辅助活动之外开展非独立核算经营活动发生的支出。</w:t>
      </w:r>
    </w:p>
    <w:p>
      <w:pPr>
        <w:ind w:firstLine="640" w:firstLineChars="200"/>
        <w:rPr>
          <w:rFonts w:hint="eastAsia" w:ascii="仿宋_GB2312" w:eastAsia="仿宋_GB2312"/>
          <w:sz w:val="32"/>
          <w:szCs w:val="32"/>
        </w:rPr>
      </w:pPr>
      <w:r>
        <w:rPr>
          <w:rFonts w:hint="eastAsia" w:ascii="仿宋_GB2312" w:eastAsia="仿宋_GB2312"/>
          <w:sz w:val="32"/>
          <w:szCs w:val="32"/>
        </w:rPr>
        <w:t>十二、“三公”经费：纳入自治区财政预决算管理的“三公”经费，是指自治区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w:t>
      </w:r>
      <w:r>
        <w:rPr>
          <w:rFonts w:hint="eastAsia" w:ascii="仿宋_GB2312" w:eastAsia="仿宋_GB2312" w:cs="仿宋_GB2312"/>
          <w:kern w:val="0"/>
          <w:sz w:val="32"/>
          <w:szCs w:val="32"/>
        </w:rPr>
        <w:t>保险费</w:t>
      </w:r>
      <w:r>
        <w:rPr>
          <w:rFonts w:hint="eastAsia" w:ascii="仿宋_GB2312" w:eastAsia="仿宋_GB2312"/>
          <w:sz w:val="32"/>
          <w:szCs w:val="32"/>
        </w:rPr>
        <w:t xml:space="preserve">、安全奖励费用等支出；公务接待费反映单位按规定开支的各类公务接待（含外宾接待）支出。 </w:t>
      </w:r>
    </w:p>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UnicodeMS">
    <w:altName w:val="宋体"/>
    <w:panose1 w:val="00000000000000000000"/>
    <w:charset w:val="86"/>
    <w:family w:val="auto"/>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0156CC"/>
    <w:rsid w:val="173E52F9"/>
    <w:rsid w:val="1B0156CC"/>
    <w:rsid w:val="327C6B8A"/>
    <w:rsid w:val="348744F4"/>
    <w:rsid w:val="3B5056C1"/>
    <w:rsid w:val="4C7F7226"/>
    <w:rsid w:val="4E750484"/>
    <w:rsid w:val="4F506615"/>
    <w:rsid w:val="6DC36B26"/>
    <w:rsid w:val="72C55A9B"/>
    <w:rsid w:val="7AA06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2021-08-20T08:59:00Z</dcterms:created>
  <dc:creator>张三</dc:creator>
  <cp:lastModifiedBy>周洁洁</cp:lastModifiedBy>
  <cp:lastPrinted>2021-08-20T09:40:00Z</cp:lastPrinted>
  <dcterms:modified xsi:type="dcterms:W3CDTF">2021-09-14T13:22:14Z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y fmtid="{D5CDD505-2E9C-101B-9397-08002B2CF9AE}" pid="3" name="ICV">
    <vt:lpwstr>DBF2F646567749629CAED906A2020928</vt:lpwstr>
  </property>
</Properties>
</file>