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ArialUnicodeMS"/>
          <w:kern w:val="0"/>
          <w:sz w:val="72"/>
          <w:szCs w:val="72"/>
        </w:rPr>
      </w:pPr>
    </w:p>
    <w:p>
      <w:pPr>
        <w:rPr>
          <w:rFonts w:ascii="黑体" w:eastAsia="黑体" w:cs="ArialUnicodeMS"/>
          <w:kern w:val="0"/>
          <w:sz w:val="72"/>
          <w:szCs w:val="72"/>
        </w:rPr>
      </w:pPr>
    </w:p>
    <w:p>
      <w:pPr>
        <w:jc w:val="center"/>
        <w:rPr>
          <w:rFonts w:ascii="方正小标宋简体" w:hAnsi="黑体" w:eastAsia="方正小标宋简体"/>
          <w:bCs/>
          <w:color w:val="000000"/>
          <w:sz w:val="52"/>
          <w:szCs w:val="52"/>
        </w:rPr>
      </w:pPr>
      <w:r>
        <w:rPr>
          <w:rFonts w:hint="eastAsia" w:ascii="方正小标宋简体" w:eastAsia="方正小标宋简体" w:cs="ArialUnicodeMS"/>
          <w:kern w:val="0"/>
          <w:sz w:val="52"/>
          <w:szCs w:val="52"/>
        </w:rPr>
        <w:t>广西国际人才交流中心</w:t>
      </w:r>
    </w:p>
    <w:p>
      <w:pPr>
        <w:jc w:val="center"/>
        <w:rPr>
          <w:rFonts w:ascii="方正小标宋简体" w:eastAsia="方正小标宋简体" w:cs="ArialUnicodeMS"/>
          <w:kern w:val="0"/>
          <w:sz w:val="52"/>
          <w:szCs w:val="52"/>
        </w:rPr>
      </w:pPr>
      <w:r>
        <w:rPr>
          <w:rFonts w:hint="eastAsia" w:ascii="方正小标宋简体" w:eastAsia="方正小标宋简体"/>
          <w:kern w:val="0"/>
          <w:sz w:val="52"/>
          <w:szCs w:val="52"/>
        </w:rPr>
        <w:t>2020</w:t>
      </w:r>
      <w:r>
        <w:rPr>
          <w:rFonts w:hint="eastAsia" w:ascii="方正小标宋简体" w:eastAsia="方正小标宋简体" w:cs="ArialUnicodeMS"/>
          <w:kern w:val="0"/>
          <w:sz w:val="52"/>
          <w:szCs w:val="52"/>
        </w:rPr>
        <w:t>年度部门决算</w:t>
      </w:r>
    </w:p>
    <w:p>
      <w:pPr>
        <w:rPr>
          <w:rFonts w:ascii="方正小标宋简体" w:eastAsia="方正小标宋简体"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p>
    <w:p>
      <w:pPr>
        <w:ind w:firstLine="646"/>
        <w:jc w:val="center"/>
        <w:rPr>
          <w:rFonts w:ascii="方正小标宋简体" w:eastAsia="方正小标宋简体"/>
          <w:b/>
          <w:sz w:val="44"/>
          <w:szCs w:val="44"/>
        </w:rPr>
      </w:pPr>
    </w:p>
    <w:p>
      <w:pPr>
        <w:ind w:firstLine="646"/>
        <w:jc w:val="center"/>
        <w:rPr>
          <w:rFonts w:ascii="方正小标宋简体" w:eastAsia="方正小标宋简体"/>
          <w:b/>
          <w:sz w:val="44"/>
          <w:szCs w:val="44"/>
        </w:rPr>
      </w:pPr>
    </w:p>
    <w:p>
      <w:pPr>
        <w:ind w:firstLine="646"/>
        <w:jc w:val="center"/>
        <w:rPr>
          <w:rFonts w:ascii="方正小标宋简体" w:eastAsia="方正小标宋简体"/>
          <w:b/>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广西国际人才交流中心</w:t>
      </w:r>
      <w:r>
        <w:rPr>
          <w:rFonts w:hint="eastAsia" w:ascii="黑体" w:hAnsi="黑体" w:eastAsia="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二、部门决算单位构成</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广西国际人才交流中心</w:t>
      </w:r>
      <w:r>
        <w:rPr>
          <w:rFonts w:hint="eastAsia" w:ascii="黑体" w:hAnsi="黑体" w:eastAsia="黑体"/>
          <w:sz w:val="32"/>
          <w:szCs w:val="32"/>
        </w:rPr>
        <w:t>2020年度部门决算报表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表一：收入支出决算总表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表二：收入决算表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表三：支出决算表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表四：财政拨款收入支出决算总表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表五：一般公共预算财政拨款支出决算表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表八：政府性基金预算财政拨款收入支出决算表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表九：国有资本经营预算财政拨款收入支出决算表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广西国际人才交流中心</w:t>
      </w:r>
      <w:r>
        <w:rPr>
          <w:rFonts w:hint="eastAsia" w:ascii="黑体" w:hAnsi="黑体" w:eastAsia="黑体"/>
          <w:sz w:val="32"/>
          <w:szCs w:val="32"/>
        </w:rPr>
        <w:t>2020年度部门决算情况说明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一、2020年度收入支出决算总体情况。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二、2020年度一般公共预算财政拨款支出决算情况。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2020年度一般公共预算财政拨款基本支出决算情况说明。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四、2020年度政府性基金支出决算情况。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五、2020年度国有资本经营预算支出决算情况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六、一般公共预算财政拨款安排的“三公”经费支出决算情况说明。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七、其他重要事项情况说明。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ascii="仿宋_GB2312" w:eastAsia="仿宋_GB231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ind w:firstLine="646"/>
        <w:jc w:val="center"/>
        <w:rPr>
          <w:rFonts w:ascii="仿宋_GB2312" w:eastAsia="仿宋_GB2312"/>
          <w:b/>
          <w:sz w:val="32"/>
          <w:szCs w:val="32"/>
        </w:rPr>
      </w:pPr>
    </w:p>
    <w:p>
      <w:pPr>
        <w:jc w:val="both"/>
        <w:rPr>
          <w:rFonts w:hint="eastAsia" w:ascii="黑体" w:hAnsi="黑体" w:eastAsia="黑体"/>
          <w:sz w:val="32"/>
          <w:szCs w:val="32"/>
        </w:rPr>
      </w:pPr>
    </w:p>
    <w:p>
      <w:pPr>
        <w:ind w:firstLine="640" w:firstLineChars="200"/>
        <w:jc w:val="both"/>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广西国际人才交流中心</w:t>
      </w:r>
      <w:r>
        <w:rPr>
          <w:rFonts w:hint="eastAsia" w:ascii="黑体" w:hAnsi="黑体" w:eastAsia="黑体"/>
          <w:sz w:val="32"/>
          <w:szCs w:val="32"/>
        </w:rPr>
        <w:t>概况</w:t>
      </w:r>
    </w:p>
    <w:p>
      <w:pPr>
        <w:numPr>
          <w:ilvl w:val="0"/>
          <w:numId w:val="0"/>
        </w:numPr>
        <w:rPr>
          <w:rFonts w:hint="eastAsia" w:ascii="黑体" w:hAnsi="黑体" w:eastAsia="黑体"/>
          <w:sz w:val="32"/>
          <w:szCs w:val="32"/>
        </w:rPr>
      </w:pPr>
    </w:p>
    <w:p>
      <w:pPr>
        <w:numPr>
          <w:ilvl w:val="0"/>
          <w:numId w:val="0"/>
        </w:numPr>
        <w:ind w:firstLine="640" w:firstLineChars="20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tabs>
          <w:tab w:val="left" w:pos="0"/>
        </w:tabs>
        <w:spacing w:line="640" w:lineRule="exact"/>
        <w:ind w:right="-338" w:rightChars="-161" w:firstLine="640" w:firstLineChars="200"/>
        <w:rPr>
          <w:rFonts w:hint="eastAsia" w:ascii="仿宋" w:hAnsi="仿宋" w:eastAsia="仿宋" w:cs="仿宋_GB2312"/>
          <w:sz w:val="32"/>
          <w:szCs w:val="32"/>
        </w:rPr>
      </w:pPr>
      <w:r>
        <w:rPr>
          <w:rFonts w:hint="eastAsia" w:ascii="仿宋" w:hAnsi="仿宋" w:eastAsia="仿宋" w:cs="仿宋_GB2312"/>
          <w:sz w:val="32"/>
          <w:szCs w:val="32"/>
        </w:rPr>
        <w:t>根据《自治区党委编办关于调整科技厅所属事业单位机构编制事项的批复》（桂编办复〔2019〕65号）和《关于自治区人力资源和社会保障厅所属事业单位清理规范意见的通知》（桂编〔2013〕116号），国流中心三定方案职责如下：受委托承担各项引进国（境）外智力的具体事务性工作；承办出国（境）培训、考察和研修（见习）业务；组织开展各类国际人才、智力交流活动和中国国际人才市场广西市场业务。具体工作内容如下：</w:t>
      </w:r>
    </w:p>
    <w:p>
      <w:pPr>
        <w:tabs>
          <w:tab w:val="left" w:pos="0"/>
        </w:tabs>
        <w:spacing w:line="640" w:lineRule="exact"/>
        <w:ind w:right="-338" w:rightChars="-161" w:firstLine="640" w:firstLineChars="200"/>
        <w:rPr>
          <w:rFonts w:hint="eastAsia" w:ascii="仿宋" w:hAnsi="仿宋" w:eastAsia="仿宋" w:cs="仿宋_GB2312"/>
          <w:sz w:val="32"/>
          <w:szCs w:val="32"/>
        </w:rPr>
      </w:pPr>
    </w:p>
    <w:p>
      <w:pPr>
        <w:tabs>
          <w:tab w:val="left" w:pos="0"/>
        </w:tabs>
        <w:ind w:left="993" w:right="-338" w:rightChars="-161"/>
        <w:rPr>
          <w:rFonts w:ascii="仿宋" w:hAnsi="仿宋" w:eastAsia="仿宋" w:cs="仿宋_GB2312"/>
          <w:sz w:val="32"/>
          <w:szCs w:val="32"/>
        </w:rPr>
      </w:pPr>
    </w:p>
    <w:tbl>
      <w:tblPr>
        <w:tblStyle w:val="5"/>
        <w:tblpPr w:leftFromText="180" w:rightFromText="180" w:vertAnchor="text" w:horzAnchor="margin" w:tblpXSpec="center" w:tblpY="-363"/>
        <w:tblW w:w="10173" w:type="dxa"/>
        <w:tblInd w:w="0" w:type="dxa"/>
        <w:tblLayout w:type="fixed"/>
        <w:tblCellMar>
          <w:top w:w="0" w:type="dxa"/>
          <w:left w:w="108" w:type="dxa"/>
          <w:bottom w:w="0" w:type="dxa"/>
          <w:right w:w="108" w:type="dxa"/>
        </w:tblCellMar>
      </w:tblPr>
      <w:tblGrid>
        <w:gridCol w:w="2802"/>
        <w:gridCol w:w="7371"/>
      </w:tblGrid>
      <w:tr>
        <w:tblPrEx>
          <w:tblCellMar>
            <w:top w:w="0" w:type="dxa"/>
            <w:left w:w="108" w:type="dxa"/>
            <w:bottom w:w="0" w:type="dxa"/>
            <w:right w:w="108" w:type="dxa"/>
          </w:tblCellMar>
        </w:tblPrEx>
        <w:trPr>
          <w:trHeight w:val="585" w:hRule="atLeast"/>
        </w:trPr>
        <w:tc>
          <w:tcPr>
            <w:tcW w:w="2802" w:type="dxa"/>
            <w:tcBorders>
              <w:top w:val="single" w:color="auto" w:sz="8" w:space="0"/>
              <w:left w:val="single" w:color="auto" w:sz="8" w:space="0"/>
              <w:bottom w:val="single" w:color="auto" w:sz="4" w:space="0"/>
              <w:right w:val="single" w:color="auto" w:sz="4" w:space="0"/>
            </w:tcBorders>
            <w:vAlign w:val="center"/>
          </w:tcPr>
          <w:p>
            <w:pPr>
              <w:widowControl/>
              <w:tabs>
                <w:tab w:val="left" w:pos="0"/>
              </w:tabs>
              <w:jc w:val="center"/>
              <w:rPr>
                <w:rFonts w:ascii="仿宋" w:hAnsi="仿宋" w:eastAsia="仿宋" w:cs="宋体"/>
                <w:bCs/>
                <w:kern w:val="0"/>
                <w:sz w:val="30"/>
                <w:szCs w:val="30"/>
              </w:rPr>
            </w:pPr>
            <w:r>
              <w:rPr>
                <w:rFonts w:hint="eastAsia" w:ascii="仿宋" w:hAnsi="仿宋" w:eastAsia="仿宋" w:cs="宋体"/>
                <w:bCs/>
                <w:kern w:val="0"/>
                <w:sz w:val="30"/>
                <w:szCs w:val="30"/>
              </w:rPr>
              <w:t>主要职责</w:t>
            </w:r>
          </w:p>
          <w:p>
            <w:pPr>
              <w:widowControl/>
              <w:tabs>
                <w:tab w:val="left" w:pos="0"/>
              </w:tabs>
              <w:jc w:val="center"/>
              <w:rPr>
                <w:rFonts w:ascii="仿宋" w:hAnsi="仿宋" w:eastAsia="仿宋" w:cs="宋体"/>
                <w:bCs/>
                <w:kern w:val="0"/>
                <w:sz w:val="30"/>
                <w:szCs w:val="30"/>
              </w:rPr>
            </w:pPr>
            <w:r>
              <w:rPr>
                <w:rFonts w:hint="eastAsia" w:ascii="仿宋" w:hAnsi="仿宋" w:eastAsia="仿宋" w:cs="宋体"/>
                <w:bCs/>
                <w:kern w:val="0"/>
                <w:sz w:val="30"/>
                <w:szCs w:val="30"/>
              </w:rPr>
              <w:t>（相关部分）</w:t>
            </w:r>
          </w:p>
        </w:tc>
        <w:tc>
          <w:tcPr>
            <w:tcW w:w="7371" w:type="dxa"/>
            <w:tcBorders>
              <w:top w:val="single" w:color="auto" w:sz="8" w:space="0"/>
              <w:left w:val="nil"/>
              <w:bottom w:val="single" w:color="auto" w:sz="4" w:space="0"/>
              <w:right w:val="single" w:color="auto" w:sz="4" w:space="0"/>
            </w:tcBorders>
            <w:vAlign w:val="center"/>
          </w:tcPr>
          <w:p>
            <w:pPr>
              <w:widowControl/>
              <w:tabs>
                <w:tab w:val="left" w:pos="0"/>
              </w:tabs>
              <w:jc w:val="center"/>
              <w:rPr>
                <w:rFonts w:ascii="仿宋" w:hAnsi="仿宋" w:eastAsia="仿宋" w:cs="宋体"/>
                <w:bCs/>
                <w:kern w:val="0"/>
                <w:sz w:val="30"/>
                <w:szCs w:val="30"/>
              </w:rPr>
            </w:pPr>
            <w:r>
              <w:rPr>
                <w:rFonts w:hint="eastAsia" w:ascii="仿宋" w:hAnsi="仿宋" w:eastAsia="仿宋" w:cs="宋体"/>
                <w:bCs/>
                <w:kern w:val="0"/>
                <w:sz w:val="30"/>
                <w:szCs w:val="30"/>
              </w:rPr>
              <w:t>国流中心具体工作事项</w:t>
            </w:r>
          </w:p>
        </w:tc>
      </w:tr>
      <w:tr>
        <w:tblPrEx>
          <w:tblCellMar>
            <w:top w:w="0" w:type="dxa"/>
            <w:left w:w="108" w:type="dxa"/>
            <w:bottom w:w="0" w:type="dxa"/>
            <w:right w:w="108" w:type="dxa"/>
          </w:tblCellMar>
        </w:tblPrEx>
        <w:trPr>
          <w:trHeight w:val="1140" w:hRule="atLeast"/>
        </w:trPr>
        <w:tc>
          <w:tcPr>
            <w:tcW w:w="2802" w:type="dxa"/>
            <w:vMerge w:val="restart"/>
            <w:tcBorders>
              <w:top w:val="nil"/>
              <w:left w:val="single" w:color="auto" w:sz="8" w:space="0"/>
              <w:bottom w:val="single" w:color="auto" w:sz="4" w:space="0"/>
              <w:right w:val="single" w:color="auto" w:sz="4" w:space="0"/>
            </w:tcBorders>
            <w:shd w:val="clear" w:color="auto" w:fill="auto"/>
            <w:vAlign w:val="center"/>
          </w:tcPr>
          <w:p>
            <w:pPr>
              <w:widowControl/>
              <w:tabs>
                <w:tab w:val="left" w:pos="0"/>
              </w:tabs>
              <w:jc w:val="left"/>
              <w:rPr>
                <w:rFonts w:ascii="仿宋" w:hAnsi="仿宋" w:eastAsia="仿宋" w:cs="宋体"/>
                <w:kern w:val="0"/>
                <w:sz w:val="30"/>
                <w:szCs w:val="30"/>
              </w:rPr>
            </w:pPr>
            <w:r>
              <w:rPr>
                <w:rFonts w:hint="eastAsia" w:ascii="仿宋" w:hAnsi="仿宋" w:eastAsia="仿宋" w:cs="宋体"/>
                <w:kern w:val="0"/>
                <w:sz w:val="30"/>
                <w:szCs w:val="30"/>
              </w:rPr>
              <w:t>拟订全区引进国外智力规划、政策，建立引进国外智力服务体系，归口管理全区出国（境）培训工作，综合管理来桂工作的外国专家</w:t>
            </w:r>
          </w:p>
        </w:tc>
        <w:tc>
          <w:tcPr>
            <w:tcW w:w="7371" w:type="dxa"/>
            <w:tcBorders>
              <w:top w:val="nil"/>
              <w:left w:val="nil"/>
              <w:bottom w:val="single" w:color="auto" w:sz="4" w:space="0"/>
              <w:right w:val="single" w:color="auto" w:sz="4" w:space="0"/>
            </w:tcBorders>
            <w:shd w:val="clear" w:color="000000" w:fill="FFFFFF"/>
            <w:vAlign w:val="center"/>
          </w:tcPr>
          <w:p>
            <w:pPr>
              <w:widowControl/>
              <w:tabs>
                <w:tab w:val="left" w:pos="0"/>
              </w:tabs>
              <w:spacing w:line="400" w:lineRule="exact"/>
              <w:jc w:val="left"/>
              <w:rPr>
                <w:rFonts w:ascii="仿宋" w:hAnsi="仿宋" w:eastAsia="仿宋" w:cs="宋体"/>
                <w:kern w:val="0"/>
                <w:sz w:val="30"/>
                <w:szCs w:val="30"/>
              </w:rPr>
            </w:pPr>
            <w:r>
              <w:rPr>
                <w:rFonts w:hint="eastAsia" w:ascii="仿宋" w:hAnsi="仿宋" w:eastAsia="仿宋" w:cs="宋体"/>
                <w:kern w:val="0"/>
                <w:sz w:val="30"/>
                <w:szCs w:val="30"/>
              </w:rPr>
              <w:t>承担自治区外国专家局委托的各项引进国（境）外智力工作</w:t>
            </w:r>
          </w:p>
        </w:tc>
      </w:tr>
      <w:tr>
        <w:tblPrEx>
          <w:tblCellMar>
            <w:top w:w="0" w:type="dxa"/>
            <w:left w:w="108" w:type="dxa"/>
            <w:bottom w:w="0" w:type="dxa"/>
            <w:right w:w="108" w:type="dxa"/>
          </w:tblCellMar>
        </w:tblPrEx>
        <w:trPr>
          <w:trHeight w:val="900" w:hRule="atLeast"/>
        </w:trPr>
        <w:tc>
          <w:tcPr>
            <w:tcW w:w="2802" w:type="dxa"/>
            <w:vMerge w:val="continue"/>
            <w:tcBorders>
              <w:top w:val="nil"/>
              <w:left w:val="single" w:color="auto" w:sz="8" w:space="0"/>
              <w:bottom w:val="single" w:color="auto" w:sz="4" w:space="0"/>
              <w:right w:val="single" w:color="auto" w:sz="4" w:space="0"/>
            </w:tcBorders>
            <w:shd w:val="clear" w:color="auto" w:fill="auto"/>
            <w:vAlign w:val="center"/>
          </w:tcPr>
          <w:p>
            <w:pPr>
              <w:widowControl/>
              <w:tabs>
                <w:tab w:val="left" w:pos="0"/>
              </w:tabs>
              <w:jc w:val="left"/>
              <w:rPr>
                <w:rFonts w:ascii="仿宋" w:hAnsi="仿宋" w:eastAsia="仿宋" w:cs="宋体"/>
                <w:kern w:val="0"/>
                <w:sz w:val="30"/>
                <w:szCs w:val="30"/>
              </w:rPr>
            </w:pPr>
          </w:p>
        </w:tc>
        <w:tc>
          <w:tcPr>
            <w:tcW w:w="7371" w:type="dxa"/>
            <w:tcBorders>
              <w:top w:val="nil"/>
              <w:left w:val="nil"/>
              <w:bottom w:val="single" w:color="auto" w:sz="4" w:space="0"/>
              <w:right w:val="single" w:color="auto" w:sz="4" w:space="0"/>
            </w:tcBorders>
            <w:shd w:val="clear" w:color="000000" w:fill="FFFFFF"/>
            <w:vAlign w:val="center"/>
          </w:tcPr>
          <w:p>
            <w:pPr>
              <w:widowControl/>
              <w:tabs>
                <w:tab w:val="left" w:pos="0"/>
              </w:tabs>
              <w:spacing w:line="400" w:lineRule="exact"/>
              <w:jc w:val="left"/>
              <w:rPr>
                <w:rFonts w:ascii="仿宋" w:hAnsi="仿宋" w:eastAsia="仿宋" w:cs="宋体"/>
                <w:kern w:val="0"/>
                <w:sz w:val="30"/>
                <w:szCs w:val="30"/>
              </w:rPr>
            </w:pPr>
            <w:r>
              <w:rPr>
                <w:rFonts w:hint="eastAsia" w:ascii="仿宋" w:hAnsi="仿宋" w:eastAsia="仿宋" w:cs="宋体"/>
                <w:kern w:val="0"/>
                <w:sz w:val="30"/>
                <w:szCs w:val="30"/>
              </w:rPr>
              <w:t>承办出国（境）培训、出访和研修（见习）业务。具体办理出国（境）培训业务的材料审核和申报、行前培训、手续办理、团组服务、情况跟踪、突发事项处理、总结反馈等工作</w:t>
            </w:r>
          </w:p>
        </w:tc>
      </w:tr>
      <w:tr>
        <w:tblPrEx>
          <w:tblCellMar>
            <w:top w:w="0" w:type="dxa"/>
            <w:left w:w="108" w:type="dxa"/>
            <w:bottom w:w="0" w:type="dxa"/>
            <w:right w:w="108" w:type="dxa"/>
          </w:tblCellMar>
        </w:tblPrEx>
        <w:trPr>
          <w:trHeight w:val="1365" w:hRule="atLeast"/>
        </w:trPr>
        <w:tc>
          <w:tcPr>
            <w:tcW w:w="2802" w:type="dxa"/>
            <w:vMerge w:val="continue"/>
            <w:tcBorders>
              <w:top w:val="nil"/>
              <w:left w:val="single" w:color="auto" w:sz="8" w:space="0"/>
              <w:bottom w:val="single" w:color="auto" w:sz="4" w:space="0"/>
              <w:right w:val="single" w:color="auto" w:sz="4" w:space="0"/>
            </w:tcBorders>
            <w:shd w:val="clear" w:color="auto" w:fill="auto"/>
            <w:vAlign w:val="center"/>
          </w:tcPr>
          <w:p>
            <w:pPr>
              <w:widowControl/>
              <w:tabs>
                <w:tab w:val="left" w:pos="0"/>
              </w:tabs>
              <w:jc w:val="left"/>
              <w:rPr>
                <w:rFonts w:ascii="仿宋" w:hAnsi="仿宋" w:eastAsia="仿宋" w:cs="宋体"/>
                <w:kern w:val="0"/>
                <w:sz w:val="30"/>
                <w:szCs w:val="30"/>
              </w:rPr>
            </w:pPr>
          </w:p>
        </w:tc>
        <w:tc>
          <w:tcPr>
            <w:tcW w:w="7371" w:type="dxa"/>
            <w:tcBorders>
              <w:top w:val="nil"/>
              <w:left w:val="nil"/>
              <w:bottom w:val="single" w:color="auto" w:sz="4" w:space="0"/>
              <w:right w:val="single" w:color="auto" w:sz="4" w:space="0"/>
            </w:tcBorders>
            <w:shd w:val="clear" w:color="000000" w:fill="FFFFFF"/>
            <w:vAlign w:val="center"/>
          </w:tcPr>
          <w:p>
            <w:pPr>
              <w:widowControl/>
              <w:tabs>
                <w:tab w:val="left" w:pos="0"/>
              </w:tabs>
              <w:spacing w:line="400" w:lineRule="exact"/>
              <w:jc w:val="left"/>
              <w:rPr>
                <w:rFonts w:ascii="仿宋" w:hAnsi="仿宋" w:eastAsia="仿宋" w:cs="宋体"/>
                <w:kern w:val="0"/>
                <w:sz w:val="30"/>
                <w:szCs w:val="30"/>
              </w:rPr>
            </w:pPr>
            <w:r>
              <w:rPr>
                <w:rFonts w:hint="eastAsia" w:ascii="仿宋" w:hAnsi="仿宋" w:eastAsia="仿宋" w:cs="宋体"/>
                <w:kern w:val="0"/>
                <w:sz w:val="30"/>
                <w:szCs w:val="30"/>
              </w:rPr>
              <w:t>与国（境）外专家组织建立合作关系，协助引进国（境）外专家来桂工作并向各引智用人单位推荐外国专家</w:t>
            </w:r>
          </w:p>
        </w:tc>
      </w:tr>
      <w:tr>
        <w:tblPrEx>
          <w:tblCellMar>
            <w:top w:w="0" w:type="dxa"/>
            <w:left w:w="108" w:type="dxa"/>
            <w:bottom w:w="0" w:type="dxa"/>
            <w:right w:w="108" w:type="dxa"/>
          </w:tblCellMar>
        </w:tblPrEx>
        <w:trPr>
          <w:trHeight w:val="1290" w:hRule="atLeast"/>
        </w:trPr>
        <w:tc>
          <w:tcPr>
            <w:tcW w:w="2802" w:type="dxa"/>
            <w:vMerge w:val="continue"/>
            <w:tcBorders>
              <w:top w:val="nil"/>
              <w:left w:val="single" w:color="auto" w:sz="8" w:space="0"/>
              <w:bottom w:val="single" w:color="auto" w:sz="4" w:space="0"/>
              <w:right w:val="single" w:color="auto" w:sz="4" w:space="0"/>
            </w:tcBorders>
            <w:shd w:val="clear" w:color="auto" w:fill="auto"/>
            <w:vAlign w:val="center"/>
          </w:tcPr>
          <w:p>
            <w:pPr>
              <w:widowControl/>
              <w:tabs>
                <w:tab w:val="left" w:pos="0"/>
              </w:tabs>
              <w:jc w:val="left"/>
              <w:rPr>
                <w:rFonts w:ascii="仿宋" w:hAnsi="仿宋" w:eastAsia="仿宋" w:cs="宋体"/>
                <w:kern w:val="0"/>
                <w:sz w:val="30"/>
                <w:szCs w:val="30"/>
              </w:rPr>
            </w:pPr>
          </w:p>
        </w:tc>
        <w:tc>
          <w:tcPr>
            <w:tcW w:w="7371" w:type="dxa"/>
            <w:tcBorders>
              <w:top w:val="nil"/>
              <w:left w:val="nil"/>
              <w:bottom w:val="single" w:color="auto" w:sz="4" w:space="0"/>
              <w:right w:val="single" w:color="auto" w:sz="4" w:space="0"/>
            </w:tcBorders>
            <w:shd w:val="clear" w:color="000000" w:fill="FFFFFF"/>
            <w:vAlign w:val="center"/>
          </w:tcPr>
          <w:p>
            <w:pPr>
              <w:widowControl/>
              <w:tabs>
                <w:tab w:val="left" w:pos="0"/>
              </w:tabs>
              <w:spacing w:line="400" w:lineRule="exact"/>
              <w:jc w:val="left"/>
              <w:rPr>
                <w:rFonts w:ascii="仿宋" w:hAnsi="仿宋" w:eastAsia="仿宋" w:cs="宋体"/>
                <w:kern w:val="0"/>
                <w:sz w:val="30"/>
                <w:szCs w:val="30"/>
              </w:rPr>
            </w:pPr>
            <w:r>
              <w:rPr>
                <w:rFonts w:hint="eastAsia" w:ascii="仿宋" w:hAnsi="仿宋" w:eastAsia="仿宋" w:cs="宋体"/>
                <w:kern w:val="0"/>
                <w:sz w:val="30"/>
                <w:szCs w:val="30"/>
              </w:rPr>
              <w:t>为国（境）外相关组织、人员来桂考察、培训、学习提供服务，实施智力交流项目</w:t>
            </w:r>
          </w:p>
        </w:tc>
      </w:tr>
      <w:tr>
        <w:tblPrEx>
          <w:tblCellMar>
            <w:top w:w="0" w:type="dxa"/>
            <w:left w:w="108" w:type="dxa"/>
            <w:bottom w:w="0" w:type="dxa"/>
            <w:right w:w="108" w:type="dxa"/>
          </w:tblCellMar>
        </w:tblPrEx>
        <w:trPr>
          <w:trHeight w:val="1140" w:hRule="atLeast"/>
        </w:trPr>
        <w:tc>
          <w:tcPr>
            <w:tcW w:w="2802" w:type="dxa"/>
            <w:vMerge w:val="continue"/>
            <w:tcBorders>
              <w:top w:val="nil"/>
              <w:left w:val="single" w:color="auto" w:sz="8" w:space="0"/>
              <w:bottom w:val="single" w:color="auto" w:sz="4" w:space="0"/>
              <w:right w:val="single" w:color="auto" w:sz="4" w:space="0"/>
            </w:tcBorders>
            <w:shd w:val="clear" w:color="auto" w:fill="auto"/>
            <w:vAlign w:val="center"/>
          </w:tcPr>
          <w:p>
            <w:pPr>
              <w:widowControl/>
              <w:tabs>
                <w:tab w:val="left" w:pos="0"/>
              </w:tabs>
              <w:jc w:val="left"/>
              <w:rPr>
                <w:rFonts w:ascii="仿宋" w:hAnsi="仿宋" w:eastAsia="仿宋" w:cs="宋体"/>
                <w:kern w:val="0"/>
                <w:sz w:val="30"/>
                <w:szCs w:val="30"/>
              </w:rPr>
            </w:pPr>
          </w:p>
        </w:tc>
        <w:tc>
          <w:tcPr>
            <w:tcW w:w="7371" w:type="dxa"/>
            <w:tcBorders>
              <w:top w:val="nil"/>
              <w:left w:val="nil"/>
              <w:bottom w:val="single" w:color="auto" w:sz="4" w:space="0"/>
              <w:right w:val="single" w:color="auto" w:sz="4" w:space="0"/>
            </w:tcBorders>
            <w:shd w:val="clear" w:color="000000" w:fill="FFFFFF"/>
            <w:vAlign w:val="center"/>
          </w:tcPr>
          <w:p>
            <w:pPr>
              <w:widowControl/>
              <w:tabs>
                <w:tab w:val="left" w:pos="0"/>
              </w:tabs>
              <w:spacing w:line="400" w:lineRule="exact"/>
              <w:jc w:val="left"/>
              <w:rPr>
                <w:rFonts w:ascii="仿宋" w:hAnsi="仿宋" w:eastAsia="仿宋" w:cs="宋体"/>
                <w:kern w:val="0"/>
                <w:sz w:val="30"/>
                <w:szCs w:val="30"/>
              </w:rPr>
            </w:pPr>
            <w:r>
              <w:rPr>
                <w:rFonts w:hint="eastAsia" w:ascii="仿宋" w:hAnsi="仿宋" w:eastAsia="仿宋" w:cs="宋体"/>
                <w:kern w:val="0"/>
                <w:sz w:val="30"/>
                <w:szCs w:val="30"/>
              </w:rPr>
              <w:t>搭建国际交往新平台，协助开辟引进国（境）外智力新渠道</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开展各类国际人才交流活动</w:t>
            </w:r>
          </w:p>
        </w:tc>
      </w:tr>
      <w:tr>
        <w:tblPrEx>
          <w:tblCellMar>
            <w:top w:w="0" w:type="dxa"/>
            <w:left w:w="108" w:type="dxa"/>
            <w:bottom w:w="0" w:type="dxa"/>
            <w:right w:w="108" w:type="dxa"/>
          </w:tblCellMar>
        </w:tblPrEx>
        <w:trPr>
          <w:trHeight w:val="870" w:hRule="atLeast"/>
        </w:trPr>
        <w:tc>
          <w:tcPr>
            <w:tcW w:w="2802" w:type="dxa"/>
            <w:vMerge w:val="continue"/>
            <w:tcBorders>
              <w:top w:val="nil"/>
              <w:left w:val="single" w:color="auto" w:sz="8" w:space="0"/>
              <w:bottom w:val="single" w:color="auto" w:sz="4" w:space="0"/>
              <w:right w:val="single" w:color="auto" w:sz="4" w:space="0"/>
            </w:tcBorders>
            <w:shd w:val="clear" w:color="auto" w:fill="auto"/>
            <w:vAlign w:val="center"/>
          </w:tcPr>
          <w:p>
            <w:pPr>
              <w:widowControl/>
              <w:tabs>
                <w:tab w:val="left" w:pos="0"/>
              </w:tabs>
              <w:jc w:val="left"/>
              <w:rPr>
                <w:rFonts w:ascii="仿宋" w:hAnsi="仿宋" w:eastAsia="仿宋" w:cs="宋体"/>
                <w:kern w:val="0"/>
                <w:sz w:val="30"/>
                <w:szCs w:val="30"/>
              </w:rPr>
            </w:pPr>
          </w:p>
        </w:tc>
        <w:tc>
          <w:tcPr>
            <w:tcW w:w="7371" w:type="dxa"/>
            <w:tcBorders>
              <w:top w:val="nil"/>
              <w:left w:val="nil"/>
              <w:bottom w:val="single" w:color="auto" w:sz="4" w:space="0"/>
              <w:right w:val="single" w:color="auto" w:sz="4" w:space="0"/>
            </w:tcBorders>
            <w:shd w:val="clear" w:color="000000" w:fill="FFFFFF"/>
            <w:vAlign w:val="center"/>
          </w:tcPr>
          <w:p>
            <w:pPr>
              <w:widowControl/>
              <w:tabs>
                <w:tab w:val="left" w:pos="0"/>
              </w:tabs>
              <w:spacing w:line="400" w:lineRule="exact"/>
              <w:jc w:val="left"/>
              <w:rPr>
                <w:rFonts w:ascii="仿宋" w:hAnsi="仿宋" w:eastAsia="仿宋" w:cs="宋体"/>
                <w:kern w:val="0"/>
                <w:sz w:val="30"/>
                <w:szCs w:val="30"/>
              </w:rPr>
            </w:pPr>
            <w:r>
              <w:rPr>
                <w:rFonts w:hint="eastAsia" w:ascii="仿宋" w:hAnsi="仿宋" w:eastAsia="仿宋" w:cs="宋体"/>
                <w:kern w:val="0"/>
                <w:sz w:val="30"/>
                <w:szCs w:val="30"/>
              </w:rPr>
              <w:t>组织开展中国国际人才市场广西市场业务</w:t>
            </w:r>
          </w:p>
        </w:tc>
      </w:tr>
      <w:tr>
        <w:tblPrEx>
          <w:tblCellMar>
            <w:top w:w="0" w:type="dxa"/>
            <w:left w:w="108" w:type="dxa"/>
            <w:bottom w:w="0" w:type="dxa"/>
            <w:right w:w="108" w:type="dxa"/>
          </w:tblCellMar>
        </w:tblPrEx>
        <w:trPr>
          <w:trHeight w:val="1185" w:hRule="atLeast"/>
        </w:trPr>
        <w:tc>
          <w:tcPr>
            <w:tcW w:w="2802" w:type="dxa"/>
            <w:tcBorders>
              <w:top w:val="nil"/>
              <w:left w:val="single" w:color="auto" w:sz="8" w:space="0"/>
              <w:bottom w:val="single" w:color="auto" w:sz="8" w:space="0"/>
              <w:right w:val="single" w:color="auto" w:sz="4" w:space="0"/>
            </w:tcBorders>
            <w:shd w:val="clear" w:color="auto" w:fill="auto"/>
            <w:vAlign w:val="center"/>
          </w:tcPr>
          <w:p>
            <w:pPr>
              <w:widowControl/>
              <w:tabs>
                <w:tab w:val="left" w:pos="0"/>
              </w:tabs>
              <w:jc w:val="left"/>
              <w:rPr>
                <w:rFonts w:ascii="仿宋" w:hAnsi="仿宋" w:eastAsia="仿宋" w:cs="宋体"/>
                <w:kern w:val="0"/>
                <w:sz w:val="30"/>
                <w:szCs w:val="30"/>
              </w:rPr>
            </w:pPr>
            <w:r>
              <w:rPr>
                <w:rFonts w:hint="eastAsia" w:ascii="仿宋" w:hAnsi="仿宋" w:eastAsia="仿宋" w:cs="宋体"/>
                <w:kern w:val="0"/>
                <w:sz w:val="30"/>
                <w:szCs w:val="30"/>
              </w:rPr>
              <w:t>负责区直单位国际交流与合作工作</w:t>
            </w:r>
          </w:p>
        </w:tc>
        <w:tc>
          <w:tcPr>
            <w:tcW w:w="7371" w:type="dxa"/>
            <w:tcBorders>
              <w:top w:val="nil"/>
              <w:left w:val="nil"/>
              <w:bottom w:val="single" w:color="auto" w:sz="8" w:space="0"/>
              <w:right w:val="single" w:color="auto" w:sz="4" w:space="0"/>
            </w:tcBorders>
            <w:shd w:val="clear" w:color="000000" w:fill="FFFFFF"/>
            <w:vAlign w:val="center"/>
          </w:tcPr>
          <w:p>
            <w:pPr>
              <w:widowControl/>
              <w:tabs>
                <w:tab w:val="left" w:pos="0"/>
              </w:tabs>
              <w:spacing w:line="400" w:lineRule="exact"/>
              <w:jc w:val="left"/>
              <w:rPr>
                <w:rFonts w:ascii="仿宋" w:hAnsi="仿宋" w:eastAsia="仿宋" w:cs="宋体"/>
                <w:kern w:val="0"/>
                <w:sz w:val="30"/>
                <w:szCs w:val="30"/>
              </w:rPr>
            </w:pPr>
            <w:r>
              <w:rPr>
                <w:rFonts w:hint="eastAsia" w:ascii="仿宋" w:hAnsi="仿宋" w:eastAsia="仿宋" w:cs="宋体"/>
                <w:kern w:val="0"/>
                <w:sz w:val="30"/>
                <w:szCs w:val="30"/>
              </w:rPr>
              <w:t>受委托承办区内机关、企事业单位人员赴国（境）外培训的具体事务性工作</w:t>
            </w:r>
          </w:p>
        </w:tc>
      </w:tr>
    </w:tbl>
    <w:p>
      <w:pPr>
        <w:spacing w:beforeLines="50"/>
        <w:rPr>
          <w:rFonts w:hint="eastAsia" w:ascii="仿宋" w:hAnsi="仿宋" w:eastAsia="仿宋" w:cs="仿宋_GB2312"/>
          <w:kern w:val="0"/>
          <w:sz w:val="30"/>
          <w:szCs w:val="30"/>
          <w:lang w:val="zh-CN" w:eastAsia="zh-CN"/>
        </w:rPr>
        <w:sectPr>
          <w:footerReference r:id="rId3" w:type="default"/>
          <w:pgSz w:w="11906" w:h="16838"/>
          <w:pgMar w:top="1440" w:right="1440" w:bottom="1440" w:left="1440" w:header="851" w:footer="992" w:gutter="0"/>
          <w:pgNumType w:start="1"/>
          <w:cols w:space="720" w:num="1"/>
          <w:docGrid w:linePitch="286" w:charSpace="0"/>
        </w:sectPr>
      </w:pPr>
      <w:r>
        <w:rPr>
          <w:rFonts w:hint="eastAsia" w:ascii="仿宋" w:hAnsi="仿宋" w:eastAsia="仿宋" w:cs="仿宋_GB2312"/>
          <w:kern w:val="0"/>
          <w:sz w:val="30"/>
          <w:szCs w:val="30"/>
        </w:rPr>
        <w:t>注：根据《广西壮族自治区人民政府关于推行各级政府部门权力制度的意见》（桂政发〔2014〕78号）和《广西壮族自治区人民政府关于印发推行自治区人民政府权力清单制度实施意见的通知》（桂政办发〔2014〕123号）的文件精神，广西国际人才交流中心无行政权力事</w:t>
      </w:r>
      <w:r>
        <w:rPr>
          <w:rFonts w:hint="eastAsia" w:ascii="仿宋" w:hAnsi="仿宋" w:eastAsia="仿宋" w:cs="仿宋_GB2312"/>
          <w:kern w:val="0"/>
          <w:sz w:val="30"/>
          <w:szCs w:val="30"/>
          <w:lang w:eastAsia="zh-CN"/>
        </w:rPr>
        <w:t>项。</w:t>
      </w:r>
    </w:p>
    <w:p>
      <w:pPr>
        <w:ind w:firstLine="640" w:firstLineChars="200"/>
        <w:rPr>
          <w:rFonts w:ascii="黑体" w:hAnsi="黑体" w:eastAsia="黑体"/>
          <w:sz w:val="32"/>
          <w:szCs w:val="32"/>
        </w:rPr>
      </w:pPr>
      <w:r>
        <w:rPr>
          <w:rFonts w:hint="eastAsia" w:ascii="黑体" w:hAnsi="黑体" w:eastAsia="黑体"/>
          <w:sz w:val="32"/>
          <w:szCs w:val="32"/>
        </w:rPr>
        <w:t>二、部门决算单位构成</w:t>
      </w:r>
    </w:p>
    <w:p>
      <w:pPr>
        <w:tabs>
          <w:tab w:val="left" w:pos="0"/>
        </w:tabs>
        <w:spacing w:line="640" w:lineRule="exact"/>
        <w:ind w:right="-338" w:rightChars="-161" w:firstLine="640" w:firstLineChars="200"/>
      </w:pPr>
      <w:r>
        <w:rPr>
          <w:rFonts w:hint="eastAsia" w:ascii="仿宋" w:hAnsi="仿宋" w:eastAsia="仿宋" w:cs="仿宋_GB2312"/>
          <w:sz w:val="32"/>
          <w:szCs w:val="32"/>
        </w:rPr>
        <w:t>广西国际人才交流中心(以下简称国流中心) 成立于1997年12月，根据2018年自治区机关事业单位机构改革相关文件，于2019年7月由原广西壮族自治区人力资源和社会保障厅正式转隶至广西壮族自治区科学技术厅，核定编制8名。中国国际人才市场广西市场于2008年12月17日挂牌成立，广西市场和广西国际人才交流中心是一套人马，两块牌子。根据《关于自治区人力资源和社会保障厅所属事业单位分类意见的批复》（桂编〔2014〕129号），国流中心在事业单位分类改革中，划分为公益二类事业单位。</w:t>
      </w:r>
    </w:p>
    <w:p>
      <w:pPr>
        <w:jc w:val="cente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广西国际人才交流中心</w:t>
      </w:r>
      <w:r>
        <w:rPr>
          <w:rFonts w:hint="eastAsia" w:ascii="黑体" w:hAnsi="黑体" w:eastAsia="黑体"/>
          <w:sz w:val="32"/>
          <w:szCs w:val="32"/>
        </w:rPr>
        <w:t xml:space="preserve"> 2020年度部门决算报表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hAnsi="黑体"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上述公开内容详见附件:广西国际人才交流中心2020年度部门决算公开表</w:t>
      </w:r>
      <w:r>
        <w:rPr>
          <w:rFonts w:hint="eastAsia" w:ascii="仿宋_GB2312" w:eastAsia="仿宋_GB2312"/>
          <w:sz w:val="32"/>
          <w:szCs w:val="32"/>
          <w:lang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广西国际人才交流中心</w:t>
      </w:r>
      <w:r>
        <w:rPr>
          <w:rFonts w:hint="eastAsia" w:ascii="黑体" w:hAnsi="黑体" w:eastAsia="黑体"/>
          <w:sz w:val="32"/>
          <w:szCs w:val="32"/>
        </w:rPr>
        <w:t>2020年度部门决算情况说明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2020</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（一）本部门2020年度总收入</w:t>
      </w:r>
      <w:r>
        <w:rPr>
          <w:rFonts w:hint="eastAsia" w:ascii="仿宋_GB2312" w:eastAsia="仿宋_GB2312"/>
          <w:kern w:val="0"/>
          <w:sz w:val="32"/>
          <w:szCs w:val="32"/>
        </w:rPr>
        <w:t xml:space="preserve">124.59 </w:t>
      </w:r>
      <w:r>
        <w:rPr>
          <w:rFonts w:hint="eastAsia" w:ascii="仿宋_GB2312" w:eastAsia="仿宋_GB2312" w:cs="仿宋_GB2312"/>
          <w:kern w:val="0"/>
          <w:sz w:val="32"/>
          <w:szCs w:val="32"/>
        </w:rPr>
        <w:t>万元，其中本年收入</w:t>
      </w:r>
      <w:r>
        <w:rPr>
          <w:rFonts w:hint="eastAsia" w:ascii="仿宋_GB2312" w:eastAsia="仿宋_GB2312"/>
          <w:kern w:val="0"/>
          <w:sz w:val="32"/>
          <w:szCs w:val="32"/>
        </w:rPr>
        <w:t>124.59</w:t>
      </w:r>
      <w:r>
        <w:rPr>
          <w:rFonts w:hint="eastAsia" w:ascii="仿宋_GB2312" w:eastAsia="仿宋_GB2312" w:cs="仿宋_GB2312"/>
          <w:kern w:val="0"/>
          <w:sz w:val="32"/>
          <w:szCs w:val="32"/>
        </w:rPr>
        <w:t xml:space="preserve"> 万元, </w:t>
      </w:r>
      <w:r>
        <w:rPr>
          <w:rFonts w:hint="eastAsia" w:ascii="仿宋_GB2312" w:hAnsi="黑体" w:eastAsia="仿宋_GB2312" w:cs="仿宋_GB2312"/>
          <w:kern w:val="0"/>
          <w:sz w:val="32"/>
          <w:szCs w:val="32"/>
        </w:rPr>
        <w:t>较2019年度决算数减少 391.33 万元，下降68.6 %。</w:t>
      </w:r>
      <w:r>
        <w:rPr>
          <w:rFonts w:hint="eastAsia" w:ascii="仿宋_GB2312" w:eastAsia="仿宋_GB2312" w:cs="仿宋_GB2312"/>
          <w:kern w:val="0"/>
          <w:sz w:val="32"/>
          <w:szCs w:val="32"/>
        </w:rPr>
        <w:t>收入具体情况如下。</w:t>
      </w:r>
    </w:p>
    <w:p>
      <w:pPr>
        <w:spacing w:line="560" w:lineRule="exact"/>
        <w:ind w:firstLine="640" w:firstLineChars="200"/>
        <w:jc w:val="left"/>
        <w:rPr>
          <w:rFonts w:ascii="仿宋_GB2312" w:eastAsia="仿宋_GB2312"/>
          <w:bCs/>
          <w:sz w:val="32"/>
          <w:szCs w:val="32"/>
        </w:rPr>
      </w:pPr>
      <w:r>
        <w:rPr>
          <w:rFonts w:hint="eastAsia" w:ascii="仿宋_GB2312" w:hAnsi="宋体" w:eastAsia="仿宋_GB2312" w:cs="宋体"/>
          <w:bCs/>
          <w:sz w:val="32"/>
          <w:szCs w:val="32"/>
        </w:rPr>
        <w:t>1．</w:t>
      </w:r>
      <w:r>
        <w:rPr>
          <w:rFonts w:hint="eastAsia" w:ascii="仿宋_GB2312" w:eastAsia="仿宋_GB2312"/>
          <w:bCs/>
          <w:sz w:val="32"/>
          <w:szCs w:val="32"/>
        </w:rPr>
        <w:t>按支出功能分类科目划分，共分为六类，其中：</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206类科学技术支出658.63万元，占支出总预算97.4%，同比增加112.53万元，增长17.10%；</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208类社会保障和就业支出9.54万元，占支出总预算1.41%，同比增加0.34万元，增长3.56%；</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210类卫生健康支出2.94万元，占支出总预算0.43%，同比增加0.26万元，增长8.84%；</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221类住房保障支出4.77万元，占支出总预算0.7%，同比增加0.17万元，增长3.56%；</w:t>
      </w:r>
    </w:p>
    <w:p>
      <w:pPr>
        <w:autoSpaceDE w:val="0"/>
        <w:autoSpaceDN w:val="0"/>
        <w:adjustRightInd w:val="0"/>
        <w:spacing w:line="560" w:lineRule="exact"/>
        <w:ind w:firstLine="640" w:firstLineChars="200"/>
        <w:jc w:val="left"/>
        <w:rPr>
          <w:rFonts w:ascii="仿宋_GB2312" w:hAnsi="黑体" w:eastAsia="仿宋_GB2312" w:cs="仿宋_GB2312"/>
          <w:kern w:val="0"/>
          <w:sz w:val="32"/>
          <w:szCs w:val="32"/>
        </w:rPr>
      </w:pPr>
      <w:r>
        <w:rPr>
          <w:rFonts w:hint="eastAsia" w:ascii="仿宋_GB2312" w:eastAsia="仿宋_GB2312"/>
          <w:bCs/>
          <w:kern w:val="0"/>
          <w:sz w:val="32"/>
          <w:szCs w:val="32"/>
        </w:rPr>
        <w:t>2</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rPr>
        <w:t xml:space="preserve">0 </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较2019年度决算数增加（减少） 0 万元，增长（下降）0  %，主要原因无。</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3.政府性基金预算财政拨款收入</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较2019年度决算数增加（减少） 0 万元，增长（下降） 0%，主要原因无。</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4</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较2019年度决算数增加（减少）  0万元，增长（下降）0  %，主要原因无。</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5.事业收入</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较2019年度决算数增加（减少）0 万元，增长（下降） 0 %，主要原因无</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.经营收入</w:t>
      </w:r>
      <w:r>
        <w:rPr>
          <w:rFonts w:hint="eastAsia" w:ascii="仿宋_GB2312" w:eastAsia="仿宋_GB2312"/>
          <w:kern w:val="0"/>
          <w:sz w:val="32"/>
          <w:szCs w:val="32"/>
        </w:rPr>
        <w:t xml:space="preserve"> 124.59 </w:t>
      </w:r>
      <w:r>
        <w:rPr>
          <w:rFonts w:hint="eastAsia" w:ascii="仿宋_GB2312" w:eastAsia="仿宋_GB2312" w:cs="仿宋_GB2312"/>
          <w:kern w:val="0"/>
          <w:sz w:val="32"/>
          <w:szCs w:val="32"/>
        </w:rPr>
        <w:t>万</w:t>
      </w:r>
      <w:r>
        <w:rPr>
          <w:rFonts w:hint="eastAsia" w:ascii="仿宋_GB2312" w:eastAsia="仿宋_GB2312" w:cs="仿宋_GB2312"/>
          <w:kern w:val="0"/>
          <w:sz w:val="32"/>
          <w:szCs w:val="32"/>
          <w:lang w:eastAsia="zh-CN"/>
        </w:rPr>
        <w:t>元</w:t>
      </w:r>
      <w:bookmarkStart w:id="0" w:name="_GoBack"/>
      <w:bookmarkEnd w:id="0"/>
      <w:r>
        <w:rPr>
          <w:rFonts w:hint="eastAsia" w:ascii="仿宋_GB2312" w:eastAsia="仿宋_GB2312" w:cs="仿宋_GB2312"/>
          <w:kern w:val="0"/>
          <w:sz w:val="32"/>
          <w:szCs w:val="32"/>
        </w:rPr>
        <w:t>，为事业单位在业务活动之外开展非独立核算经营活动取得的收入。</w:t>
      </w:r>
      <w:r>
        <w:rPr>
          <w:rFonts w:hint="eastAsia" w:ascii="仿宋_GB2312" w:hAnsi="黑体" w:eastAsia="仿宋_GB2312" w:cs="仿宋_GB2312"/>
          <w:kern w:val="0"/>
          <w:sz w:val="32"/>
          <w:szCs w:val="32"/>
        </w:rPr>
        <w:t>较2019年度决算数增加减少391.33万元，下降68.6%</w:t>
      </w:r>
      <w:r>
        <w:rPr>
          <w:rFonts w:hint="eastAsia" w:ascii="仿宋_GB2312" w:hAnsi="黑体" w:eastAsia="仿宋_GB2312" w:cs="仿宋_GB2312"/>
          <w:kern w:val="0"/>
          <w:sz w:val="32"/>
          <w:szCs w:val="32"/>
          <w:lang w:eastAsia="zh-CN"/>
        </w:rPr>
        <w:t>，主要原因是</w:t>
      </w:r>
      <w:r>
        <w:rPr>
          <w:rFonts w:hint="eastAsia" w:ascii="仿宋_GB2312" w:hAnsi="黑体" w:eastAsia="仿宋_GB2312" w:cs="仿宋_GB2312"/>
          <w:kern w:val="0"/>
          <w:sz w:val="32"/>
          <w:szCs w:val="32"/>
          <w:highlight w:val="none"/>
          <w:lang w:eastAsia="zh-CN"/>
        </w:rPr>
        <w:t>因疫情影响，各项经营活动取得的收入较往年减少</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.其他收入0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之外取得的收入。如：</w:t>
      </w:r>
      <w:r>
        <w:rPr>
          <w:rFonts w:hint="eastAsia" w:ascii="仿宋_GB2312" w:hAnsi="黑体" w:eastAsia="仿宋_GB2312" w:cs="仿宋_GB2312"/>
          <w:kern w:val="0"/>
          <w:sz w:val="32"/>
          <w:szCs w:val="32"/>
        </w:rPr>
        <w:t>较2019年度决算数增加（减少） 0 万元，增长（下降）0  %，主要原因无。</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.用事业基金弥补收支差额</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较2019年度决算数增加（减少） 0 万元，增长（下降）0  %，主要原因无。</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9</w:t>
      </w:r>
      <w:r>
        <w:rPr>
          <w:rFonts w:hint="eastAsia" w:ascii="仿宋_GB2312" w:eastAsia="仿宋_GB2312" w:cs="仿宋_GB2312"/>
          <w:kern w:val="0"/>
          <w:sz w:val="32"/>
          <w:szCs w:val="32"/>
        </w:rPr>
        <w:t>.上年结转和结余</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较2019年度决算数增加（减少）0 万元，增长（下降）0 %，主要原因无。</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（二）本部门2020年度总支出</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 xml:space="preserve">万元，其中本年支出  万元, </w:t>
      </w:r>
      <w:r>
        <w:rPr>
          <w:rFonts w:hint="eastAsia" w:ascii="仿宋_GB2312" w:hAnsi="黑体" w:eastAsia="仿宋_GB2312" w:cs="仿宋_GB2312"/>
          <w:kern w:val="0"/>
          <w:sz w:val="32"/>
          <w:szCs w:val="32"/>
        </w:rPr>
        <w:t>较2019年度决算数增加（减少） 0 万元，增长（下降） 0 %。</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较2019年度决算数增加（减少） 0 万元，增长（下降） 0 %，主要原因无。</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4</w:t>
      </w:r>
      <w:r>
        <w:rPr>
          <w:rFonts w:hint="eastAsia" w:ascii="仿宋_GB2312" w:eastAsia="仿宋_GB2312" w:cs="仿宋_GB2312"/>
          <w:kern w:val="0"/>
          <w:sz w:val="32"/>
          <w:szCs w:val="32"/>
        </w:rPr>
        <w:t>.结余分配</w:t>
      </w:r>
      <w:r>
        <w:rPr>
          <w:rFonts w:hint="eastAsia" w:ascii="仿宋_GB2312" w:eastAsia="仿宋_GB2312"/>
          <w:kern w:val="0"/>
          <w:sz w:val="32"/>
          <w:szCs w:val="32"/>
        </w:rPr>
        <w:t xml:space="preserve"> 0</w:t>
      </w:r>
      <w:r>
        <w:rPr>
          <w:rFonts w:hint="eastAsia" w:ascii="仿宋_GB2312" w:eastAsia="仿宋_GB2312" w:cs="仿宋_GB2312"/>
          <w:kern w:val="0"/>
          <w:sz w:val="32"/>
          <w:szCs w:val="32"/>
        </w:rPr>
        <w:t>万元，为事业单位按规定提取的职工福利基金、事业基金和缴纳的所得税等。</w:t>
      </w:r>
      <w:r>
        <w:rPr>
          <w:rFonts w:hint="eastAsia" w:ascii="仿宋_GB2312" w:hAnsi="黑体" w:eastAsia="仿宋_GB2312" w:cs="仿宋_GB2312"/>
          <w:kern w:val="0"/>
          <w:sz w:val="32"/>
          <w:szCs w:val="32"/>
        </w:rPr>
        <w:t>较2019年度决算数增加（减少）0 万元，增长（下降）0  %，主要原因无。</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.年末结转和结余</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万元，为本年度或以前年度</w:t>
      </w:r>
    </w:p>
    <w:p>
      <w:pPr>
        <w:autoSpaceDE w:val="0"/>
        <w:autoSpaceDN w:val="0"/>
        <w:adjustRightInd w:val="0"/>
        <w:spacing w:line="56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较2019年度决算数增加（减少） 0 万元，增长（下降）0 %，主要原因无。</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2020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rPr>
        <w:t>广西国际人才交流中心</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较2019年度决算数增加（减少）0 万元，增长（下降）0 %。</w:t>
      </w:r>
      <w:r>
        <w:rPr>
          <w:rFonts w:hint="eastAsia" w:ascii="仿宋_GB2312" w:eastAsia="仿宋_GB2312" w:cs="仿宋_GB2312"/>
          <w:kern w:val="0"/>
          <w:sz w:val="32"/>
          <w:szCs w:val="32"/>
        </w:rPr>
        <w:t>其中：基本支出</w:t>
      </w:r>
      <w:r>
        <w:rPr>
          <w:rFonts w:hint="eastAsia" w:ascii="仿宋_GB2312" w:eastAsia="仿宋_GB2312"/>
          <w:kern w:val="0"/>
          <w:sz w:val="32"/>
          <w:szCs w:val="32"/>
        </w:rPr>
        <w:t xml:space="preserve"> 0</w:t>
      </w:r>
      <w:r>
        <w:rPr>
          <w:rFonts w:hint="eastAsia" w:ascii="仿宋_GB2312" w:eastAsia="仿宋_GB2312" w:cs="仿宋_GB2312"/>
          <w:kern w:val="0"/>
          <w:sz w:val="32"/>
          <w:szCs w:val="32"/>
        </w:rPr>
        <w:t>万元，项目支出0万元。</w:t>
      </w:r>
    </w:p>
    <w:p>
      <w:pPr>
        <w:autoSpaceDE w:val="0"/>
        <w:autoSpaceDN w:val="0"/>
        <w:adjustRightInd w:val="0"/>
        <w:spacing w:line="560" w:lineRule="exact"/>
        <w:ind w:firstLine="640" w:firstLineChars="200"/>
        <w:jc w:val="left"/>
        <w:rPr>
          <w:rFonts w:ascii="仿宋_GB2312" w:hAnsi="黑体" w:eastAsia="仿宋_GB2312" w:cs="仿宋_GB2312"/>
          <w:kern w:val="0"/>
          <w:sz w:val="32"/>
          <w:szCs w:val="32"/>
        </w:rPr>
      </w:pPr>
      <w:r>
        <w:rPr>
          <w:rFonts w:hint="eastAsia" w:ascii="仿宋_GB2312" w:hAnsi="黑体" w:eastAsia="仿宋_GB2312"/>
          <w:bCs/>
          <w:color w:val="000000"/>
          <w:sz w:val="32"/>
          <w:szCs w:val="32"/>
        </w:rPr>
        <w:t>广西国际人才交流中心</w:t>
      </w:r>
      <w:r>
        <w:rPr>
          <w:rFonts w:hint="eastAsia" w:ascii="仿宋_GB2312" w:hAnsi="黑体" w:eastAsia="仿宋_GB2312"/>
          <w:kern w:val="0"/>
          <w:sz w:val="32"/>
          <w:szCs w:val="32"/>
        </w:rPr>
        <w:t xml:space="preserve">2020 </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 0 万元，支出决算为 0 万元，完成年初预算的 0 %。</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（一）</w:t>
      </w:r>
      <w:r>
        <w:rPr>
          <w:rFonts w:hint="eastAsia" w:ascii="仿宋_GB2312" w:eastAsia="仿宋_GB2312" w:cs="仿宋_GB2312"/>
          <w:kern w:val="0"/>
          <w:sz w:val="32"/>
          <w:szCs w:val="32"/>
        </w:rPr>
        <w:t>一般公共服务支出（类）</w:t>
      </w:r>
      <w:r>
        <w:rPr>
          <w:rFonts w:hint="eastAsia" w:ascii="仿宋_GB2312" w:hAnsi="黑体" w:eastAsia="仿宋_GB2312" w:cs="仿宋_GB2312"/>
          <w:kern w:val="0"/>
          <w:sz w:val="32"/>
          <w:szCs w:val="32"/>
        </w:rPr>
        <w:t>年初预算为0 万元，支出决算为 0 万元，完成年初预算的 0 %。</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三、2020年度一般公共预算财政拨款基本支出决算情况说明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 0万元，支出具体情况如下：</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（一）工资福利支出 0万元，完成年初预算的 0 %。</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（二）商品和服务支出0万元，完成年初预算的 0%。</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四、2020年度政府性基金支出决算情况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rPr>
        <w:t>广西国际人才交流中心</w:t>
      </w:r>
      <w:r>
        <w:rPr>
          <w:rFonts w:hint="eastAsia" w:ascii="仿宋_GB2312" w:eastAsia="仿宋_GB2312"/>
          <w:kern w:val="0"/>
          <w:sz w:val="32"/>
          <w:szCs w:val="32"/>
        </w:rPr>
        <w:t>2020</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较2019年度决算数增加（减少） 0 万元，增长（下降）0 %。</w:t>
      </w:r>
      <w:r>
        <w:rPr>
          <w:rFonts w:hint="eastAsia" w:ascii="仿宋_GB2312" w:eastAsia="仿宋_GB2312" w:cs="仿宋_GB2312"/>
          <w:kern w:val="0"/>
          <w:sz w:val="32"/>
          <w:szCs w:val="32"/>
        </w:rPr>
        <w:t>其中：基本支出</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万元，项目支出</w:t>
      </w:r>
      <w:r>
        <w:rPr>
          <w:rFonts w:hint="eastAsia" w:ascii="仿宋_GB2312" w:eastAsia="仿宋_GB2312"/>
          <w:kern w:val="0"/>
          <w:sz w:val="32"/>
          <w:szCs w:val="32"/>
        </w:rPr>
        <w:t xml:space="preserve"> 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rPr>
        <w:t>广西国际人才交流中心</w:t>
      </w:r>
      <w:r>
        <w:rPr>
          <w:rFonts w:hint="eastAsia" w:ascii="仿宋_GB2312" w:hAnsi="黑体" w:eastAsia="仿宋_GB2312"/>
          <w:kern w:val="0"/>
          <w:sz w:val="32"/>
          <w:szCs w:val="32"/>
        </w:rPr>
        <w:t xml:space="preserve">2020 </w:t>
      </w:r>
      <w:r>
        <w:rPr>
          <w:rFonts w:hint="eastAsia" w:ascii="仿宋_GB2312" w:hAnsi="黑体" w:eastAsia="仿宋_GB2312" w:cs="仿宋_GB2312"/>
          <w:kern w:val="0"/>
          <w:sz w:val="32"/>
          <w:szCs w:val="32"/>
        </w:rPr>
        <w:t>年度政府性基金支出年初预算为0万元，支出决算为 0万元，完成年初预算的 0 %。</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（一）</w:t>
      </w:r>
      <w:r>
        <w:rPr>
          <w:rFonts w:hint="eastAsia" w:ascii="仿宋_GB2312" w:eastAsia="仿宋_GB2312" w:cs="仿宋_GB2312"/>
          <w:kern w:val="0"/>
          <w:sz w:val="32"/>
          <w:szCs w:val="32"/>
        </w:rPr>
        <w:t>一般公共服务支出（类）</w:t>
      </w:r>
      <w:r>
        <w:rPr>
          <w:rFonts w:hint="eastAsia" w:ascii="仿宋_GB2312" w:hAnsi="黑体" w:eastAsia="仿宋_GB2312" w:cs="仿宋_GB2312"/>
          <w:kern w:val="0"/>
          <w:sz w:val="32"/>
          <w:szCs w:val="32"/>
        </w:rPr>
        <w:t>年初预算为 0 万元，支出决算为0 万元，完成年初预算的0 %。</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五、2020年度国有资本经营预算支出决算情况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rPr>
        <w:t>广西国际人才交流中心</w:t>
      </w:r>
      <w:r>
        <w:rPr>
          <w:rFonts w:hint="eastAsia" w:ascii="仿宋_GB2312" w:eastAsia="仿宋_GB2312"/>
          <w:kern w:val="0"/>
          <w:sz w:val="32"/>
          <w:szCs w:val="32"/>
        </w:rPr>
        <w:t>2020</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万元，项目支出0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rPr>
        <w:t>广西国际人才交流中心</w:t>
      </w:r>
      <w:r>
        <w:rPr>
          <w:rFonts w:hint="eastAsia" w:ascii="仿宋_GB2312" w:hAnsi="黑体" w:eastAsia="仿宋_GB2312"/>
          <w:kern w:val="0"/>
          <w:sz w:val="32"/>
          <w:szCs w:val="32"/>
        </w:rPr>
        <w:t xml:space="preserve">2020 </w:t>
      </w:r>
      <w:r>
        <w:rPr>
          <w:rFonts w:hint="eastAsia" w:ascii="仿宋_GB2312" w:hAnsi="黑体" w:eastAsia="仿宋_GB2312" w:cs="仿宋_GB2312"/>
          <w:kern w:val="0"/>
          <w:sz w:val="32"/>
          <w:szCs w:val="32"/>
        </w:rPr>
        <w:t>年度</w:t>
      </w:r>
      <w:r>
        <w:rPr>
          <w:rFonts w:hint="eastAsia" w:ascii="仿宋_GB2312" w:eastAsia="仿宋_GB2312" w:cs="仿宋_GB2312"/>
          <w:kern w:val="0"/>
          <w:sz w:val="32"/>
          <w:szCs w:val="32"/>
        </w:rPr>
        <w:t>国有资本经营预算</w:t>
      </w:r>
      <w:r>
        <w:rPr>
          <w:rFonts w:hint="eastAsia" w:ascii="仿宋_GB2312" w:hAnsi="黑体" w:eastAsia="仿宋_GB2312" w:cs="仿宋_GB2312"/>
          <w:kern w:val="0"/>
          <w:sz w:val="32"/>
          <w:szCs w:val="32"/>
        </w:rPr>
        <w:t>支出年初预算为 0 万元，支出决算为 0 万元，完成年初预算的 0 %。</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（一）</w:t>
      </w:r>
      <w:r>
        <w:rPr>
          <w:rFonts w:hint="eastAsia" w:ascii="仿宋_GB2312" w:eastAsia="仿宋_GB2312" w:cs="仿宋_GB2312"/>
          <w:kern w:val="0"/>
          <w:sz w:val="32"/>
          <w:szCs w:val="32"/>
        </w:rPr>
        <w:t>一般公共服务支出（类）</w:t>
      </w:r>
      <w:r>
        <w:rPr>
          <w:rFonts w:hint="eastAsia" w:ascii="仿宋_GB2312" w:hAnsi="黑体" w:eastAsia="仿宋_GB2312" w:cs="仿宋_GB2312"/>
          <w:kern w:val="0"/>
          <w:sz w:val="32"/>
          <w:szCs w:val="32"/>
        </w:rPr>
        <w:t>年初预算为 0 万元，支出决算为0万元，完成年初预算的0 %。</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 0万元，完成年初预算的 0 %，比年增减（减少）0 万元，其中：因公出国（境）费支出决算 0 万元，公务用车购置及运行费支出决算0万元，公务接待费支出决算 0万元。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ascii="仿宋_GB2312" w:hAnsi="黑体" w:eastAsia="仿宋_GB2312"/>
          <w:bCs/>
          <w:color w:val="000000"/>
          <w:sz w:val="32"/>
          <w:szCs w:val="32"/>
        </w:rPr>
      </w:pPr>
      <w:r>
        <w:rPr>
          <w:rFonts w:hint="eastAsia" w:ascii="仿宋_GB2312" w:eastAsia="仿宋_GB2312" w:cs="仿宋_GB2312"/>
          <w:kern w:val="0"/>
          <w:sz w:val="32"/>
          <w:szCs w:val="32"/>
        </w:rPr>
        <w:t>（一）因公出国（境）费支出 0 万元，完成年初预算的 0 %，比上年增减（减少） 0 万元</w:t>
      </w:r>
      <w:r>
        <w:rPr>
          <w:rFonts w:hint="eastAsia" w:ascii="仿宋_GB2312" w:eastAsia="仿宋_GB2312" w:cs="仿宋_GB2312"/>
          <w:kern w:val="0"/>
          <w:sz w:val="32"/>
          <w:szCs w:val="32"/>
          <w:lang w:eastAsia="zh-CN"/>
        </w:rPr>
        <w:t>，</w:t>
      </w:r>
      <w:r>
        <w:rPr>
          <w:rFonts w:hint="eastAsia" w:ascii="仿宋_GB2312" w:hAnsi="黑体" w:eastAsia="仿宋_GB2312"/>
          <w:bCs/>
          <w:color w:val="000000"/>
          <w:sz w:val="32"/>
          <w:szCs w:val="32"/>
        </w:rPr>
        <w:t>全年因公出国（境）团组共计0 个，累计 0 人次。无开支内容。</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（二）公务用车购置及运行费支出 0 万元。其中：</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公务用车购置支出 0万元，完成年初预算的 0 %，比上年增减（减少）0 万元，购置了0  辆公务用车。</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公务用车运行支出 0万元，完成年初预算的 0 %，比上年增减（减少）0 万元</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（三）公务接待费支出 0 万元，完成年初预算的0 %， 比上年增减（减少） 0 万元，国内公务接待批次0 次，人次0 次，国（境）外公务接待批次0 次，人次0 次。</w:t>
      </w:r>
    </w:p>
    <w:p>
      <w:pPr>
        <w:autoSpaceDE w:val="0"/>
        <w:autoSpaceDN w:val="0"/>
        <w:adjustRightInd w:val="0"/>
        <w:spacing w:line="560" w:lineRule="exact"/>
        <w:ind w:firstLine="627" w:firstLineChars="196"/>
        <w:jc w:val="left"/>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本部门无机关运行经费支出</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本部门无政府采购支出</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截至2020年12月31日，本部门共有车辆 0 辆，其中：副部（省）级领导干部用车0 辆、机要通信用车 0辆、应急保障用车  辆、执法执勤用车 0 辆、特种专业技术用车0  辆、其他用车0 辆，单位价值50万元以上通用设备 0台（套）；单位价值100万元以上专用设备 0台（套）。</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本部门未开展预算绩效管理工作</w:t>
      </w:r>
      <w:r>
        <w:rPr>
          <w:rFonts w:hint="eastAsia" w:ascii="仿宋_GB2312" w:eastAsia="仿宋_GB2312" w:cs="仿宋_GB2312"/>
          <w:kern w:val="0"/>
          <w:sz w:val="32"/>
          <w:szCs w:val="32"/>
          <w:lang w:eastAsia="zh-CN"/>
        </w:rPr>
        <w:t>。</w:t>
      </w: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黑体" w:hAnsi="黑体" w:eastAsia="黑体" w:cs="仿宋_GB2312"/>
          <w:kern w:val="0"/>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603A"/>
    <w:rsid w:val="00000C19"/>
    <w:rsid w:val="00001EC9"/>
    <w:rsid w:val="000025D7"/>
    <w:rsid w:val="000029C9"/>
    <w:rsid w:val="00011970"/>
    <w:rsid w:val="00012A72"/>
    <w:rsid w:val="000132BE"/>
    <w:rsid w:val="0001353E"/>
    <w:rsid w:val="00014B7F"/>
    <w:rsid w:val="000157A9"/>
    <w:rsid w:val="00017F54"/>
    <w:rsid w:val="000206F8"/>
    <w:rsid w:val="0002142A"/>
    <w:rsid w:val="000222ED"/>
    <w:rsid w:val="000275C8"/>
    <w:rsid w:val="00030D95"/>
    <w:rsid w:val="00032D5F"/>
    <w:rsid w:val="000373C3"/>
    <w:rsid w:val="0004145E"/>
    <w:rsid w:val="000441F7"/>
    <w:rsid w:val="00046498"/>
    <w:rsid w:val="0004689D"/>
    <w:rsid w:val="00050F20"/>
    <w:rsid w:val="000534BF"/>
    <w:rsid w:val="00053DFF"/>
    <w:rsid w:val="000624C1"/>
    <w:rsid w:val="00062651"/>
    <w:rsid w:val="00075941"/>
    <w:rsid w:val="000772EB"/>
    <w:rsid w:val="0008469B"/>
    <w:rsid w:val="00084D65"/>
    <w:rsid w:val="00084D7B"/>
    <w:rsid w:val="000855C8"/>
    <w:rsid w:val="00086800"/>
    <w:rsid w:val="00087056"/>
    <w:rsid w:val="00090B5D"/>
    <w:rsid w:val="000910E5"/>
    <w:rsid w:val="0009172A"/>
    <w:rsid w:val="00091768"/>
    <w:rsid w:val="00094416"/>
    <w:rsid w:val="00094BD1"/>
    <w:rsid w:val="0009684C"/>
    <w:rsid w:val="00096F23"/>
    <w:rsid w:val="0009722B"/>
    <w:rsid w:val="000A2AB8"/>
    <w:rsid w:val="000A6054"/>
    <w:rsid w:val="000A6C6F"/>
    <w:rsid w:val="000B28CB"/>
    <w:rsid w:val="000B3150"/>
    <w:rsid w:val="000B4991"/>
    <w:rsid w:val="000B50F0"/>
    <w:rsid w:val="000B6ADF"/>
    <w:rsid w:val="000C0E3B"/>
    <w:rsid w:val="000C5BEC"/>
    <w:rsid w:val="000C63B9"/>
    <w:rsid w:val="000C6D5F"/>
    <w:rsid w:val="000C6FCB"/>
    <w:rsid w:val="000D23D3"/>
    <w:rsid w:val="000D2E1E"/>
    <w:rsid w:val="000D3F04"/>
    <w:rsid w:val="000D4FEF"/>
    <w:rsid w:val="000D59C5"/>
    <w:rsid w:val="000E0EF2"/>
    <w:rsid w:val="000E46F0"/>
    <w:rsid w:val="000F1C31"/>
    <w:rsid w:val="000F2407"/>
    <w:rsid w:val="000F2C94"/>
    <w:rsid w:val="000F6708"/>
    <w:rsid w:val="000F7869"/>
    <w:rsid w:val="0010068C"/>
    <w:rsid w:val="00100FAF"/>
    <w:rsid w:val="00102D27"/>
    <w:rsid w:val="00103347"/>
    <w:rsid w:val="0010639B"/>
    <w:rsid w:val="00107921"/>
    <w:rsid w:val="001112C5"/>
    <w:rsid w:val="00112FD8"/>
    <w:rsid w:val="001142CD"/>
    <w:rsid w:val="0011491B"/>
    <w:rsid w:val="00116EA1"/>
    <w:rsid w:val="00122319"/>
    <w:rsid w:val="00123033"/>
    <w:rsid w:val="00124337"/>
    <w:rsid w:val="00124374"/>
    <w:rsid w:val="00124696"/>
    <w:rsid w:val="00127C35"/>
    <w:rsid w:val="00131E61"/>
    <w:rsid w:val="00134300"/>
    <w:rsid w:val="0014054D"/>
    <w:rsid w:val="00140B11"/>
    <w:rsid w:val="00143E79"/>
    <w:rsid w:val="001452D0"/>
    <w:rsid w:val="00146528"/>
    <w:rsid w:val="00146943"/>
    <w:rsid w:val="00146A23"/>
    <w:rsid w:val="00152434"/>
    <w:rsid w:val="00154352"/>
    <w:rsid w:val="00154359"/>
    <w:rsid w:val="00155313"/>
    <w:rsid w:val="00160A4D"/>
    <w:rsid w:val="00170279"/>
    <w:rsid w:val="001718C7"/>
    <w:rsid w:val="0017498B"/>
    <w:rsid w:val="001847E1"/>
    <w:rsid w:val="00184C71"/>
    <w:rsid w:val="00184D07"/>
    <w:rsid w:val="00185888"/>
    <w:rsid w:val="00186585"/>
    <w:rsid w:val="001865E7"/>
    <w:rsid w:val="0018764F"/>
    <w:rsid w:val="00191280"/>
    <w:rsid w:val="00194E59"/>
    <w:rsid w:val="00196A9B"/>
    <w:rsid w:val="001A0C25"/>
    <w:rsid w:val="001A1448"/>
    <w:rsid w:val="001A6FD4"/>
    <w:rsid w:val="001A72DF"/>
    <w:rsid w:val="001A7D11"/>
    <w:rsid w:val="001B0307"/>
    <w:rsid w:val="001B1347"/>
    <w:rsid w:val="001B166A"/>
    <w:rsid w:val="001B4B53"/>
    <w:rsid w:val="001B5D25"/>
    <w:rsid w:val="001C104A"/>
    <w:rsid w:val="001D0189"/>
    <w:rsid w:val="001D3D99"/>
    <w:rsid w:val="001D676E"/>
    <w:rsid w:val="001D6B9B"/>
    <w:rsid w:val="001E1E8E"/>
    <w:rsid w:val="001E263B"/>
    <w:rsid w:val="001E5C0E"/>
    <w:rsid w:val="001F5DC2"/>
    <w:rsid w:val="002018A2"/>
    <w:rsid w:val="0020576C"/>
    <w:rsid w:val="00207EAA"/>
    <w:rsid w:val="002109FE"/>
    <w:rsid w:val="00215D56"/>
    <w:rsid w:val="002160E7"/>
    <w:rsid w:val="002208D1"/>
    <w:rsid w:val="00220F16"/>
    <w:rsid w:val="00221229"/>
    <w:rsid w:val="00222800"/>
    <w:rsid w:val="00224936"/>
    <w:rsid w:val="00226542"/>
    <w:rsid w:val="00232489"/>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3683"/>
    <w:rsid w:val="0025461A"/>
    <w:rsid w:val="002603EE"/>
    <w:rsid w:val="0026094C"/>
    <w:rsid w:val="00260D24"/>
    <w:rsid w:val="002633F3"/>
    <w:rsid w:val="00266617"/>
    <w:rsid w:val="002675C3"/>
    <w:rsid w:val="00267C5B"/>
    <w:rsid w:val="00267CC9"/>
    <w:rsid w:val="00274E01"/>
    <w:rsid w:val="002752E2"/>
    <w:rsid w:val="002803AA"/>
    <w:rsid w:val="002804E0"/>
    <w:rsid w:val="00291736"/>
    <w:rsid w:val="002954D5"/>
    <w:rsid w:val="002A02D0"/>
    <w:rsid w:val="002A368F"/>
    <w:rsid w:val="002A3928"/>
    <w:rsid w:val="002A3E37"/>
    <w:rsid w:val="002A555C"/>
    <w:rsid w:val="002A6A9A"/>
    <w:rsid w:val="002B1412"/>
    <w:rsid w:val="002B2E03"/>
    <w:rsid w:val="002B6EA5"/>
    <w:rsid w:val="002C0E9F"/>
    <w:rsid w:val="002C281F"/>
    <w:rsid w:val="002C5A6A"/>
    <w:rsid w:val="002D4A30"/>
    <w:rsid w:val="002E03AA"/>
    <w:rsid w:val="002E3BED"/>
    <w:rsid w:val="002E7A82"/>
    <w:rsid w:val="002F3061"/>
    <w:rsid w:val="002F3CF8"/>
    <w:rsid w:val="002F497A"/>
    <w:rsid w:val="002F7B1D"/>
    <w:rsid w:val="00300BB4"/>
    <w:rsid w:val="00300FD9"/>
    <w:rsid w:val="00301C94"/>
    <w:rsid w:val="00306668"/>
    <w:rsid w:val="003103DF"/>
    <w:rsid w:val="00311100"/>
    <w:rsid w:val="00311ABD"/>
    <w:rsid w:val="003122D0"/>
    <w:rsid w:val="003127B5"/>
    <w:rsid w:val="003130DD"/>
    <w:rsid w:val="0031372E"/>
    <w:rsid w:val="00315574"/>
    <w:rsid w:val="00320B55"/>
    <w:rsid w:val="003232EB"/>
    <w:rsid w:val="00323399"/>
    <w:rsid w:val="0032366E"/>
    <w:rsid w:val="00323731"/>
    <w:rsid w:val="00326265"/>
    <w:rsid w:val="00332392"/>
    <w:rsid w:val="0033707D"/>
    <w:rsid w:val="00337891"/>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7236"/>
    <w:rsid w:val="00370055"/>
    <w:rsid w:val="003706FD"/>
    <w:rsid w:val="00370E78"/>
    <w:rsid w:val="00370F52"/>
    <w:rsid w:val="003720EC"/>
    <w:rsid w:val="0037296A"/>
    <w:rsid w:val="00372DDA"/>
    <w:rsid w:val="00373228"/>
    <w:rsid w:val="003733D5"/>
    <w:rsid w:val="00375904"/>
    <w:rsid w:val="00376419"/>
    <w:rsid w:val="0037657B"/>
    <w:rsid w:val="00380469"/>
    <w:rsid w:val="003813FB"/>
    <w:rsid w:val="00381DD6"/>
    <w:rsid w:val="003851D3"/>
    <w:rsid w:val="00386927"/>
    <w:rsid w:val="00390E35"/>
    <w:rsid w:val="00391149"/>
    <w:rsid w:val="0039174F"/>
    <w:rsid w:val="003925EC"/>
    <w:rsid w:val="003925FB"/>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26AA"/>
    <w:rsid w:val="003C291D"/>
    <w:rsid w:val="003C48C5"/>
    <w:rsid w:val="003C66E5"/>
    <w:rsid w:val="003D1E99"/>
    <w:rsid w:val="003D3A37"/>
    <w:rsid w:val="003D3CAA"/>
    <w:rsid w:val="003D4E96"/>
    <w:rsid w:val="003D527F"/>
    <w:rsid w:val="003D6F8F"/>
    <w:rsid w:val="003E183B"/>
    <w:rsid w:val="003E2626"/>
    <w:rsid w:val="003E39C8"/>
    <w:rsid w:val="003E39E1"/>
    <w:rsid w:val="003E4405"/>
    <w:rsid w:val="003E46F0"/>
    <w:rsid w:val="003E50BC"/>
    <w:rsid w:val="003E50FC"/>
    <w:rsid w:val="003E56AB"/>
    <w:rsid w:val="003E74AE"/>
    <w:rsid w:val="003F3DC3"/>
    <w:rsid w:val="003F6785"/>
    <w:rsid w:val="003F6E50"/>
    <w:rsid w:val="00401CB5"/>
    <w:rsid w:val="00403F6E"/>
    <w:rsid w:val="00405B52"/>
    <w:rsid w:val="004109A2"/>
    <w:rsid w:val="004113DD"/>
    <w:rsid w:val="0041229B"/>
    <w:rsid w:val="0041459A"/>
    <w:rsid w:val="00417299"/>
    <w:rsid w:val="00417659"/>
    <w:rsid w:val="00420E37"/>
    <w:rsid w:val="00426330"/>
    <w:rsid w:val="00426EB7"/>
    <w:rsid w:val="00427CC4"/>
    <w:rsid w:val="004304AE"/>
    <w:rsid w:val="00430D18"/>
    <w:rsid w:val="004316FD"/>
    <w:rsid w:val="00435609"/>
    <w:rsid w:val="004357B3"/>
    <w:rsid w:val="00440293"/>
    <w:rsid w:val="00441648"/>
    <w:rsid w:val="00442330"/>
    <w:rsid w:val="00443145"/>
    <w:rsid w:val="00444696"/>
    <w:rsid w:val="0044603A"/>
    <w:rsid w:val="00446B3E"/>
    <w:rsid w:val="00447BF6"/>
    <w:rsid w:val="00452149"/>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91C5B"/>
    <w:rsid w:val="00491D25"/>
    <w:rsid w:val="00493E03"/>
    <w:rsid w:val="0049716A"/>
    <w:rsid w:val="004972EC"/>
    <w:rsid w:val="00497630"/>
    <w:rsid w:val="004A0B63"/>
    <w:rsid w:val="004A3BC5"/>
    <w:rsid w:val="004A449E"/>
    <w:rsid w:val="004A61C9"/>
    <w:rsid w:val="004A6F76"/>
    <w:rsid w:val="004B1F34"/>
    <w:rsid w:val="004B289F"/>
    <w:rsid w:val="004B35CE"/>
    <w:rsid w:val="004B3DE6"/>
    <w:rsid w:val="004B4DC4"/>
    <w:rsid w:val="004B5DC9"/>
    <w:rsid w:val="004B6E81"/>
    <w:rsid w:val="004B7A7F"/>
    <w:rsid w:val="004B7A9E"/>
    <w:rsid w:val="004C04CD"/>
    <w:rsid w:val="004C1A22"/>
    <w:rsid w:val="004C4FBF"/>
    <w:rsid w:val="004C6064"/>
    <w:rsid w:val="004D055F"/>
    <w:rsid w:val="004D6348"/>
    <w:rsid w:val="004D668F"/>
    <w:rsid w:val="004E110C"/>
    <w:rsid w:val="004E1290"/>
    <w:rsid w:val="004E7C99"/>
    <w:rsid w:val="004F1C3E"/>
    <w:rsid w:val="004F349C"/>
    <w:rsid w:val="004F3E39"/>
    <w:rsid w:val="004F4F61"/>
    <w:rsid w:val="004F7674"/>
    <w:rsid w:val="004F7C61"/>
    <w:rsid w:val="00500122"/>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31804"/>
    <w:rsid w:val="00540964"/>
    <w:rsid w:val="00543475"/>
    <w:rsid w:val="005457A3"/>
    <w:rsid w:val="00546759"/>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54E8"/>
    <w:rsid w:val="00590AD9"/>
    <w:rsid w:val="00592E5F"/>
    <w:rsid w:val="0059378D"/>
    <w:rsid w:val="00593DBF"/>
    <w:rsid w:val="005949F2"/>
    <w:rsid w:val="00596282"/>
    <w:rsid w:val="00597357"/>
    <w:rsid w:val="00597F5E"/>
    <w:rsid w:val="005A0856"/>
    <w:rsid w:val="005A12C2"/>
    <w:rsid w:val="005A52FA"/>
    <w:rsid w:val="005A5EE0"/>
    <w:rsid w:val="005A5FFF"/>
    <w:rsid w:val="005A6470"/>
    <w:rsid w:val="005B2A50"/>
    <w:rsid w:val="005B3181"/>
    <w:rsid w:val="005B3A4E"/>
    <w:rsid w:val="005B6953"/>
    <w:rsid w:val="005C1992"/>
    <w:rsid w:val="005C2BB0"/>
    <w:rsid w:val="005C76A1"/>
    <w:rsid w:val="005C7829"/>
    <w:rsid w:val="005D0A2C"/>
    <w:rsid w:val="005D5516"/>
    <w:rsid w:val="005D6B9C"/>
    <w:rsid w:val="005D7580"/>
    <w:rsid w:val="005E1010"/>
    <w:rsid w:val="005E1F82"/>
    <w:rsid w:val="005E26E1"/>
    <w:rsid w:val="005E5A8E"/>
    <w:rsid w:val="005E6D82"/>
    <w:rsid w:val="005F01E6"/>
    <w:rsid w:val="005F0A65"/>
    <w:rsid w:val="005F0F32"/>
    <w:rsid w:val="005F4A57"/>
    <w:rsid w:val="005F6265"/>
    <w:rsid w:val="005F6BF4"/>
    <w:rsid w:val="00601671"/>
    <w:rsid w:val="00602CE4"/>
    <w:rsid w:val="00605CAA"/>
    <w:rsid w:val="006070EA"/>
    <w:rsid w:val="00614F8D"/>
    <w:rsid w:val="0061500F"/>
    <w:rsid w:val="0061640E"/>
    <w:rsid w:val="0062137B"/>
    <w:rsid w:val="0062163E"/>
    <w:rsid w:val="00624986"/>
    <w:rsid w:val="00625F0E"/>
    <w:rsid w:val="006270F9"/>
    <w:rsid w:val="00632761"/>
    <w:rsid w:val="00634652"/>
    <w:rsid w:val="006356AA"/>
    <w:rsid w:val="00635CE7"/>
    <w:rsid w:val="006366ED"/>
    <w:rsid w:val="00640685"/>
    <w:rsid w:val="0064164F"/>
    <w:rsid w:val="00641757"/>
    <w:rsid w:val="00642FE1"/>
    <w:rsid w:val="00644441"/>
    <w:rsid w:val="00651B6B"/>
    <w:rsid w:val="00651EB1"/>
    <w:rsid w:val="006526A9"/>
    <w:rsid w:val="00653A13"/>
    <w:rsid w:val="006544A0"/>
    <w:rsid w:val="00654CF0"/>
    <w:rsid w:val="00655F33"/>
    <w:rsid w:val="0065654E"/>
    <w:rsid w:val="00656982"/>
    <w:rsid w:val="00657E7C"/>
    <w:rsid w:val="00660174"/>
    <w:rsid w:val="00660939"/>
    <w:rsid w:val="00661C0A"/>
    <w:rsid w:val="0066336F"/>
    <w:rsid w:val="00663DF2"/>
    <w:rsid w:val="006656D4"/>
    <w:rsid w:val="00666497"/>
    <w:rsid w:val="00667ECC"/>
    <w:rsid w:val="00671767"/>
    <w:rsid w:val="0067481E"/>
    <w:rsid w:val="00674CF3"/>
    <w:rsid w:val="00681F9C"/>
    <w:rsid w:val="00682A95"/>
    <w:rsid w:val="00682B38"/>
    <w:rsid w:val="006851F9"/>
    <w:rsid w:val="00687BA6"/>
    <w:rsid w:val="0069307B"/>
    <w:rsid w:val="00695FEF"/>
    <w:rsid w:val="006972ED"/>
    <w:rsid w:val="006A0387"/>
    <w:rsid w:val="006A2761"/>
    <w:rsid w:val="006A3A31"/>
    <w:rsid w:val="006A7174"/>
    <w:rsid w:val="006A7688"/>
    <w:rsid w:val="006B1881"/>
    <w:rsid w:val="006B1E13"/>
    <w:rsid w:val="006B2177"/>
    <w:rsid w:val="006B22C2"/>
    <w:rsid w:val="006B5F57"/>
    <w:rsid w:val="006B65CA"/>
    <w:rsid w:val="006B6F5F"/>
    <w:rsid w:val="006C3C3A"/>
    <w:rsid w:val="006C4FA3"/>
    <w:rsid w:val="006C4FE5"/>
    <w:rsid w:val="006C588F"/>
    <w:rsid w:val="006C6837"/>
    <w:rsid w:val="006C7E2F"/>
    <w:rsid w:val="006D4111"/>
    <w:rsid w:val="006F0B05"/>
    <w:rsid w:val="006F3EAD"/>
    <w:rsid w:val="006F40FC"/>
    <w:rsid w:val="00700C01"/>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B18"/>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87600"/>
    <w:rsid w:val="0079081E"/>
    <w:rsid w:val="00794153"/>
    <w:rsid w:val="007A239C"/>
    <w:rsid w:val="007A3A19"/>
    <w:rsid w:val="007A43ED"/>
    <w:rsid w:val="007A46F8"/>
    <w:rsid w:val="007A5846"/>
    <w:rsid w:val="007A7EBA"/>
    <w:rsid w:val="007B17C6"/>
    <w:rsid w:val="007B6945"/>
    <w:rsid w:val="007B6D8F"/>
    <w:rsid w:val="007C0CB7"/>
    <w:rsid w:val="007C17DC"/>
    <w:rsid w:val="007C44FE"/>
    <w:rsid w:val="007C586A"/>
    <w:rsid w:val="007C5EE5"/>
    <w:rsid w:val="007C623B"/>
    <w:rsid w:val="007C640A"/>
    <w:rsid w:val="007D15F0"/>
    <w:rsid w:val="007D7589"/>
    <w:rsid w:val="007E168C"/>
    <w:rsid w:val="007E2F28"/>
    <w:rsid w:val="007E3268"/>
    <w:rsid w:val="007E3960"/>
    <w:rsid w:val="007E6BB9"/>
    <w:rsid w:val="007E6FB3"/>
    <w:rsid w:val="007F3565"/>
    <w:rsid w:val="007F42C7"/>
    <w:rsid w:val="007F4A6E"/>
    <w:rsid w:val="00804325"/>
    <w:rsid w:val="00805F4E"/>
    <w:rsid w:val="008073D4"/>
    <w:rsid w:val="00807404"/>
    <w:rsid w:val="0080788D"/>
    <w:rsid w:val="00810BA1"/>
    <w:rsid w:val="00811874"/>
    <w:rsid w:val="00811CE7"/>
    <w:rsid w:val="008132BB"/>
    <w:rsid w:val="00815C03"/>
    <w:rsid w:val="0081731A"/>
    <w:rsid w:val="008177E7"/>
    <w:rsid w:val="00823CDD"/>
    <w:rsid w:val="00823F17"/>
    <w:rsid w:val="00823F5A"/>
    <w:rsid w:val="0082443D"/>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4C9C"/>
    <w:rsid w:val="00896FB6"/>
    <w:rsid w:val="008A1C93"/>
    <w:rsid w:val="008A4DC1"/>
    <w:rsid w:val="008A500A"/>
    <w:rsid w:val="008B364B"/>
    <w:rsid w:val="008B5042"/>
    <w:rsid w:val="008B5FCB"/>
    <w:rsid w:val="008B61C2"/>
    <w:rsid w:val="008B7339"/>
    <w:rsid w:val="008B7ADF"/>
    <w:rsid w:val="008C3643"/>
    <w:rsid w:val="008C4AE5"/>
    <w:rsid w:val="008C721F"/>
    <w:rsid w:val="008D08D9"/>
    <w:rsid w:val="008D5336"/>
    <w:rsid w:val="008D5AD1"/>
    <w:rsid w:val="008D607F"/>
    <w:rsid w:val="008D6102"/>
    <w:rsid w:val="008D62C7"/>
    <w:rsid w:val="008D70F9"/>
    <w:rsid w:val="008E12C1"/>
    <w:rsid w:val="008E166D"/>
    <w:rsid w:val="008E16EF"/>
    <w:rsid w:val="008E210F"/>
    <w:rsid w:val="008E3CBC"/>
    <w:rsid w:val="008E4DF0"/>
    <w:rsid w:val="008E526A"/>
    <w:rsid w:val="008E5B85"/>
    <w:rsid w:val="008F1457"/>
    <w:rsid w:val="008F162A"/>
    <w:rsid w:val="008F5504"/>
    <w:rsid w:val="008F6BDC"/>
    <w:rsid w:val="00904E22"/>
    <w:rsid w:val="00905BA1"/>
    <w:rsid w:val="00913E50"/>
    <w:rsid w:val="0091403A"/>
    <w:rsid w:val="009144AC"/>
    <w:rsid w:val="00914E39"/>
    <w:rsid w:val="0091557F"/>
    <w:rsid w:val="00915ED0"/>
    <w:rsid w:val="00916BD0"/>
    <w:rsid w:val="0092058F"/>
    <w:rsid w:val="00920E28"/>
    <w:rsid w:val="0092109F"/>
    <w:rsid w:val="009231E6"/>
    <w:rsid w:val="0092579F"/>
    <w:rsid w:val="009271EC"/>
    <w:rsid w:val="00931760"/>
    <w:rsid w:val="009331C5"/>
    <w:rsid w:val="00933389"/>
    <w:rsid w:val="009406C2"/>
    <w:rsid w:val="00941171"/>
    <w:rsid w:val="00941969"/>
    <w:rsid w:val="00942727"/>
    <w:rsid w:val="009469E5"/>
    <w:rsid w:val="0094717A"/>
    <w:rsid w:val="009479DB"/>
    <w:rsid w:val="009513E6"/>
    <w:rsid w:val="009521FE"/>
    <w:rsid w:val="00953686"/>
    <w:rsid w:val="009540C4"/>
    <w:rsid w:val="009629D4"/>
    <w:rsid w:val="00963C93"/>
    <w:rsid w:val="009640EC"/>
    <w:rsid w:val="00964A52"/>
    <w:rsid w:val="009670CB"/>
    <w:rsid w:val="009677CC"/>
    <w:rsid w:val="009711B2"/>
    <w:rsid w:val="00971623"/>
    <w:rsid w:val="009727A0"/>
    <w:rsid w:val="00972C86"/>
    <w:rsid w:val="009732B4"/>
    <w:rsid w:val="00974A81"/>
    <w:rsid w:val="00974FC9"/>
    <w:rsid w:val="0097570A"/>
    <w:rsid w:val="009828A4"/>
    <w:rsid w:val="00983D49"/>
    <w:rsid w:val="00984CD6"/>
    <w:rsid w:val="009857B1"/>
    <w:rsid w:val="00985895"/>
    <w:rsid w:val="00987A53"/>
    <w:rsid w:val="00990B57"/>
    <w:rsid w:val="00993F99"/>
    <w:rsid w:val="009A0986"/>
    <w:rsid w:val="009A10BF"/>
    <w:rsid w:val="009A45C8"/>
    <w:rsid w:val="009A59C7"/>
    <w:rsid w:val="009A60B0"/>
    <w:rsid w:val="009A7E67"/>
    <w:rsid w:val="009B1F15"/>
    <w:rsid w:val="009B30CF"/>
    <w:rsid w:val="009B3782"/>
    <w:rsid w:val="009B562B"/>
    <w:rsid w:val="009B6741"/>
    <w:rsid w:val="009C130B"/>
    <w:rsid w:val="009C1EA5"/>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1E8"/>
    <w:rsid w:val="00A13C0D"/>
    <w:rsid w:val="00A14149"/>
    <w:rsid w:val="00A142C9"/>
    <w:rsid w:val="00A14979"/>
    <w:rsid w:val="00A15312"/>
    <w:rsid w:val="00A15DA7"/>
    <w:rsid w:val="00A20F48"/>
    <w:rsid w:val="00A22010"/>
    <w:rsid w:val="00A26FC1"/>
    <w:rsid w:val="00A3398D"/>
    <w:rsid w:val="00A34603"/>
    <w:rsid w:val="00A36862"/>
    <w:rsid w:val="00A432AF"/>
    <w:rsid w:val="00A43D57"/>
    <w:rsid w:val="00A44CF2"/>
    <w:rsid w:val="00A45A87"/>
    <w:rsid w:val="00A45E59"/>
    <w:rsid w:val="00A45E80"/>
    <w:rsid w:val="00A50A8E"/>
    <w:rsid w:val="00A56BA7"/>
    <w:rsid w:val="00A577F6"/>
    <w:rsid w:val="00A57AD0"/>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B89"/>
    <w:rsid w:val="00A96D19"/>
    <w:rsid w:val="00AA0F15"/>
    <w:rsid w:val="00AA579D"/>
    <w:rsid w:val="00AA764D"/>
    <w:rsid w:val="00AA7BD6"/>
    <w:rsid w:val="00AB0FD7"/>
    <w:rsid w:val="00AB4560"/>
    <w:rsid w:val="00AC0DDC"/>
    <w:rsid w:val="00AC1625"/>
    <w:rsid w:val="00AC3648"/>
    <w:rsid w:val="00AC6B2C"/>
    <w:rsid w:val="00AC747D"/>
    <w:rsid w:val="00AD0867"/>
    <w:rsid w:val="00AD1AEC"/>
    <w:rsid w:val="00AD2AF1"/>
    <w:rsid w:val="00AD67F5"/>
    <w:rsid w:val="00AE00E6"/>
    <w:rsid w:val="00AE18C7"/>
    <w:rsid w:val="00AE5A90"/>
    <w:rsid w:val="00AE5D22"/>
    <w:rsid w:val="00AF2549"/>
    <w:rsid w:val="00B01A00"/>
    <w:rsid w:val="00B02F00"/>
    <w:rsid w:val="00B0580E"/>
    <w:rsid w:val="00B107A7"/>
    <w:rsid w:val="00B10EBE"/>
    <w:rsid w:val="00B11BB3"/>
    <w:rsid w:val="00B12AE7"/>
    <w:rsid w:val="00B139B3"/>
    <w:rsid w:val="00B14F49"/>
    <w:rsid w:val="00B16BC2"/>
    <w:rsid w:val="00B238D0"/>
    <w:rsid w:val="00B25422"/>
    <w:rsid w:val="00B25F02"/>
    <w:rsid w:val="00B2626E"/>
    <w:rsid w:val="00B27B9E"/>
    <w:rsid w:val="00B30629"/>
    <w:rsid w:val="00B31F36"/>
    <w:rsid w:val="00B32FC4"/>
    <w:rsid w:val="00B3359F"/>
    <w:rsid w:val="00B3505D"/>
    <w:rsid w:val="00B3773E"/>
    <w:rsid w:val="00B42230"/>
    <w:rsid w:val="00B42A1E"/>
    <w:rsid w:val="00B43D1D"/>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46A6"/>
    <w:rsid w:val="00B85222"/>
    <w:rsid w:val="00B8660A"/>
    <w:rsid w:val="00B866F0"/>
    <w:rsid w:val="00B90113"/>
    <w:rsid w:val="00B91F01"/>
    <w:rsid w:val="00B92A8C"/>
    <w:rsid w:val="00B936F7"/>
    <w:rsid w:val="00B93F45"/>
    <w:rsid w:val="00BA0F97"/>
    <w:rsid w:val="00BA211B"/>
    <w:rsid w:val="00BA5FF4"/>
    <w:rsid w:val="00BB0D14"/>
    <w:rsid w:val="00BB23DC"/>
    <w:rsid w:val="00BB2F83"/>
    <w:rsid w:val="00BB4A71"/>
    <w:rsid w:val="00BC1857"/>
    <w:rsid w:val="00BC1A4E"/>
    <w:rsid w:val="00BC20FD"/>
    <w:rsid w:val="00BC27C2"/>
    <w:rsid w:val="00BC42E8"/>
    <w:rsid w:val="00BC44A4"/>
    <w:rsid w:val="00BD1990"/>
    <w:rsid w:val="00BD7C22"/>
    <w:rsid w:val="00BE4143"/>
    <w:rsid w:val="00BE7088"/>
    <w:rsid w:val="00BE7805"/>
    <w:rsid w:val="00BF149F"/>
    <w:rsid w:val="00BF3B1A"/>
    <w:rsid w:val="00BF6C43"/>
    <w:rsid w:val="00BF761E"/>
    <w:rsid w:val="00C01E04"/>
    <w:rsid w:val="00C02113"/>
    <w:rsid w:val="00C03996"/>
    <w:rsid w:val="00C06322"/>
    <w:rsid w:val="00C06B8E"/>
    <w:rsid w:val="00C07356"/>
    <w:rsid w:val="00C114E8"/>
    <w:rsid w:val="00C11E13"/>
    <w:rsid w:val="00C11FED"/>
    <w:rsid w:val="00C12287"/>
    <w:rsid w:val="00C12633"/>
    <w:rsid w:val="00C128D5"/>
    <w:rsid w:val="00C156E2"/>
    <w:rsid w:val="00C16273"/>
    <w:rsid w:val="00C16DDF"/>
    <w:rsid w:val="00C2086A"/>
    <w:rsid w:val="00C22E43"/>
    <w:rsid w:val="00C25036"/>
    <w:rsid w:val="00C25938"/>
    <w:rsid w:val="00C25F58"/>
    <w:rsid w:val="00C27807"/>
    <w:rsid w:val="00C30B8C"/>
    <w:rsid w:val="00C30BF2"/>
    <w:rsid w:val="00C32E97"/>
    <w:rsid w:val="00C33E59"/>
    <w:rsid w:val="00C33ED2"/>
    <w:rsid w:val="00C347F0"/>
    <w:rsid w:val="00C37DF9"/>
    <w:rsid w:val="00C40799"/>
    <w:rsid w:val="00C435D1"/>
    <w:rsid w:val="00C44FCE"/>
    <w:rsid w:val="00C45363"/>
    <w:rsid w:val="00C46B5A"/>
    <w:rsid w:val="00C50DFF"/>
    <w:rsid w:val="00C535F9"/>
    <w:rsid w:val="00C55B5E"/>
    <w:rsid w:val="00C56A4E"/>
    <w:rsid w:val="00C6132B"/>
    <w:rsid w:val="00C61F6A"/>
    <w:rsid w:val="00C61F6E"/>
    <w:rsid w:val="00C62918"/>
    <w:rsid w:val="00C635D6"/>
    <w:rsid w:val="00C65972"/>
    <w:rsid w:val="00C663E4"/>
    <w:rsid w:val="00C6723F"/>
    <w:rsid w:val="00C67A5E"/>
    <w:rsid w:val="00C70B45"/>
    <w:rsid w:val="00C72838"/>
    <w:rsid w:val="00C73A3E"/>
    <w:rsid w:val="00C73FE7"/>
    <w:rsid w:val="00C76A20"/>
    <w:rsid w:val="00C76F51"/>
    <w:rsid w:val="00C867FF"/>
    <w:rsid w:val="00C86A05"/>
    <w:rsid w:val="00C87CE6"/>
    <w:rsid w:val="00C91B33"/>
    <w:rsid w:val="00C921C8"/>
    <w:rsid w:val="00C9267A"/>
    <w:rsid w:val="00C92EBF"/>
    <w:rsid w:val="00C93C90"/>
    <w:rsid w:val="00C944DA"/>
    <w:rsid w:val="00CA33B9"/>
    <w:rsid w:val="00CA3A40"/>
    <w:rsid w:val="00CA4630"/>
    <w:rsid w:val="00CA6595"/>
    <w:rsid w:val="00CA6682"/>
    <w:rsid w:val="00CB1C33"/>
    <w:rsid w:val="00CB40C4"/>
    <w:rsid w:val="00CB460B"/>
    <w:rsid w:val="00CB621C"/>
    <w:rsid w:val="00CC21B0"/>
    <w:rsid w:val="00CC2A3C"/>
    <w:rsid w:val="00CC73FB"/>
    <w:rsid w:val="00CD2D1D"/>
    <w:rsid w:val="00CD5F94"/>
    <w:rsid w:val="00CE0255"/>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785"/>
    <w:rsid w:val="00D02826"/>
    <w:rsid w:val="00D034DB"/>
    <w:rsid w:val="00D100A5"/>
    <w:rsid w:val="00D17AB6"/>
    <w:rsid w:val="00D200C6"/>
    <w:rsid w:val="00D201E4"/>
    <w:rsid w:val="00D20C37"/>
    <w:rsid w:val="00D23CD6"/>
    <w:rsid w:val="00D25BB2"/>
    <w:rsid w:val="00D32A39"/>
    <w:rsid w:val="00D3313C"/>
    <w:rsid w:val="00D35B35"/>
    <w:rsid w:val="00D3798F"/>
    <w:rsid w:val="00D431E8"/>
    <w:rsid w:val="00D46A7B"/>
    <w:rsid w:val="00D52703"/>
    <w:rsid w:val="00D542BA"/>
    <w:rsid w:val="00D5506F"/>
    <w:rsid w:val="00D564EE"/>
    <w:rsid w:val="00D60368"/>
    <w:rsid w:val="00D64936"/>
    <w:rsid w:val="00D64F1A"/>
    <w:rsid w:val="00D66A72"/>
    <w:rsid w:val="00D713DC"/>
    <w:rsid w:val="00D72F4D"/>
    <w:rsid w:val="00D736AC"/>
    <w:rsid w:val="00D7671D"/>
    <w:rsid w:val="00D76C99"/>
    <w:rsid w:val="00D77A08"/>
    <w:rsid w:val="00D81413"/>
    <w:rsid w:val="00D8315A"/>
    <w:rsid w:val="00D85F8F"/>
    <w:rsid w:val="00D860A8"/>
    <w:rsid w:val="00D87E57"/>
    <w:rsid w:val="00D87EFA"/>
    <w:rsid w:val="00D954FC"/>
    <w:rsid w:val="00DA1BA5"/>
    <w:rsid w:val="00DA580C"/>
    <w:rsid w:val="00DA5C13"/>
    <w:rsid w:val="00DA5CAA"/>
    <w:rsid w:val="00DA5D90"/>
    <w:rsid w:val="00DA6C29"/>
    <w:rsid w:val="00DA6E8D"/>
    <w:rsid w:val="00DA7222"/>
    <w:rsid w:val="00DA761F"/>
    <w:rsid w:val="00DA7627"/>
    <w:rsid w:val="00DB0CD1"/>
    <w:rsid w:val="00DB15EA"/>
    <w:rsid w:val="00DB2FF6"/>
    <w:rsid w:val="00DB4343"/>
    <w:rsid w:val="00DB6260"/>
    <w:rsid w:val="00DC134B"/>
    <w:rsid w:val="00DC3BF6"/>
    <w:rsid w:val="00DC6DD2"/>
    <w:rsid w:val="00DD15D1"/>
    <w:rsid w:val="00DD2575"/>
    <w:rsid w:val="00DD3185"/>
    <w:rsid w:val="00DD59B3"/>
    <w:rsid w:val="00DD5CD5"/>
    <w:rsid w:val="00DD7E12"/>
    <w:rsid w:val="00DE0CF4"/>
    <w:rsid w:val="00DE0E63"/>
    <w:rsid w:val="00DE28FC"/>
    <w:rsid w:val="00DE3DC6"/>
    <w:rsid w:val="00DE41A9"/>
    <w:rsid w:val="00DE4819"/>
    <w:rsid w:val="00DF594E"/>
    <w:rsid w:val="00DF5F8A"/>
    <w:rsid w:val="00DF6BA3"/>
    <w:rsid w:val="00DF7B1D"/>
    <w:rsid w:val="00E00756"/>
    <w:rsid w:val="00E04622"/>
    <w:rsid w:val="00E0553E"/>
    <w:rsid w:val="00E062DB"/>
    <w:rsid w:val="00E06486"/>
    <w:rsid w:val="00E101FB"/>
    <w:rsid w:val="00E2064E"/>
    <w:rsid w:val="00E22246"/>
    <w:rsid w:val="00E2359B"/>
    <w:rsid w:val="00E24230"/>
    <w:rsid w:val="00E26A69"/>
    <w:rsid w:val="00E3006E"/>
    <w:rsid w:val="00E3107A"/>
    <w:rsid w:val="00E32BC9"/>
    <w:rsid w:val="00E35388"/>
    <w:rsid w:val="00E366F4"/>
    <w:rsid w:val="00E40CE6"/>
    <w:rsid w:val="00E41662"/>
    <w:rsid w:val="00E41861"/>
    <w:rsid w:val="00E421D7"/>
    <w:rsid w:val="00E43757"/>
    <w:rsid w:val="00E43E07"/>
    <w:rsid w:val="00E454FE"/>
    <w:rsid w:val="00E46464"/>
    <w:rsid w:val="00E5259D"/>
    <w:rsid w:val="00E54AB4"/>
    <w:rsid w:val="00E572F8"/>
    <w:rsid w:val="00E57AFA"/>
    <w:rsid w:val="00E57DD3"/>
    <w:rsid w:val="00E63FB0"/>
    <w:rsid w:val="00E6479A"/>
    <w:rsid w:val="00E64E04"/>
    <w:rsid w:val="00E66D45"/>
    <w:rsid w:val="00E67F27"/>
    <w:rsid w:val="00E7021D"/>
    <w:rsid w:val="00E703A1"/>
    <w:rsid w:val="00E711DF"/>
    <w:rsid w:val="00E74F4F"/>
    <w:rsid w:val="00E75E18"/>
    <w:rsid w:val="00E770AD"/>
    <w:rsid w:val="00E80717"/>
    <w:rsid w:val="00E84179"/>
    <w:rsid w:val="00E85410"/>
    <w:rsid w:val="00E86F20"/>
    <w:rsid w:val="00E913F3"/>
    <w:rsid w:val="00E95BDA"/>
    <w:rsid w:val="00EA05E3"/>
    <w:rsid w:val="00EA4368"/>
    <w:rsid w:val="00EA5AD9"/>
    <w:rsid w:val="00EB1658"/>
    <w:rsid w:val="00EB38C5"/>
    <w:rsid w:val="00EB395C"/>
    <w:rsid w:val="00EB4A9B"/>
    <w:rsid w:val="00EB60BD"/>
    <w:rsid w:val="00EB6F95"/>
    <w:rsid w:val="00EC4E95"/>
    <w:rsid w:val="00EC582D"/>
    <w:rsid w:val="00EC6E2F"/>
    <w:rsid w:val="00EC7B03"/>
    <w:rsid w:val="00ED2066"/>
    <w:rsid w:val="00ED2DC6"/>
    <w:rsid w:val="00ED34E5"/>
    <w:rsid w:val="00ED623D"/>
    <w:rsid w:val="00ED6426"/>
    <w:rsid w:val="00ED76B8"/>
    <w:rsid w:val="00EF07FE"/>
    <w:rsid w:val="00EF0A7A"/>
    <w:rsid w:val="00EF100A"/>
    <w:rsid w:val="00EF164D"/>
    <w:rsid w:val="00EF19EA"/>
    <w:rsid w:val="00EF1F0F"/>
    <w:rsid w:val="00EF1F97"/>
    <w:rsid w:val="00EF74A8"/>
    <w:rsid w:val="00F003FB"/>
    <w:rsid w:val="00F00A7A"/>
    <w:rsid w:val="00F04F30"/>
    <w:rsid w:val="00F139D7"/>
    <w:rsid w:val="00F161F4"/>
    <w:rsid w:val="00F16CC1"/>
    <w:rsid w:val="00F224F9"/>
    <w:rsid w:val="00F23F86"/>
    <w:rsid w:val="00F2707F"/>
    <w:rsid w:val="00F32283"/>
    <w:rsid w:val="00F32B1D"/>
    <w:rsid w:val="00F32FB0"/>
    <w:rsid w:val="00F330A3"/>
    <w:rsid w:val="00F34C75"/>
    <w:rsid w:val="00F35690"/>
    <w:rsid w:val="00F4033D"/>
    <w:rsid w:val="00F4500D"/>
    <w:rsid w:val="00F45CDA"/>
    <w:rsid w:val="00F512BD"/>
    <w:rsid w:val="00F536D1"/>
    <w:rsid w:val="00F55D95"/>
    <w:rsid w:val="00F60CF8"/>
    <w:rsid w:val="00F6102B"/>
    <w:rsid w:val="00F65542"/>
    <w:rsid w:val="00F670CB"/>
    <w:rsid w:val="00F67573"/>
    <w:rsid w:val="00F717BE"/>
    <w:rsid w:val="00F76DBA"/>
    <w:rsid w:val="00F77EA7"/>
    <w:rsid w:val="00F81B51"/>
    <w:rsid w:val="00F845ED"/>
    <w:rsid w:val="00F85878"/>
    <w:rsid w:val="00F85B3B"/>
    <w:rsid w:val="00F86C5D"/>
    <w:rsid w:val="00F87147"/>
    <w:rsid w:val="00F874A7"/>
    <w:rsid w:val="00F906FA"/>
    <w:rsid w:val="00F90735"/>
    <w:rsid w:val="00F908C7"/>
    <w:rsid w:val="00F92E09"/>
    <w:rsid w:val="00F97FF8"/>
    <w:rsid w:val="00FA0CC0"/>
    <w:rsid w:val="00FA3248"/>
    <w:rsid w:val="00FA35CA"/>
    <w:rsid w:val="00FB2E39"/>
    <w:rsid w:val="00FB4013"/>
    <w:rsid w:val="00FB43FD"/>
    <w:rsid w:val="00FC2319"/>
    <w:rsid w:val="00FC4DCD"/>
    <w:rsid w:val="00FC530C"/>
    <w:rsid w:val="00FD3110"/>
    <w:rsid w:val="00FD4089"/>
    <w:rsid w:val="00FD4814"/>
    <w:rsid w:val="00FE02B0"/>
    <w:rsid w:val="00FE1350"/>
    <w:rsid w:val="00FE20C9"/>
    <w:rsid w:val="00FE435A"/>
    <w:rsid w:val="00FE46A9"/>
    <w:rsid w:val="00FE53B2"/>
    <w:rsid w:val="00FE59C3"/>
    <w:rsid w:val="00FE697B"/>
    <w:rsid w:val="00FE73A4"/>
    <w:rsid w:val="00FF073E"/>
    <w:rsid w:val="00FF202F"/>
    <w:rsid w:val="00FF413A"/>
    <w:rsid w:val="040D3097"/>
    <w:rsid w:val="2D457B87"/>
    <w:rsid w:val="2ED20D7B"/>
    <w:rsid w:val="3D060E34"/>
    <w:rsid w:val="51120B7D"/>
    <w:rsid w:val="71E97DD1"/>
    <w:rsid w:val="7897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link w:val="3"/>
    <w:qFormat/>
    <w:uiPriority w:val="99"/>
    <w:rPr>
      <w:rFonts w:eastAsia="宋体"/>
      <w:kern w:val="2"/>
      <w:sz w:val="18"/>
      <w:szCs w:val="18"/>
      <w:lang w:val="en-US" w:eastAsia="zh-CN" w:bidi="ar-SA"/>
    </w:rPr>
  </w:style>
  <w:style w:type="character" w:customStyle="1" w:styleId="9">
    <w:name w:val="页眉 Char"/>
    <w:link w:val="4"/>
    <w:qFormat/>
    <w:uiPriority w:val="0"/>
    <w:rPr>
      <w:rFonts w:eastAsia="宋体"/>
      <w:kern w:val="2"/>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839</Words>
  <Characters>4787</Characters>
  <Lines>39</Lines>
  <Paragraphs>11</Paragraphs>
  <TotalTime>3</TotalTime>
  <ScaleCrop>false</ScaleCrop>
  <LinksUpToDate>false</LinksUpToDate>
  <CharactersWithSpaces>5615</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2021-08-26T03:22:00Z</dcterms:created>
  <dc:creator>莫先孔</dc:creator>
  <cp:lastModifiedBy>周洁洁</cp:lastModifiedBy>
  <cp:lastPrinted>2021-08-26T07:45:00Z</cp:lastPrinted>
  <dcterms:modified xsi:type="dcterms:W3CDTF">2021-09-14T13:53:07Z</dcterms:modified>
  <dc:title>附件：（部门决算公开格式）</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