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bookmarkStart w:id="0" w:name="_GoBack"/>
      <w:bookmarkEnd w:id="0"/>
    </w:p>
    <w:p>
      <w:pPr>
        <w:rPr>
          <w:rFonts w:ascii="黑体" w:eastAsia="黑体" w:cs="ArialUnicodeMS"/>
          <w:kern w:val="0"/>
          <w:sz w:val="72"/>
          <w:szCs w:val="72"/>
        </w:rPr>
      </w:pPr>
    </w:p>
    <w:p>
      <w:pPr>
        <w:rPr>
          <w:rFonts w:asciiTheme="minorEastAsia" w:hAnsiTheme="minorEastAsia" w:eastAsiaTheme="minorEastAsia" w:cstheme="minorEastAsia"/>
          <w:kern w:val="0"/>
          <w:sz w:val="72"/>
          <w:szCs w:val="72"/>
        </w:rPr>
      </w:pPr>
    </w:p>
    <w:p>
      <w:pPr>
        <w:jc w:val="center"/>
        <w:rPr>
          <w:rFonts w:asciiTheme="minorEastAsia" w:hAnsiTheme="minorEastAsia" w:eastAsiaTheme="minorEastAsia" w:cstheme="minorEastAsia"/>
          <w:bCs/>
          <w:color w:val="000000"/>
          <w:sz w:val="52"/>
          <w:szCs w:val="52"/>
        </w:rPr>
      </w:pPr>
      <w:r>
        <w:rPr>
          <w:rFonts w:hint="eastAsia" w:asciiTheme="minorEastAsia" w:hAnsiTheme="minorEastAsia" w:eastAsiaTheme="minorEastAsia" w:cstheme="minorEastAsia"/>
          <w:kern w:val="0"/>
          <w:sz w:val="52"/>
          <w:szCs w:val="52"/>
        </w:rPr>
        <w:t>广西绢麻纺织科学研究所有限公司</w:t>
      </w:r>
    </w:p>
    <w:p>
      <w:pPr>
        <w:jc w:val="center"/>
        <w:rPr>
          <w:rFonts w:asciiTheme="minorEastAsia" w:hAnsiTheme="minorEastAsia" w:eastAsiaTheme="minorEastAsia" w:cstheme="minorEastAsia"/>
          <w:kern w:val="0"/>
          <w:sz w:val="52"/>
          <w:szCs w:val="52"/>
        </w:rPr>
      </w:pPr>
      <w:r>
        <w:rPr>
          <w:rFonts w:hint="eastAsia" w:asciiTheme="minorEastAsia" w:hAnsiTheme="minorEastAsia" w:eastAsiaTheme="minorEastAsia" w:cstheme="minorEastAsia"/>
          <w:kern w:val="0"/>
          <w:sz w:val="52"/>
          <w:szCs w:val="52"/>
        </w:rPr>
        <w:t>2021年度部门决算</w:t>
      </w:r>
    </w:p>
    <w:p>
      <w:pPr>
        <w:rPr>
          <w:rFonts w:asciiTheme="minorEastAsia" w:hAnsiTheme="minorEastAsia" w:eastAsiaTheme="minorEastAsia" w:cstheme="minorEastAsia"/>
          <w:kern w:val="0"/>
          <w:sz w:val="84"/>
          <w:szCs w:val="84"/>
        </w:rPr>
      </w:pPr>
    </w:p>
    <w:p>
      <w:pPr>
        <w:rPr>
          <w:rFonts w:asciiTheme="minorEastAsia" w:hAnsiTheme="minorEastAsia" w:eastAsiaTheme="minorEastAsia" w:cstheme="minorEastAsia"/>
          <w:kern w:val="0"/>
          <w:sz w:val="84"/>
          <w:szCs w:val="84"/>
        </w:rPr>
      </w:pPr>
    </w:p>
    <w:p>
      <w:pPr>
        <w:rPr>
          <w:rFonts w:asciiTheme="minorEastAsia" w:hAnsiTheme="minorEastAsia" w:eastAsiaTheme="minorEastAsia" w:cstheme="minorEastAsia"/>
          <w:kern w:val="0"/>
          <w:sz w:val="84"/>
          <w:szCs w:val="84"/>
        </w:rPr>
      </w:pPr>
    </w:p>
    <w:p>
      <w:pPr>
        <w:rPr>
          <w:rFonts w:asciiTheme="minorEastAsia" w:hAnsiTheme="minorEastAsia" w:eastAsiaTheme="minorEastAsia" w:cstheme="minorEastAsia"/>
          <w:kern w:val="0"/>
          <w:sz w:val="84"/>
          <w:szCs w:val="84"/>
        </w:rPr>
      </w:pPr>
    </w:p>
    <w:p>
      <w:pPr>
        <w:rPr>
          <w:rFonts w:asciiTheme="minorEastAsia" w:hAnsiTheme="minorEastAsia" w:eastAsiaTheme="minorEastAsia" w:cstheme="minorEastAsia"/>
          <w:kern w:val="0"/>
          <w:sz w:val="84"/>
          <w:szCs w:val="84"/>
        </w:rPr>
      </w:pPr>
    </w:p>
    <w:p>
      <w:pPr>
        <w:rPr>
          <w:rFonts w:asciiTheme="minorEastAsia" w:hAnsiTheme="minorEastAsia" w:eastAsiaTheme="minorEastAsia" w:cstheme="minorEastAsia"/>
          <w:kern w:val="0"/>
          <w:sz w:val="84"/>
          <w:szCs w:val="84"/>
        </w:rPr>
      </w:pPr>
    </w:p>
    <w:p>
      <w:pPr>
        <w:jc w:val="center"/>
        <w:rPr>
          <w:rFonts w:asciiTheme="minorEastAsia" w:hAnsiTheme="minorEastAsia" w:eastAsiaTheme="minorEastAsia" w:cstheme="minorEastAsia"/>
          <w:kern w:val="0"/>
          <w:sz w:val="44"/>
          <w:szCs w:val="44"/>
        </w:rPr>
      </w:pPr>
    </w:p>
    <w:p>
      <w:pPr>
        <w:jc w:val="center"/>
        <w:rPr>
          <w:rFonts w:asciiTheme="minorEastAsia" w:hAnsiTheme="minorEastAsia" w:eastAsiaTheme="minorEastAsia" w:cstheme="minorEastAsia"/>
          <w:kern w:val="0"/>
          <w:sz w:val="44"/>
          <w:szCs w:val="44"/>
        </w:rPr>
      </w:pPr>
    </w:p>
    <w:p>
      <w:pPr>
        <w:ind w:firstLine="646"/>
        <w:jc w:val="center"/>
        <w:rPr>
          <w:rFonts w:asciiTheme="minorEastAsia" w:hAnsiTheme="minorEastAsia" w:eastAsiaTheme="minorEastAsia" w:cstheme="minorEastAsia"/>
          <w:b/>
          <w:sz w:val="44"/>
          <w:szCs w:val="44"/>
        </w:rPr>
      </w:pPr>
    </w:p>
    <w:p>
      <w:pPr>
        <w:ind w:firstLine="646"/>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    录</w:t>
      </w:r>
    </w:p>
    <w:p>
      <w:pPr>
        <w:ind w:firstLine="645"/>
        <w:rPr>
          <w:rFonts w:asciiTheme="minorEastAsia" w:hAnsiTheme="minorEastAsia" w:eastAsiaTheme="minorEastAsia" w:cstheme="minorEastAsia"/>
          <w:b/>
          <w:sz w:val="32"/>
          <w:szCs w:val="32"/>
        </w:rPr>
      </w:pPr>
    </w:p>
    <w:p>
      <w:pPr>
        <w:ind w:firstLine="645"/>
        <w:rPr>
          <w:rFonts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bCs/>
          <w:color w:val="000000"/>
          <w:sz w:val="32"/>
          <w:szCs w:val="32"/>
        </w:rPr>
        <w:t>广西绢麻纺织科学研究所有限公司</w:t>
      </w:r>
      <w:r>
        <w:rPr>
          <w:rFonts w:hint="eastAsia" w:ascii="黑体" w:hAnsi="黑体" w:eastAsia="黑体" w:cs="黑体"/>
          <w:sz w:val="32"/>
          <w:szCs w:val="32"/>
        </w:rPr>
        <w:t>概况</w:t>
      </w:r>
    </w:p>
    <w:p>
      <w:pPr>
        <w:numPr>
          <w:ilvl w:val="0"/>
          <w:numId w:val="1"/>
        </w:numPr>
        <w:ind w:firstLine="645"/>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主要职能</w:t>
      </w:r>
    </w:p>
    <w:p>
      <w:pPr>
        <w:numPr>
          <w:ilvl w:val="0"/>
          <w:numId w:val="1"/>
        </w:numPr>
        <w:ind w:firstLine="645"/>
        <w:rPr>
          <w:rFonts w:ascii="仿宋_GB2312" w:eastAsia="仿宋_GB2312"/>
          <w:sz w:val="32"/>
          <w:szCs w:val="32"/>
        </w:rPr>
      </w:pPr>
      <w:r>
        <w:rPr>
          <w:rFonts w:hint="eastAsia" w:ascii="仿宋_GB2312" w:eastAsia="仿宋_GB2312"/>
          <w:sz w:val="32"/>
          <w:szCs w:val="32"/>
        </w:rPr>
        <w:t>部门决算单位构成</w:t>
      </w:r>
    </w:p>
    <w:p>
      <w:pPr>
        <w:ind w:firstLine="645"/>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广西绢麻纺织科学研究所有限公司</w:t>
      </w:r>
      <w:r>
        <w:rPr>
          <w:rFonts w:hint="eastAsia" w:ascii="黑体" w:hAnsi="黑体" w:eastAsia="黑体"/>
          <w:sz w:val="32"/>
          <w:szCs w:val="32"/>
        </w:rPr>
        <w:t>2021年度部门决算报表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ascii="黑体" w:hAnsi="黑体" w:eastAsia="黑体"/>
          <w:sz w:val="32"/>
          <w:szCs w:val="32"/>
        </w:rPr>
      </w:pPr>
      <w:r>
        <w:rPr>
          <w:rFonts w:hint="eastAsia" w:ascii="黑体" w:hAnsi="黑体" w:eastAsia="黑体"/>
          <w:sz w:val="32"/>
          <w:szCs w:val="32"/>
        </w:rPr>
        <w:t>第三部分：广西绢麻纺织科学研究所有限公司2021年度部门决算情况说明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2021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2021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三、2021 年度一般公共预算财政拨款基本支出决算情况说明。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 xml:space="preserve">2021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五、2021 年度国有资本经营预算支出决算情况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jc w:val="center"/>
        <w:rPr>
          <w:rFonts w:ascii="仿宋_GB2312" w:eastAsia="仿宋_GB231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b/>
          <w:sz w:val="32"/>
          <w:szCs w:val="32"/>
        </w:rPr>
      </w:pPr>
    </w:p>
    <w:p>
      <w:pPr>
        <w:ind w:firstLine="646"/>
        <w:jc w:val="center"/>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rPr>
        <w:t>广西绢麻纺织科学研究所有限公司</w:t>
      </w:r>
      <w:r>
        <w:rPr>
          <w:rFonts w:hint="eastAsia" w:ascii="黑体" w:hAnsi="黑体" w:eastAsia="黑体"/>
          <w:sz w:val="32"/>
          <w:szCs w:val="32"/>
        </w:rPr>
        <w:t>概况</w:t>
      </w:r>
    </w:p>
    <w:p>
      <w:pPr>
        <w:numPr>
          <w:ilvl w:val="0"/>
          <w:numId w:val="2"/>
        </w:numPr>
        <w:ind w:firstLine="646"/>
        <w:rPr>
          <w:rFonts w:ascii="黑体" w:hAnsi="黑体" w:eastAsia="黑体"/>
          <w:sz w:val="32"/>
          <w:szCs w:val="32"/>
        </w:rPr>
      </w:pPr>
      <w:r>
        <w:rPr>
          <w:rFonts w:hint="eastAsia" w:ascii="黑体" w:hAnsi="黑体" w:eastAsia="黑体"/>
          <w:sz w:val="32"/>
          <w:szCs w:val="32"/>
        </w:rPr>
        <w:t>主要职能</w:t>
      </w:r>
    </w:p>
    <w:p>
      <w:pPr>
        <w:ind w:firstLine="640" w:firstLineChars="200"/>
        <w:rPr>
          <w:rFonts w:ascii="黑体" w:hAnsi="黑体" w:eastAsia="黑体"/>
          <w:sz w:val="32"/>
          <w:szCs w:val="32"/>
        </w:rPr>
      </w:pPr>
      <w:r>
        <w:rPr>
          <w:rFonts w:hint="eastAsia" w:ascii="仿宋_GB2312" w:eastAsia="仿宋_GB2312" w:cs="仿宋_GB2312"/>
          <w:kern w:val="0"/>
          <w:sz w:val="32"/>
          <w:szCs w:val="32"/>
        </w:rPr>
        <w:t>广西绢麻纺织科学研究所有限公司（以下简称“本公司”）系经广西壮族自治区工商行政管理局注册，于2001年1月19日成立，取得（企）450000000004815（1-1）号企业法人营业执照，统一社会信用代码：914500004985013626。 2018年7月宏桂发</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2018</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93号文件将广西绢麻纺织科学研究所成建制划转广西壮族自治区化工研究院管理及组建广西化工研究院有限公司，公司制改制完成后属于广西化工研究院有限公司的独立核算的子公司，并成为宏桂集团下属的三级企业。2018年6月宏桂复</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2018</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46号批复广西绢麻纺织科学研究所公司制改制立项,分别完成公司制改制的清产核资、财务审计、资产评估批复后，按宏桂复</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2018</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201号文件的要求于2018年12月26日翻牌变更了工商注册登记, 翻牌变更后的单位名称为:广西绢麻纺织科学研究所有限公司,注册类型为有限责任公司(非自然人或控股的法人独资),注册资本金为人民币1959.86万元。住所：南宁市江南区亭洪路43号。法定代表人：陆敏兴。经济性质：有限责任公司（非自然人投资或控股的法人独资）。经营范围：纺织产品技术研究、开发、推广；科技咨询、技术服务及技术技术培训；家纺产品、丝绸产品、服装产品生产及销售；国内贸易；食品销售；期刊出版；设计、制作、代理、发布国内各类广告；会议、展览及相关服务；房地产租赁经营；停车场服务。（依法须经批准的项目，经相关部门批准后方可开展经营活动。）本公司营业期限为：长期。</w:t>
      </w:r>
    </w:p>
    <w:p>
      <w:pPr>
        <w:numPr>
          <w:ilvl w:val="0"/>
          <w:numId w:val="2"/>
        </w:numPr>
        <w:ind w:firstLine="646"/>
        <w:rPr>
          <w:rFonts w:ascii="黑体" w:hAnsi="黑体" w:eastAsia="黑体"/>
          <w:sz w:val="32"/>
          <w:szCs w:val="32"/>
        </w:rPr>
      </w:pPr>
      <w:r>
        <w:rPr>
          <w:rFonts w:hint="eastAsia" w:ascii="黑体" w:hAnsi="黑体" w:eastAsia="黑体"/>
          <w:sz w:val="32"/>
          <w:szCs w:val="32"/>
        </w:rPr>
        <w:t>部门决算单位构成</w:t>
      </w:r>
    </w:p>
    <w:p>
      <w:pPr>
        <w:ind w:firstLine="646"/>
        <w:jc w:val="left"/>
        <w:rPr>
          <w:rFonts w:ascii="黑体" w:hAnsi="黑体" w:eastAsia="黑体"/>
          <w:sz w:val="32"/>
          <w:szCs w:val="32"/>
        </w:rPr>
      </w:pPr>
      <w:r>
        <w:rPr>
          <w:rFonts w:hint="eastAsia" w:ascii="仿宋_GB2312" w:eastAsia="仿宋_GB2312" w:cs="仿宋_GB2312"/>
          <w:kern w:val="0"/>
          <w:sz w:val="32"/>
          <w:szCs w:val="32"/>
        </w:rPr>
        <w:t>广西绢麻纺织科学研究所有限公司由以下职能管理部门构成：执行董事（总经理）、监事、党支部、副总经理、工会、生产部、物业管理部、销售部、财务部、技术开发部、编辑部、建房办。</w:t>
      </w:r>
    </w:p>
    <w:p>
      <w:pPr>
        <w:ind w:firstLine="640" w:firstLineChars="200"/>
        <w:jc w:val="left"/>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广西绢麻纺织科学研究所有限公司</w:t>
      </w:r>
      <w:r>
        <w:rPr>
          <w:rFonts w:hint="eastAsia" w:ascii="黑体" w:hAnsi="黑体" w:eastAsia="黑体"/>
          <w:sz w:val="32"/>
          <w:szCs w:val="32"/>
        </w:rPr>
        <w:t>2021年度部门决算报表</w:t>
      </w:r>
    </w:p>
    <w:p>
      <w:pPr>
        <w:ind w:left="645"/>
        <w:jc w:val="left"/>
        <w:rPr>
          <w:rFonts w:ascii="仿宋_GB2312" w:eastAsia="仿宋_GB2312"/>
          <w:sz w:val="32"/>
          <w:szCs w:val="32"/>
        </w:rPr>
      </w:pPr>
      <w:r>
        <w:rPr>
          <w:rFonts w:hint="eastAsia" w:ascii="仿宋_GB2312" w:eastAsia="仿宋_GB2312"/>
          <w:sz w:val="32"/>
          <w:szCs w:val="32"/>
        </w:rPr>
        <w:t>表一：收入支出决算总表</w:t>
      </w:r>
    </w:p>
    <w:p>
      <w:pPr>
        <w:ind w:firstLine="640" w:firstLineChars="200"/>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38" w:leftChars="304"/>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（上述公开内容详见附件:广西绢麻纺织科学研究所有限公司2021年度部门决算公开表）</w:t>
      </w: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rPr>
        <w:t>广西绢麻纺织科学研究所有限公司</w:t>
      </w:r>
      <w:r>
        <w:rPr>
          <w:rFonts w:hint="eastAsia" w:ascii="黑体" w:hAnsi="黑体" w:eastAsia="黑体"/>
          <w:sz w:val="32"/>
          <w:szCs w:val="32"/>
        </w:rPr>
        <w:t>2021年度部门决算情况说明</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2021</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xml:space="preserve">（一）本部门2021年度总收入158.39万元，其中本年收入158.39万元, </w:t>
      </w:r>
      <w:r>
        <w:rPr>
          <w:rFonts w:hint="eastAsia" w:ascii="仿宋_GB2312" w:hAnsi="黑体" w:eastAsia="仿宋_GB2312" w:cs="仿宋_GB2312"/>
          <w:kern w:val="0"/>
          <w:sz w:val="32"/>
          <w:szCs w:val="32"/>
        </w:rPr>
        <w:t>较2020年度决算数增加16.71万元，增加11.79%。</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w:t>
      </w:r>
      <w:r>
        <w:rPr>
          <w:rFonts w:hint="eastAsia" w:ascii="仿宋_GB2312" w:eastAsia="仿宋_GB2312" w:cs="仿宋_GB2312"/>
          <w:kern w:val="0"/>
          <w:sz w:val="32"/>
          <w:szCs w:val="32"/>
        </w:rPr>
        <w:t>一般公共预算财政拨款收入158.39万元，为自治区本级财政当年拨付的资金。</w:t>
      </w:r>
      <w:r>
        <w:rPr>
          <w:rFonts w:hint="eastAsia" w:ascii="仿宋_GB2312" w:hAnsi="黑体" w:eastAsia="仿宋_GB2312" w:cs="仿宋_GB2312"/>
          <w:kern w:val="0"/>
          <w:sz w:val="32"/>
          <w:szCs w:val="32"/>
        </w:rPr>
        <w:t>较2020年度决算数增加16.71万元，增加11.79%，主要原因是退休人员抚恤金增多，预算财政拨款收入随之增加。</w:t>
      </w:r>
    </w:p>
    <w:p>
      <w:pPr>
        <w:autoSpaceDE w:val="0"/>
        <w:autoSpaceDN w:val="0"/>
        <w:adjustRightInd w:val="0"/>
        <w:spacing w:line="560" w:lineRule="exact"/>
        <w:ind w:firstLine="627" w:firstLineChars="196"/>
        <w:jc w:val="left"/>
        <w:rPr>
          <w:rFonts w:ascii="仿宋_GB2312" w:eastAsia="仿宋_GB2312"/>
          <w:kern w:val="0"/>
          <w:sz w:val="32"/>
          <w:szCs w:val="32"/>
        </w:rPr>
      </w:pPr>
      <w:r>
        <w:rPr>
          <w:rFonts w:hint="eastAsia" w:ascii="仿宋_GB2312" w:eastAsia="仿宋_GB2312"/>
          <w:kern w:val="0"/>
          <w:sz w:val="32"/>
          <w:szCs w:val="32"/>
        </w:rPr>
        <w:t>2.政府性基金预算财政拨款收入0万元，为自治区本级财政当年拨付的资金。</w:t>
      </w:r>
      <w:r>
        <w:rPr>
          <w:rFonts w:hint="eastAsia" w:ascii="仿宋_GB2312" w:hAnsi="黑体" w:eastAsia="仿宋_GB2312"/>
          <w:kern w:val="0"/>
          <w:sz w:val="32"/>
          <w:szCs w:val="32"/>
        </w:rPr>
        <w:t>较2020年度决算数增加0万元，增长0 %。</w:t>
      </w:r>
    </w:p>
    <w:p>
      <w:pPr>
        <w:autoSpaceDE w:val="0"/>
        <w:autoSpaceDN w:val="0"/>
        <w:adjustRightInd w:val="0"/>
        <w:spacing w:line="560" w:lineRule="exact"/>
        <w:ind w:firstLine="627" w:firstLineChars="196"/>
        <w:jc w:val="left"/>
        <w:rPr>
          <w:rFonts w:ascii="仿宋_GB2312" w:eastAsia="仿宋_GB2312"/>
          <w:kern w:val="0"/>
          <w:sz w:val="32"/>
          <w:szCs w:val="32"/>
        </w:rPr>
      </w:pPr>
      <w:r>
        <w:rPr>
          <w:rFonts w:hint="eastAsia" w:ascii="仿宋_GB2312" w:eastAsia="仿宋_GB2312"/>
          <w:bCs/>
          <w:kern w:val="0"/>
          <w:sz w:val="32"/>
          <w:szCs w:val="32"/>
        </w:rPr>
        <w:t>3</w:t>
      </w:r>
      <w:r>
        <w:rPr>
          <w:rFonts w:hint="eastAsia" w:ascii="仿宋_GB2312" w:eastAsia="仿宋_GB2312"/>
          <w:kern w:val="0"/>
          <w:sz w:val="32"/>
          <w:szCs w:val="32"/>
        </w:rPr>
        <w:t>.国有资本经营预算财政拨款收入0万元，为自治区本级财政当年拨付的资金。</w:t>
      </w:r>
      <w:r>
        <w:rPr>
          <w:rFonts w:hint="eastAsia" w:ascii="仿宋_GB2312" w:hAnsi="黑体" w:eastAsia="仿宋_GB2312"/>
          <w:kern w:val="0"/>
          <w:sz w:val="32"/>
          <w:szCs w:val="32"/>
        </w:rPr>
        <w:t>较2020年度决算数增加0万元，增长 0%。</w:t>
      </w:r>
    </w:p>
    <w:p>
      <w:pPr>
        <w:autoSpaceDE w:val="0"/>
        <w:autoSpaceDN w:val="0"/>
        <w:adjustRightInd w:val="0"/>
        <w:spacing w:line="560" w:lineRule="exact"/>
        <w:ind w:firstLine="627" w:firstLineChars="196"/>
        <w:jc w:val="left"/>
        <w:rPr>
          <w:rFonts w:ascii="仿宋_GB2312" w:eastAsia="仿宋_GB2312"/>
          <w:kern w:val="0"/>
          <w:sz w:val="32"/>
          <w:szCs w:val="32"/>
        </w:rPr>
      </w:pPr>
      <w:r>
        <w:rPr>
          <w:rFonts w:hint="eastAsia" w:ascii="仿宋_GB2312" w:eastAsia="仿宋_GB2312"/>
          <w:kern w:val="0"/>
          <w:sz w:val="32"/>
          <w:szCs w:val="32"/>
        </w:rPr>
        <w:t>4.事业收入0万元，为事业单位开展业务活动取得的收入。</w:t>
      </w:r>
      <w:r>
        <w:rPr>
          <w:rFonts w:hint="eastAsia" w:ascii="仿宋_GB2312" w:hAnsi="黑体" w:eastAsia="仿宋_GB2312"/>
          <w:kern w:val="0"/>
          <w:sz w:val="32"/>
          <w:szCs w:val="32"/>
        </w:rPr>
        <w:t>较2020年度决算数增加0万元，增长0%</w:t>
      </w:r>
      <w:r>
        <w:rPr>
          <w:rFonts w:hint="eastAsia" w:ascii="仿宋_GB2312" w:eastAsia="仿宋_GB2312"/>
          <w:kern w:val="0"/>
          <w:sz w:val="32"/>
          <w:szCs w:val="32"/>
        </w:rPr>
        <w:t>。</w:t>
      </w:r>
    </w:p>
    <w:p>
      <w:pPr>
        <w:autoSpaceDE w:val="0"/>
        <w:autoSpaceDN w:val="0"/>
        <w:adjustRightInd w:val="0"/>
        <w:spacing w:line="560" w:lineRule="exact"/>
        <w:ind w:firstLine="627" w:firstLineChars="196"/>
        <w:jc w:val="left"/>
        <w:rPr>
          <w:rFonts w:ascii="仿宋_GB2312" w:eastAsia="仿宋_GB2312"/>
          <w:kern w:val="0"/>
          <w:sz w:val="32"/>
          <w:szCs w:val="32"/>
        </w:rPr>
      </w:pPr>
      <w:r>
        <w:rPr>
          <w:rFonts w:hint="eastAsia" w:ascii="仿宋_GB2312" w:eastAsia="仿宋_GB2312"/>
          <w:bCs/>
          <w:kern w:val="0"/>
          <w:sz w:val="32"/>
          <w:szCs w:val="32"/>
        </w:rPr>
        <w:t>5</w:t>
      </w:r>
      <w:r>
        <w:rPr>
          <w:rFonts w:hint="eastAsia" w:ascii="仿宋_GB2312" w:eastAsia="仿宋_GB2312"/>
          <w:kern w:val="0"/>
          <w:sz w:val="32"/>
          <w:szCs w:val="32"/>
        </w:rPr>
        <w:t>.经营收入0万，为事业单位在业务活动之外开展非独立核算经营活动取得的收入。</w:t>
      </w:r>
      <w:r>
        <w:rPr>
          <w:rFonts w:hint="eastAsia" w:ascii="仿宋_GB2312" w:hAnsi="黑体" w:eastAsia="仿宋_GB2312"/>
          <w:kern w:val="0"/>
          <w:sz w:val="32"/>
          <w:szCs w:val="32"/>
        </w:rPr>
        <w:t>较2020年度决算数增加0万元，增长0%。</w:t>
      </w:r>
    </w:p>
    <w:p>
      <w:pPr>
        <w:autoSpaceDE w:val="0"/>
        <w:autoSpaceDN w:val="0"/>
        <w:adjustRightInd w:val="0"/>
        <w:spacing w:line="560" w:lineRule="exact"/>
        <w:ind w:firstLine="627" w:firstLineChars="196"/>
        <w:jc w:val="left"/>
        <w:rPr>
          <w:rFonts w:ascii="仿宋_GB2312" w:eastAsia="仿宋_GB2312"/>
          <w:kern w:val="0"/>
          <w:sz w:val="32"/>
          <w:szCs w:val="32"/>
        </w:rPr>
      </w:pPr>
      <w:r>
        <w:rPr>
          <w:rFonts w:hint="eastAsia" w:ascii="仿宋_GB2312" w:eastAsia="仿宋_GB2312"/>
          <w:bCs/>
          <w:kern w:val="0"/>
          <w:sz w:val="32"/>
          <w:szCs w:val="32"/>
        </w:rPr>
        <w:t>6</w:t>
      </w:r>
      <w:r>
        <w:rPr>
          <w:rFonts w:hint="eastAsia" w:ascii="仿宋_GB2312" w:eastAsia="仿宋_GB2312"/>
          <w:kern w:val="0"/>
          <w:sz w:val="32"/>
          <w:szCs w:val="32"/>
        </w:rPr>
        <w:t>.其他收入0万元，为预算单位在“财政拨款收入”</w:t>
      </w:r>
    </w:p>
    <w:p>
      <w:pPr>
        <w:autoSpaceDE w:val="0"/>
        <w:autoSpaceDN w:val="0"/>
        <w:adjustRightInd w:val="0"/>
        <w:spacing w:line="560" w:lineRule="exact"/>
        <w:jc w:val="left"/>
        <w:rPr>
          <w:rFonts w:ascii="仿宋_GB2312" w:eastAsia="仿宋_GB2312"/>
          <w:kern w:val="0"/>
          <w:sz w:val="32"/>
          <w:szCs w:val="32"/>
        </w:rPr>
      </w:pPr>
      <w:r>
        <w:rPr>
          <w:rFonts w:hint="eastAsia" w:ascii="仿宋_GB2312" w:eastAsia="仿宋_GB2312"/>
          <w:kern w:val="0"/>
          <w:sz w:val="32"/>
          <w:szCs w:val="32"/>
        </w:rPr>
        <w:t>“事业收入”“经营收入”之外取得的收入。如：</w:t>
      </w:r>
      <w:r>
        <w:rPr>
          <w:rFonts w:hint="eastAsia" w:ascii="仿宋_GB2312" w:hAnsi="黑体" w:eastAsia="仿宋_GB2312"/>
          <w:kern w:val="0"/>
          <w:sz w:val="32"/>
          <w:szCs w:val="32"/>
        </w:rPr>
        <w:t>较2020年度决算数增加0万元，增长0%。</w:t>
      </w:r>
    </w:p>
    <w:p>
      <w:pPr>
        <w:autoSpaceDE w:val="0"/>
        <w:autoSpaceDN w:val="0"/>
        <w:adjustRightInd w:val="0"/>
        <w:spacing w:line="560" w:lineRule="exact"/>
        <w:ind w:firstLine="627" w:firstLineChars="196"/>
        <w:jc w:val="left"/>
        <w:rPr>
          <w:rFonts w:ascii="仿宋_GB2312" w:eastAsia="仿宋_GB2312"/>
          <w:kern w:val="0"/>
          <w:sz w:val="32"/>
          <w:szCs w:val="32"/>
        </w:rPr>
      </w:pPr>
      <w:r>
        <w:rPr>
          <w:rFonts w:hint="eastAsia" w:ascii="仿宋_GB2312" w:eastAsia="仿宋_GB2312"/>
          <w:bCs/>
          <w:kern w:val="0"/>
          <w:sz w:val="32"/>
          <w:szCs w:val="32"/>
        </w:rPr>
        <w:t>7</w:t>
      </w:r>
      <w:r>
        <w:rPr>
          <w:rFonts w:hint="eastAsia" w:ascii="仿宋_GB2312" w:eastAsia="仿宋_GB2312"/>
          <w:kern w:val="0"/>
          <w:sz w:val="32"/>
          <w:szCs w:val="32"/>
        </w:rPr>
        <w:t>.用事业基金弥补收支差额0万元，主要是所属事业单位在当年的“财政拨款收入”“事业收入”“经营收入”及“其他收入”不能保证其支出的情况下，使用以前年度积累的非财政拨款结余弥补本年度收支缺口的资金。</w:t>
      </w:r>
      <w:r>
        <w:rPr>
          <w:rFonts w:hint="eastAsia" w:ascii="仿宋_GB2312" w:hAnsi="黑体" w:eastAsia="仿宋_GB2312"/>
          <w:kern w:val="0"/>
          <w:sz w:val="32"/>
          <w:szCs w:val="32"/>
        </w:rPr>
        <w:t>较2020年度决算数增加0万元，增长0%。</w:t>
      </w:r>
    </w:p>
    <w:p>
      <w:pPr>
        <w:ind w:firstLine="640" w:firstLineChars="200"/>
        <w:rPr>
          <w:szCs w:val="21"/>
        </w:rPr>
      </w:pPr>
      <w:r>
        <w:rPr>
          <w:rFonts w:hint="eastAsia" w:ascii="仿宋_GB2312" w:eastAsia="仿宋_GB2312"/>
          <w:bCs/>
          <w:kern w:val="0"/>
          <w:sz w:val="32"/>
          <w:szCs w:val="32"/>
        </w:rPr>
        <w:t>8</w:t>
      </w:r>
      <w:r>
        <w:rPr>
          <w:rFonts w:hint="eastAsia" w:ascii="仿宋_GB2312" w:eastAsia="仿宋_GB2312"/>
          <w:kern w:val="0"/>
          <w:sz w:val="32"/>
          <w:szCs w:val="32"/>
        </w:rPr>
        <w:t>.上年结转和结余0万元，为以前年度支出预算因客观条件变化未执行完毕、结转到本年度按有关规定继续使用的资金。</w:t>
      </w:r>
      <w:r>
        <w:rPr>
          <w:rFonts w:hint="eastAsia" w:ascii="仿宋_GB2312" w:hAnsi="黑体" w:eastAsia="仿宋_GB2312"/>
          <w:kern w:val="0"/>
          <w:sz w:val="32"/>
          <w:szCs w:val="32"/>
        </w:rPr>
        <w:t>较2020年度决算数增加0万元，增长0%。</w:t>
      </w: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（二）本部门2021年度总支出</w:t>
      </w:r>
      <w:r>
        <w:rPr>
          <w:rFonts w:hint="eastAsia" w:ascii="仿宋_GB2312" w:eastAsia="仿宋_GB2312"/>
          <w:kern w:val="0"/>
          <w:sz w:val="32"/>
          <w:szCs w:val="32"/>
        </w:rPr>
        <w:t xml:space="preserve"> </w:t>
      </w:r>
      <w:r>
        <w:rPr>
          <w:rFonts w:hint="eastAsia" w:ascii="仿宋_GB2312" w:eastAsia="仿宋_GB2312" w:cs="仿宋_GB2312"/>
          <w:kern w:val="0"/>
          <w:sz w:val="32"/>
          <w:szCs w:val="32"/>
        </w:rPr>
        <w:t xml:space="preserve">158.39万元，其中本年支出158.39万元, </w:t>
      </w:r>
      <w:r>
        <w:rPr>
          <w:rFonts w:hint="eastAsia" w:ascii="仿宋_GB2312" w:hAnsi="黑体" w:eastAsia="仿宋_GB2312" w:cs="仿宋_GB2312"/>
          <w:kern w:val="0"/>
          <w:sz w:val="32"/>
          <w:szCs w:val="32"/>
        </w:rPr>
        <w:t>较2020年度决算数增加16.71万元，增加11.79%。</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cs="仿宋_GB2312"/>
          <w:kern w:val="0"/>
          <w:sz w:val="32"/>
          <w:szCs w:val="32"/>
        </w:rPr>
        <w:t>1.科学技术支出（类）115.69万元，主要用于对个人及家庭的补助开支</w:t>
      </w:r>
      <w:r>
        <w:rPr>
          <w:rFonts w:hint="eastAsia" w:ascii="仿宋_GB2312" w:hAnsi="黑体" w:eastAsia="仿宋_GB2312" w:cs="仿宋_GB2312"/>
          <w:kern w:val="0"/>
          <w:sz w:val="32"/>
          <w:szCs w:val="32"/>
        </w:rPr>
        <w:t>,较2020年度决算数增加17.12万元，增长17.37%，主要原因是支出类别（离休费、春节慰问金等项目）重分类调整。</w:t>
      </w:r>
    </w:p>
    <w:p>
      <w:pPr>
        <w:autoSpaceDE w:val="0"/>
        <w:autoSpaceDN w:val="0"/>
        <w:adjustRightInd w:val="0"/>
        <w:spacing w:line="560" w:lineRule="exact"/>
        <w:ind w:firstLine="627" w:firstLineChars="196"/>
        <w:jc w:val="left"/>
        <w:rPr>
          <w:rFonts w:ascii="仿宋_GB2312" w:hAnsi="黑体" w:eastAsia="仿宋_GB2312" w:cs="仿宋_GB2312"/>
          <w:kern w:val="0"/>
          <w:sz w:val="32"/>
          <w:szCs w:val="32"/>
        </w:rPr>
      </w:pPr>
      <w:r>
        <w:rPr>
          <w:rFonts w:hint="eastAsia" w:ascii="仿宋_GB2312" w:eastAsia="仿宋_GB2312" w:cs="仿宋_GB2312"/>
          <w:kern w:val="0"/>
          <w:sz w:val="32"/>
          <w:szCs w:val="32"/>
        </w:rPr>
        <w:t>2.社会保障和就业支出（类）</w:t>
      </w:r>
      <w:r>
        <w:rPr>
          <w:rFonts w:hint="eastAsia" w:ascii="仿宋_GB2312" w:eastAsia="仿宋_GB2312"/>
          <w:kern w:val="0"/>
          <w:sz w:val="32"/>
          <w:szCs w:val="32"/>
        </w:rPr>
        <w:t>42.69</w:t>
      </w:r>
      <w:r>
        <w:rPr>
          <w:rFonts w:hint="eastAsia" w:ascii="仿宋_GB2312" w:eastAsia="仿宋_GB2312" w:cs="仿宋_GB2312"/>
          <w:kern w:val="0"/>
          <w:sz w:val="32"/>
          <w:szCs w:val="32"/>
        </w:rPr>
        <w:t>万元，主要用于对个人及家庭的补助开支,</w:t>
      </w:r>
      <w:r>
        <w:rPr>
          <w:rFonts w:hint="eastAsia" w:ascii="仿宋_GB2312" w:hAnsi="黑体" w:eastAsia="仿宋_GB2312" w:cs="仿宋_GB2312"/>
          <w:kern w:val="0"/>
          <w:sz w:val="32"/>
          <w:szCs w:val="32"/>
        </w:rPr>
        <w:t>较2020年度决算数减少0.42万元，下降0.01%，主要原因是支出类别（离休费、春节慰问金等项目）重分类调整。</w:t>
      </w:r>
    </w:p>
    <w:p>
      <w:pPr>
        <w:autoSpaceDE w:val="0"/>
        <w:autoSpaceDN w:val="0"/>
        <w:adjustRightInd w:val="0"/>
        <w:spacing w:line="560" w:lineRule="exact"/>
        <w:ind w:firstLine="627" w:firstLineChars="196"/>
        <w:jc w:val="left"/>
        <w:rPr>
          <w:rFonts w:ascii="仿宋_GB2312" w:eastAsia="仿宋_GB2312"/>
          <w:kern w:val="0"/>
          <w:sz w:val="32"/>
          <w:szCs w:val="32"/>
        </w:rPr>
      </w:pPr>
      <w:r>
        <w:rPr>
          <w:rFonts w:hint="eastAsia" w:ascii="仿宋_GB2312" w:eastAsia="仿宋_GB2312"/>
          <w:bCs/>
          <w:kern w:val="0"/>
          <w:sz w:val="32"/>
          <w:szCs w:val="32"/>
        </w:rPr>
        <w:t>3</w:t>
      </w:r>
      <w:r>
        <w:rPr>
          <w:rFonts w:hint="eastAsia" w:ascii="仿宋_GB2312" w:eastAsia="仿宋_GB2312"/>
          <w:kern w:val="0"/>
          <w:sz w:val="32"/>
          <w:szCs w:val="32"/>
        </w:rPr>
        <w:t>.结余分配0万元，为事业单位按规定提取的职工福利基金、事业基金和缴纳的所得税等。</w:t>
      </w:r>
      <w:r>
        <w:rPr>
          <w:rFonts w:hint="eastAsia" w:ascii="仿宋_GB2312" w:hAnsi="黑体" w:eastAsia="仿宋_GB2312"/>
          <w:kern w:val="0"/>
          <w:sz w:val="32"/>
          <w:szCs w:val="32"/>
        </w:rPr>
        <w:t>较2020年度决算数增加0 万元，增长0%。</w:t>
      </w:r>
    </w:p>
    <w:p>
      <w:pPr>
        <w:ind w:firstLine="640" w:firstLineChars="200"/>
        <w:rPr>
          <w:szCs w:val="21"/>
        </w:rPr>
      </w:pPr>
      <w:r>
        <w:rPr>
          <w:rFonts w:hint="eastAsia" w:ascii="仿宋_GB2312" w:eastAsia="仿宋_GB2312"/>
          <w:bCs/>
          <w:kern w:val="0"/>
          <w:sz w:val="32"/>
          <w:szCs w:val="32"/>
        </w:rPr>
        <w:t>4</w:t>
      </w:r>
      <w:r>
        <w:rPr>
          <w:rFonts w:hint="eastAsia" w:ascii="仿宋_GB2312" w:eastAsia="仿宋_GB2312"/>
          <w:kern w:val="0"/>
          <w:sz w:val="32"/>
          <w:szCs w:val="32"/>
        </w:rPr>
        <w:t>.年末结转和结余0万元，为本年度或以前年度预算安排、因客观条件发生变化无法按原计划实施，需要延迟到以后年度按有关规定继续使用的资金。</w:t>
      </w:r>
      <w:r>
        <w:rPr>
          <w:rFonts w:hint="eastAsia" w:ascii="仿宋_GB2312" w:hAnsi="黑体" w:eastAsia="仿宋_GB2312"/>
          <w:kern w:val="0"/>
          <w:sz w:val="32"/>
          <w:szCs w:val="32"/>
        </w:rPr>
        <w:t>较2020年度决算数增加 0万元，增长0%。</w:t>
      </w:r>
    </w:p>
    <w:p>
      <w:pPr>
        <w:autoSpaceDE w:val="0"/>
        <w:autoSpaceDN w:val="0"/>
        <w:adjustRightInd w:val="0"/>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2021</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eastAsia="仿宋_GB2312"/>
          <w:kern w:val="0"/>
          <w:sz w:val="32"/>
          <w:szCs w:val="32"/>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公共预算财政拨款支出158.39万元，</w:t>
      </w:r>
      <w:r>
        <w:rPr>
          <w:rFonts w:hint="eastAsia" w:ascii="仿宋_GB2312" w:hAnsi="黑体" w:eastAsia="仿宋_GB2312" w:cs="仿宋_GB2312"/>
          <w:kern w:val="0"/>
          <w:sz w:val="32"/>
          <w:szCs w:val="32"/>
        </w:rPr>
        <w:t>较2020年度决算数增加16.71万元，增加11.79%。</w:t>
      </w:r>
      <w:r>
        <w:rPr>
          <w:rFonts w:hint="eastAsia" w:ascii="仿宋_GB2312" w:eastAsia="仿宋_GB2312" w:cs="仿宋_GB2312"/>
          <w:kern w:val="0"/>
          <w:sz w:val="32"/>
          <w:szCs w:val="32"/>
        </w:rPr>
        <w:t>其中：基本支出</w:t>
      </w:r>
      <w:r>
        <w:rPr>
          <w:rFonts w:hint="eastAsia" w:ascii="仿宋_GB2312" w:eastAsia="仿宋_GB2312"/>
          <w:kern w:val="0"/>
          <w:sz w:val="32"/>
          <w:szCs w:val="32"/>
        </w:rPr>
        <w:t>119.11</w:t>
      </w:r>
      <w:r>
        <w:rPr>
          <w:rFonts w:hint="eastAsia" w:ascii="仿宋_GB2312" w:eastAsia="仿宋_GB2312" w:cs="仿宋_GB2312"/>
          <w:kern w:val="0"/>
          <w:sz w:val="32"/>
          <w:szCs w:val="32"/>
        </w:rPr>
        <w:t>万元，项目支出</w:t>
      </w:r>
      <w:r>
        <w:rPr>
          <w:rFonts w:hint="eastAsia" w:ascii="仿宋_GB2312" w:eastAsia="仿宋_GB2312"/>
          <w:kern w:val="0"/>
          <w:sz w:val="32"/>
          <w:szCs w:val="32"/>
        </w:rPr>
        <w:t>39.28</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rPr>
          <w:rFonts w:ascii="仿宋_GB2312" w:hAnsi="黑体"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hAnsi="黑体" w:eastAsia="仿宋_GB2312"/>
          <w:kern w:val="0"/>
          <w:sz w:val="32"/>
          <w:szCs w:val="32"/>
        </w:rPr>
        <w:t>2021</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公共预算财政拨款支出年初预算为121.22万元，支出决算为</w:t>
      </w:r>
      <w:r>
        <w:rPr>
          <w:rFonts w:hint="eastAsia" w:ascii="仿宋_GB2312" w:eastAsia="仿宋_GB2312" w:cs="仿宋_GB2312"/>
          <w:kern w:val="0"/>
          <w:sz w:val="32"/>
          <w:szCs w:val="32"/>
        </w:rPr>
        <w:t>158.39</w:t>
      </w:r>
      <w:r>
        <w:rPr>
          <w:rFonts w:hint="eastAsia" w:ascii="仿宋_GB2312" w:hAnsi="黑体" w:eastAsia="仿宋_GB2312" w:cs="仿宋_GB2312"/>
          <w:kern w:val="0"/>
          <w:sz w:val="32"/>
          <w:szCs w:val="32"/>
        </w:rPr>
        <w:t>万元，完成年初预算的130.66 %。</w:t>
      </w:r>
    </w:p>
    <w:p>
      <w:pPr>
        <w:numPr>
          <w:ilvl w:val="0"/>
          <w:numId w:val="3"/>
        </w:num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cs="仿宋_GB2312"/>
          <w:kern w:val="0"/>
          <w:sz w:val="32"/>
          <w:szCs w:val="32"/>
        </w:rPr>
        <w:t>科学技术支出（类）科技条件与服务（款）机构运行（项）支出决算为</w:t>
      </w:r>
      <w:r>
        <w:rPr>
          <w:rFonts w:ascii="仿宋_GB2312" w:hAnsi="黑体" w:eastAsia="仿宋_GB2312" w:cs="仿宋_GB2312"/>
          <w:kern w:val="0"/>
          <w:sz w:val="32"/>
          <w:szCs w:val="32"/>
        </w:rPr>
        <w:t>4.73</w:t>
      </w:r>
      <w:r>
        <w:rPr>
          <w:rFonts w:hint="eastAsia" w:ascii="仿宋_GB2312" w:hAnsi="黑体" w:eastAsia="仿宋_GB2312" w:cs="仿宋_GB2312"/>
          <w:kern w:val="0"/>
          <w:sz w:val="32"/>
          <w:szCs w:val="32"/>
        </w:rPr>
        <w:t>万元</w:t>
      </w:r>
      <w:r>
        <w:rPr>
          <w:rFonts w:hint="eastAsia" w:ascii="仿宋_GB2312" w:eastAsia="仿宋_GB2312" w:cs="仿宋_GB2312"/>
          <w:kern w:val="0"/>
          <w:sz w:val="32"/>
          <w:szCs w:val="32"/>
        </w:rPr>
        <w:t>，</w:t>
      </w:r>
      <w:r>
        <w:rPr>
          <w:rFonts w:hint="eastAsia" w:ascii="仿宋_GB2312" w:hAnsi="黑体" w:eastAsia="仿宋_GB2312" w:cs="仿宋_GB2312"/>
          <w:kern w:val="0"/>
          <w:sz w:val="32"/>
          <w:szCs w:val="32"/>
        </w:rPr>
        <w:t>年初预算为</w:t>
      </w:r>
      <w:r>
        <w:rPr>
          <w:rFonts w:ascii="仿宋_GB2312" w:hAnsi="黑体" w:eastAsia="仿宋_GB2312" w:cs="仿宋_GB2312"/>
          <w:kern w:val="0"/>
          <w:sz w:val="32"/>
          <w:szCs w:val="32"/>
        </w:rPr>
        <w:t>4.73</w:t>
      </w:r>
      <w:r>
        <w:rPr>
          <w:rFonts w:hint="eastAsia" w:ascii="仿宋_GB2312" w:hAnsi="黑体" w:eastAsia="仿宋_GB2312" w:cs="仿宋_GB2312"/>
          <w:kern w:val="0"/>
          <w:sz w:val="32"/>
          <w:szCs w:val="32"/>
        </w:rPr>
        <w:t>万元，完成年初预算的1</w:t>
      </w:r>
      <w:r>
        <w:rPr>
          <w:rFonts w:ascii="仿宋_GB2312" w:hAnsi="黑体" w:eastAsia="仿宋_GB2312" w:cs="仿宋_GB2312"/>
          <w:kern w:val="0"/>
          <w:sz w:val="32"/>
          <w:szCs w:val="32"/>
        </w:rPr>
        <w:t>00</w:t>
      </w:r>
      <w:r>
        <w:rPr>
          <w:rFonts w:hint="eastAsia" w:ascii="仿宋_GB2312" w:hAnsi="黑体" w:eastAsia="仿宋_GB2312" w:cs="仿宋_GB2312"/>
          <w:kern w:val="0"/>
          <w:sz w:val="32"/>
          <w:szCs w:val="32"/>
        </w:rPr>
        <w:t>%。该支出</w:t>
      </w:r>
      <w:r>
        <w:rPr>
          <w:rFonts w:hint="eastAsia" w:ascii="仿宋_GB2312" w:eastAsia="仿宋_GB2312" w:cs="仿宋_GB2312"/>
          <w:kern w:val="0"/>
          <w:sz w:val="32"/>
          <w:szCs w:val="32"/>
        </w:rPr>
        <w:t>主要用于对个人及家庭的补助开支</w:t>
      </w:r>
      <w:r>
        <w:rPr>
          <w:rFonts w:hint="eastAsia" w:ascii="仿宋_GB2312" w:hAnsi="黑体" w:eastAsia="仿宋_GB2312" w:cs="仿宋_GB2312"/>
          <w:kern w:val="0"/>
          <w:sz w:val="32"/>
          <w:szCs w:val="32"/>
        </w:rPr>
        <w:t>。</w:t>
      </w:r>
    </w:p>
    <w:p>
      <w:pPr>
        <w:ind w:firstLine="640" w:firstLineChars="200"/>
        <w:rPr>
          <w:rFonts w:hint="eastAsia"/>
          <w:szCs w:val="21"/>
        </w:rPr>
      </w:pPr>
      <w:r>
        <w:rPr>
          <w:rFonts w:hint="eastAsia" w:ascii="仿宋_GB2312" w:eastAsia="仿宋_GB2312" w:cs="仿宋_GB2312"/>
          <w:kern w:val="0"/>
          <w:sz w:val="32"/>
          <w:szCs w:val="32"/>
        </w:rPr>
        <w:t>（二）科学技术支出（类）其他科学技术支出（款）转制科研机构（项）支出决算为</w:t>
      </w:r>
      <w:r>
        <w:rPr>
          <w:rFonts w:ascii="仿宋_GB2312" w:eastAsia="仿宋_GB2312" w:cs="仿宋_GB2312"/>
          <w:kern w:val="0"/>
          <w:sz w:val="32"/>
          <w:szCs w:val="32"/>
        </w:rPr>
        <w:t>110.96</w:t>
      </w:r>
      <w:r>
        <w:rPr>
          <w:rFonts w:hint="eastAsia" w:ascii="仿宋_GB2312" w:hAnsi="黑体" w:eastAsia="仿宋_GB2312" w:cs="仿宋_GB2312"/>
          <w:kern w:val="0"/>
          <w:sz w:val="32"/>
          <w:szCs w:val="32"/>
        </w:rPr>
        <w:t>万元</w:t>
      </w:r>
      <w:r>
        <w:rPr>
          <w:rFonts w:hint="eastAsia" w:ascii="仿宋_GB2312" w:eastAsia="仿宋_GB2312" w:cs="仿宋_GB2312"/>
          <w:kern w:val="0"/>
          <w:sz w:val="32"/>
          <w:szCs w:val="32"/>
        </w:rPr>
        <w:t>，</w:t>
      </w:r>
      <w:r>
        <w:rPr>
          <w:rFonts w:hint="eastAsia" w:ascii="仿宋_GB2312" w:hAnsi="黑体" w:eastAsia="仿宋_GB2312" w:cs="仿宋_GB2312"/>
          <w:kern w:val="0"/>
          <w:sz w:val="32"/>
          <w:szCs w:val="32"/>
        </w:rPr>
        <w:t>年初预算为</w:t>
      </w:r>
      <w:r>
        <w:rPr>
          <w:rFonts w:ascii="仿宋_GB2312" w:hAnsi="黑体" w:eastAsia="仿宋_GB2312" w:cs="仿宋_GB2312"/>
          <w:kern w:val="0"/>
          <w:sz w:val="32"/>
          <w:szCs w:val="32"/>
        </w:rPr>
        <w:t>99.70</w:t>
      </w:r>
      <w:r>
        <w:rPr>
          <w:rFonts w:hint="eastAsia" w:ascii="仿宋_GB2312" w:hAnsi="黑体" w:eastAsia="仿宋_GB2312" w:cs="仿宋_GB2312"/>
          <w:kern w:val="0"/>
          <w:sz w:val="32"/>
          <w:szCs w:val="32"/>
        </w:rPr>
        <w:t>万元，完成年初预算的</w:t>
      </w:r>
      <w:r>
        <w:rPr>
          <w:rFonts w:ascii="仿宋_GB2312" w:hAnsi="黑体" w:eastAsia="仿宋_GB2312" w:cs="仿宋_GB2312"/>
          <w:kern w:val="0"/>
          <w:sz w:val="32"/>
          <w:szCs w:val="32"/>
        </w:rPr>
        <w:t>111.29</w:t>
      </w:r>
      <w:r>
        <w:rPr>
          <w:rFonts w:hint="eastAsia" w:ascii="仿宋_GB2312" w:hAnsi="黑体" w:eastAsia="仿宋_GB2312" w:cs="仿宋_GB2312"/>
          <w:kern w:val="0"/>
          <w:sz w:val="32"/>
          <w:szCs w:val="32"/>
        </w:rPr>
        <w:t>%。该支出</w:t>
      </w:r>
      <w:r>
        <w:rPr>
          <w:rFonts w:hint="eastAsia" w:ascii="仿宋_GB2312" w:eastAsia="仿宋_GB2312" w:cs="仿宋_GB2312"/>
          <w:kern w:val="0"/>
          <w:sz w:val="32"/>
          <w:szCs w:val="32"/>
        </w:rPr>
        <w:t>主要用于</w:t>
      </w:r>
      <w:r>
        <w:rPr>
          <w:rFonts w:hint="eastAsia" w:ascii="仿宋_GB2312" w:hAnsi="黑体" w:eastAsia="仿宋_GB2312"/>
          <w:bCs/>
          <w:color w:val="000000"/>
          <w:sz w:val="32"/>
          <w:szCs w:val="32"/>
        </w:rPr>
        <w:t>按国家规定</w:t>
      </w:r>
      <w:r>
        <w:rPr>
          <w:rFonts w:hint="eastAsia" w:ascii="仿宋_GB2312" w:eastAsia="仿宋_GB2312"/>
          <w:kern w:val="0"/>
          <w:sz w:val="32"/>
          <w:szCs w:val="32"/>
        </w:rPr>
        <w:t>发放的离退休人员</w:t>
      </w:r>
      <w:r>
        <w:rPr>
          <w:rFonts w:hint="eastAsia" w:ascii="仿宋_GB2312" w:hAnsi="黑体" w:eastAsia="仿宋_GB2312"/>
          <w:kern w:val="0"/>
          <w:sz w:val="32"/>
          <w:szCs w:val="32"/>
        </w:rPr>
        <w:t>春节慰问金、</w:t>
      </w:r>
      <w:r>
        <w:rPr>
          <w:rFonts w:hint="eastAsia" w:ascii="仿宋_GB2312" w:eastAsia="仿宋_GB2312"/>
          <w:kern w:val="0"/>
          <w:sz w:val="32"/>
          <w:szCs w:val="32"/>
        </w:rPr>
        <w:t>生活补助、物业补贴、抚恤金等方面的支出。</w:t>
      </w:r>
    </w:p>
    <w:p>
      <w:pPr>
        <w:rPr>
          <w:rFonts w:hint="eastAsia"/>
          <w:szCs w:val="21"/>
        </w:rPr>
      </w:pPr>
      <w:r>
        <w:rPr>
          <w:rFonts w:hint="eastAsia" w:ascii="仿宋_GB2312" w:eastAsia="仿宋_GB2312" w:cs="仿宋_GB2312"/>
          <w:kern w:val="0"/>
          <w:sz w:val="32"/>
          <w:szCs w:val="32"/>
        </w:rPr>
        <w:t>（三）社会保障和就业支出（类）行政事业单位养老支出（款）事业单位离退休（项）支出决算为</w:t>
      </w:r>
      <w:r>
        <w:rPr>
          <w:rFonts w:ascii="仿宋_GB2312" w:hAnsi="黑体" w:eastAsia="仿宋_GB2312" w:cs="仿宋_GB2312"/>
          <w:kern w:val="0"/>
          <w:sz w:val="32"/>
          <w:szCs w:val="32"/>
        </w:rPr>
        <w:t>20.</w:t>
      </w:r>
      <w:r>
        <w:rPr>
          <w:rFonts w:hint="eastAsia" w:ascii="仿宋_GB2312" w:hAnsi="黑体" w:eastAsia="仿宋_GB2312" w:cs="仿宋_GB2312"/>
          <w:kern w:val="0"/>
          <w:sz w:val="32"/>
          <w:szCs w:val="32"/>
        </w:rPr>
        <w:t>9</w:t>
      </w:r>
      <w:r>
        <w:rPr>
          <w:rFonts w:ascii="仿宋_GB2312" w:hAnsi="黑体" w:eastAsia="仿宋_GB2312" w:cs="仿宋_GB2312"/>
          <w:kern w:val="0"/>
          <w:sz w:val="32"/>
          <w:szCs w:val="32"/>
        </w:rPr>
        <w:t>0</w:t>
      </w:r>
      <w:r>
        <w:rPr>
          <w:rFonts w:hint="eastAsia" w:ascii="仿宋_GB2312" w:hAnsi="黑体" w:eastAsia="仿宋_GB2312" w:cs="仿宋_GB2312"/>
          <w:kern w:val="0"/>
          <w:sz w:val="32"/>
          <w:szCs w:val="32"/>
        </w:rPr>
        <w:t>万元</w:t>
      </w:r>
      <w:r>
        <w:rPr>
          <w:rFonts w:hint="eastAsia" w:ascii="仿宋_GB2312" w:eastAsia="仿宋_GB2312" w:cs="仿宋_GB2312"/>
          <w:kern w:val="0"/>
          <w:sz w:val="32"/>
          <w:szCs w:val="32"/>
        </w:rPr>
        <w:t>，</w:t>
      </w:r>
      <w:r>
        <w:rPr>
          <w:rFonts w:hint="eastAsia" w:ascii="仿宋_GB2312" w:hAnsi="黑体" w:eastAsia="仿宋_GB2312" w:cs="仿宋_GB2312"/>
          <w:kern w:val="0"/>
          <w:sz w:val="32"/>
          <w:szCs w:val="32"/>
        </w:rPr>
        <w:t>年初预算为21.6</w:t>
      </w:r>
      <w:r>
        <w:rPr>
          <w:rFonts w:ascii="仿宋_GB2312" w:hAnsi="黑体" w:eastAsia="仿宋_GB2312" w:cs="仿宋_GB2312"/>
          <w:kern w:val="0"/>
          <w:sz w:val="32"/>
          <w:szCs w:val="32"/>
        </w:rPr>
        <w:t>0</w:t>
      </w:r>
      <w:r>
        <w:rPr>
          <w:rFonts w:hint="eastAsia" w:ascii="仿宋_GB2312" w:hAnsi="黑体" w:eastAsia="仿宋_GB2312" w:cs="仿宋_GB2312"/>
          <w:kern w:val="0"/>
          <w:sz w:val="32"/>
          <w:szCs w:val="32"/>
        </w:rPr>
        <w:t>万元，完成年初预算的</w:t>
      </w:r>
      <w:r>
        <w:rPr>
          <w:rFonts w:ascii="仿宋_GB2312" w:hAnsi="黑体" w:eastAsia="仿宋_GB2312" w:cs="仿宋_GB2312"/>
          <w:kern w:val="0"/>
          <w:sz w:val="32"/>
          <w:szCs w:val="32"/>
        </w:rPr>
        <w:t>96.76</w:t>
      </w:r>
      <w:r>
        <w:rPr>
          <w:rFonts w:hint="eastAsia" w:ascii="仿宋_GB2312" w:hAnsi="黑体" w:eastAsia="仿宋_GB2312" w:cs="仿宋_GB2312"/>
          <w:kern w:val="0"/>
          <w:sz w:val="32"/>
          <w:szCs w:val="32"/>
        </w:rPr>
        <w:t>%。该支出</w:t>
      </w:r>
      <w:r>
        <w:rPr>
          <w:rFonts w:hint="eastAsia" w:ascii="仿宋_GB2312" w:eastAsia="仿宋_GB2312" w:cs="仿宋_GB2312"/>
          <w:kern w:val="0"/>
          <w:sz w:val="32"/>
          <w:szCs w:val="32"/>
        </w:rPr>
        <w:t>主要用于</w:t>
      </w:r>
      <w:r>
        <w:rPr>
          <w:rFonts w:hint="eastAsia" w:ascii="仿宋_GB2312" w:eastAsia="仿宋_GB2312"/>
          <w:bCs/>
          <w:kern w:val="0"/>
          <w:sz w:val="32"/>
          <w:szCs w:val="32"/>
        </w:rPr>
        <w:t>退休人员去世产生的遗属生活困难补助</w:t>
      </w:r>
      <w:r>
        <w:rPr>
          <w:rFonts w:hint="eastAsia" w:ascii="仿宋_GB2312" w:hAnsi="黑体" w:eastAsia="仿宋_GB2312"/>
          <w:kern w:val="0"/>
          <w:sz w:val="32"/>
          <w:szCs w:val="32"/>
        </w:rPr>
        <w:t>支出。</w:t>
      </w:r>
    </w:p>
    <w:p>
      <w:pPr>
        <w:autoSpaceDE w:val="0"/>
        <w:autoSpaceDN w:val="0"/>
        <w:adjustRightInd w:val="0"/>
        <w:spacing w:line="560" w:lineRule="exact"/>
        <w:ind w:firstLine="640" w:firstLineChars="200"/>
        <w:jc w:val="left"/>
        <w:rPr>
          <w:rFonts w:ascii="仿宋_GB2312" w:eastAsia="仿宋_GB2312"/>
          <w:bCs/>
          <w:kern w:val="0"/>
          <w:sz w:val="32"/>
          <w:szCs w:val="32"/>
        </w:rPr>
      </w:pPr>
      <w:r>
        <w:rPr>
          <w:rFonts w:hint="eastAsia" w:ascii="仿宋_GB2312" w:eastAsia="仿宋_GB2312" w:cs="仿宋_GB2312"/>
          <w:kern w:val="0"/>
          <w:sz w:val="32"/>
          <w:szCs w:val="32"/>
        </w:rPr>
        <w:t>（四）社会保障和就业支出（类）抚恤（款）死亡抚恤（项）支出决算为</w:t>
      </w:r>
      <w:r>
        <w:rPr>
          <w:rFonts w:ascii="仿宋_GB2312" w:eastAsia="仿宋_GB2312" w:cs="仿宋_GB2312"/>
          <w:kern w:val="0"/>
          <w:sz w:val="32"/>
          <w:szCs w:val="32"/>
        </w:rPr>
        <w:t>21.80</w:t>
      </w:r>
      <w:r>
        <w:rPr>
          <w:rFonts w:hint="eastAsia" w:ascii="仿宋_GB2312" w:hAnsi="黑体" w:eastAsia="仿宋_GB2312" w:cs="仿宋_GB2312"/>
          <w:kern w:val="0"/>
          <w:sz w:val="32"/>
          <w:szCs w:val="32"/>
        </w:rPr>
        <w:t>万元</w:t>
      </w:r>
      <w:r>
        <w:rPr>
          <w:rFonts w:hint="eastAsia" w:ascii="仿宋_GB2312" w:eastAsia="仿宋_GB2312" w:cs="仿宋_GB2312"/>
          <w:kern w:val="0"/>
          <w:sz w:val="32"/>
          <w:szCs w:val="32"/>
        </w:rPr>
        <w:t>，</w:t>
      </w:r>
      <w:r>
        <w:rPr>
          <w:rFonts w:hint="eastAsia" w:ascii="仿宋_GB2312" w:hAnsi="黑体" w:eastAsia="仿宋_GB2312" w:cs="仿宋_GB2312"/>
          <w:kern w:val="0"/>
          <w:sz w:val="32"/>
          <w:szCs w:val="32"/>
        </w:rPr>
        <w:t>年初预算为0万元，完成本年预算的100%。该支出</w:t>
      </w:r>
      <w:r>
        <w:rPr>
          <w:rFonts w:hint="eastAsia" w:ascii="仿宋_GB2312" w:eastAsia="仿宋_GB2312" w:cs="仿宋_GB2312"/>
          <w:kern w:val="0"/>
          <w:sz w:val="32"/>
          <w:szCs w:val="32"/>
        </w:rPr>
        <w:t>主要用于</w:t>
      </w:r>
      <w:r>
        <w:rPr>
          <w:rFonts w:hint="eastAsia" w:ascii="仿宋_GB2312" w:eastAsia="仿宋_GB2312"/>
          <w:bCs/>
          <w:kern w:val="0"/>
          <w:sz w:val="32"/>
          <w:szCs w:val="32"/>
        </w:rPr>
        <w:t>退休人员的抚恤金支出。</w:t>
      </w:r>
    </w:p>
    <w:p>
      <w:pPr>
        <w:autoSpaceDE w:val="0"/>
        <w:autoSpaceDN w:val="0"/>
        <w:adjustRightInd w:val="0"/>
        <w:spacing w:line="560" w:lineRule="exact"/>
        <w:jc w:val="left"/>
        <w:rPr>
          <w:rFonts w:hint="eastAsia" w:ascii="仿宋_GB2312" w:eastAsia="仿宋_GB2312"/>
          <w:bCs/>
          <w:kern w:val="0"/>
          <w:sz w:val="32"/>
          <w:szCs w:val="32"/>
        </w:rPr>
      </w:pPr>
    </w:p>
    <w:p>
      <w:pPr>
        <w:autoSpaceDE w:val="0"/>
        <w:autoSpaceDN w:val="0"/>
        <w:adjustRightInd w:val="0"/>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三、2021年度一般公共预算财政拨款基本支出决算情况说明</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2021年度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公共预算财政拨款基本支出119.11万元，支出具体情况如下：</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cs="仿宋_GB2312"/>
          <w:kern w:val="0"/>
          <w:sz w:val="32"/>
          <w:szCs w:val="32"/>
        </w:rPr>
        <w:t>对个人和家庭的补助支出决算</w:t>
      </w:r>
      <w:r>
        <w:rPr>
          <w:rFonts w:hint="eastAsia" w:ascii="仿宋_GB2312" w:eastAsia="仿宋_GB2312"/>
          <w:bCs/>
          <w:kern w:val="0"/>
          <w:sz w:val="32"/>
          <w:szCs w:val="32"/>
        </w:rPr>
        <w:t>119.11</w:t>
      </w:r>
      <w:r>
        <w:rPr>
          <w:rFonts w:hint="eastAsia" w:ascii="仿宋_GB2312" w:eastAsia="仿宋_GB2312" w:cs="仿宋_GB2312"/>
          <w:kern w:val="0"/>
          <w:sz w:val="32"/>
          <w:szCs w:val="32"/>
        </w:rPr>
        <w:t>万元，年初预算</w:t>
      </w:r>
      <w:r>
        <w:rPr>
          <w:rFonts w:hint="eastAsia" w:ascii="仿宋_GB2312" w:eastAsia="仿宋_GB2312"/>
          <w:bCs/>
          <w:kern w:val="0"/>
          <w:sz w:val="32"/>
          <w:szCs w:val="32"/>
        </w:rPr>
        <w:t>99.62</w:t>
      </w:r>
      <w:r>
        <w:rPr>
          <w:rFonts w:hint="eastAsia" w:ascii="仿宋_GB2312" w:eastAsia="仿宋_GB2312" w:cs="仿宋_GB2312"/>
          <w:kern w:val="0"/>
          <w:sz w:val="32"/>
          <w:szCs w:val="32"/>
        </w:rPr>
        <w:t>万元，完成本年预算的</w:t>
      </w:r>
      <w:r>
        <w:rPr>
          <w:rFonts w:hint="eastAsia" w:ascii="仿宋_GB2312" w:eastAsia="仿宋_GB2312"/>
          <w:bCs/>
          <w:kern w:val="0"/>
          <w:sz w:val="32"/>
          <w:szCs w:val="32"/>
        </w:rPr>
        <w:t>119.56%</w:t>
      </w:r>
      <w:r>
        <w:rPr>
          <w:rFonts w:hint="eastAsia" w:ascii="仿宋_GB2312" w:eastAsia="仿宋_GB2312" w:cs="仿宋_GB2312"/>
          <w:kern w:val="0"/>
          <w:sz w:val="32"/>
          <w:szCs w:val="32"/>
        </w:rPr>
        <w:t>。决算数大于预算数的主要原因是追加退休人员去世产生的抚恤金</w:t>
      </w:r>
      <w:r>
        <w:rPr>
          <w:rFonts w:ascii="仿宋_GB2312" w:eastAsia="仿宋_GB2312" w:cs="仿宋_GB2312"/>
          <w:kern w:val="0"/>
          <w:sz w:val="32"/>
          <w:szCs w:val="32"/>
        </w:rPr>
        <w:t>21.54</w:t>
      </w:r>
      <w:r>
        <w:rPr>
          <w:rFonts w:hint="eastAsia" w:ascii="仿宋_GB2312" w:eastAsia="仿宋_GB2312" w:cs="仿宋_GB2312"/>
          <w:kern w:val="0"/>
          <w:sz w:val="32"/>
          <w:szCs w:val="32"/>
        </w:rPr>
        <w:t>万元。主要用于离休人员的离休费支出、退休人员的抚恤金等。主要包括：</w:t>
      </w:r>
    </w:p>
    <w:p>
      <w:pPr>
        <w:autoSpaceDE w:val="0"/>
        <w:autoSpaceDN w:val="0"/>
        <w:adjustRightInd w:val="0"/>
        <w:spacing w:line="560" w:lineRule="exact"/>
        <w:ind w:firstLine="627" w:firstLineChars="196"/>
        <w:rPr>
          <w:rFonts w:ascii="仿宋_GB2312" w:eastAsia="仿宋_GB2312" w:cs="仿宋_GB2312"/>
          <w:color w:val="FF0000"/>
          <w:kern w:val="0"/>
          <w:sz w:val="32"/>
          <w:szCs w:val="32"/>
        </w:rPr>
      </w:pPr>
      <w:r>
        <w:rPr>
          <w:rFonts w:hint="eastAsia" w:ascii="仿宋_GB2312" w:eastAsia="仿宋_GB2312" w:cs="仿宋_GB2312"/>
          <w:kern w:val="0"/>
          <w:sz w:val="32"/>
          <w:szCs w:val="32"/>
        </w:rPr>
        <w:t>（一）离休费支出决算</w:t>
      </w:r>
      <w:r>
        <w:rPr>
          <w:rFonts w:ascii="仿宋_GB2312" w:eastAsia="仿宋_GB2312" w:cs="仿宋_GB2312"/>
          <w:kern w:val="0"/>
          <w:sz w:val="32"/>
          <w:szCs w:val="32"/>
        </w:rPr>
        <w:t>27.54</w:t>
      </w:r>
      <w:r>
        <w:rPr>
          <w:rFonts w:hint="eastAsia" w:ascii="仿宋_GB2312" w:eastAsia="仿宋_GB2312" w:cs="仿宋_GB2312"/>
          <w:kern w:val="0"/>
          <w:sz w:val="32"/>
          <w:szCs w:val="32"/>
        </w:rPr>
        <w:t>万元，年初预算</w:t>
      </w:r>
      <w:r>
        <w:rPr>
          <w:rFonts w:ascii="仿宋_GB2312" w:eastAsia="仿宋_GB2312" w:cs="仿宋_GB2312"/>
          <w:kern w:val="0"/>
          <w:sz w:val="32"/>
          <w:szCs w:val="32"/>
        </w:rPr>
        <w:t>27.54</w:t>
      </w:r>
      <w:r>
        <w:rPr>
          <w:rFonts w:hint="eastAsia" w:ascii="仿宋_GB2312" w:eastAsia="仿宋_GB2312" w:cs="仿宋_GB2312"/>
          <w:kern w:val="0"/>
          <w:sz w:val="32"/>
          <w:szCs w:val="32"/>
        </w:rPr>
        <w:t>万元，完成本年预算的</w:t>
      </w:r>
      <w:r>
        <w:rPr>
          <w:rFonts w:ascii="仿宋_GB2312" w:eastAsia="仿宋_GB2312" w:cs="仿宋_GB2312"/>
          <w:kern w:val="0"/>
          <w:sz w:val="32"/>
          <w:szCs w:val="32"/>
        </w:rPr>
        <w:t>100</w:t>
      </w:r>
      <w:r>
        <w:rPr>
          <w:rFonts w:hint="eastAsia" w:ascii="仿宋_GB2312" w:eastAsia="仿宋_GB2312" w:cs="仿宋_GB2312"/>
          <w:kern w:val="0"/>
          <w:sz w:val="32"/>
          <w:szCs w:val="32"/>
        </w:rPr>
        <w:t>%。主要用于离休人员的离休费支出。</w:t>
      </w:r>
    </w:p>
    <w:p>
      <w:pPr>
        <w:autoSpaceDE w:val="0"/>
        <w:autoSpaceDN w:val="0"/>
        <w:adjustRightInd w:val="0"/>
        <w:spacing w:line="560" w:lineRule="exact"/>
        <w:ind w:firstLine="627" w:firstLineChars="196"/>
        <w:rPr>
          <w:rFonts w:ascii="仿宋_GB2312" w:eastAsia="仿宋_GB2312" w:cs="仿宋_GB2312"/>
          <w:color w:val="FF0000"/>
          <w:kern w:val="0"/>
          <w:sz w:val="32"/>
          <w:szCs w:val="32"/>
        </w:rPr>
      </w:pPr>
      <w:r>
        <w:rPr>
          <w:rFonts w:hint="eastAsia" w:ascii="仿宋_GB2312" w:eastAsia="仿宋_GB2312" w:cs="仿宋_GB2312"/>
          <w:kern w:val="0"/>
          <w:sz w:val="32"/>
          <w:szCs w:val="32"/>
        </w:rPr>
        <w:t>（二）退休费支出决算</w:t>
      </w:r>
      <w:r>
        <w:rPr>
          <w:rFonts w:ascii="仿宋_GB2312" w:eastAsia="仿宋_GB2312" w:cs="仿宋_GB2312"/>
          <w:kern w:val="0"/>
          <w:sz w:val="32"/>
          <w:szCs w:val="32"/>
        </w:rPr>
        <w:t>70.03</w:t>
      </w:r>
      <w:r>
        <w:rPr>
          <w:rFonts w:hint="eastAsia" w:ascii="仿宋_GB2312" w:eastAsia="仿宋_GB2312" w:cs="仿宋_GB2312"/>
          <w:kern w:val="0"/>
          <w:sz w:val="32"/>
          <w:szCs w:val="32"/>
        </w:rPr>
        <w:t>万元，年初预算</w:t>
      </w:r>
      <w:r>
        <w:rPr>
          <w:rFonts w:ascii="仿宋_GB2312" w:eastAsia="仿宋_GB2312" w:cs="仿宋_GB2312"/>
          <w:kern w:val="0"/>
          <w:sz w:val="32"/>
          <w:szCs w:val="32"/>
        </w:rPr>
        <w:t>72.08</w:t>
      </w:r>
      <w:r>
        <w:rPr>
          <w:rFonts w:hint="eastAsia" w:ascii="仿宋_GB2312" w:eastAsia="仿宋_GB2312" w:cs="仿宋_GB2312"/>
          <w:kern w:val="0"/>
          <w:sz w:val="32"/>
          <w:szCs w:val="32"/>
        </w:rPr>
        <w:t>万元，完成本年预算的</w:t>
      </w:r>
      <w:r>
        <w:rPr>
          <w:rFonts w:ascii="仿宋_GB2312" w:eastAsia="仿宋_GB2312" w:cs="仿宋_GB2312"/>
          <w:kern w:val="0"/>
          <w:sz w:val="32"/>
          <w:szCs w:val="32"/>
        </w:rPr>
        <w:t>97.16</w:t>
      </w:r>
      <w:r>
        <w:rPr>
          <w:rFonts w:hint="eastAsia" w:ascii="仿宋_GB2312" w:eastAsia="仿宋_GB2312" w:cs="仿宋_GB2312"/>
          <w:kern w:val="0"/>
          <w:sz w:val="32"/>
          <w:szCs w:val="32"/>
        </w:rPr>
        <w:t>%。主要用于离休人员的退休费支出。</w:t>
      </w:r>
    </w:p>
    <w:p>
      <w:pPr>
        <w:autoSpaceDE w:val="0"/>
        <w:autoSpaceDN w:val="0"/>
        <w:adjustRightInd w:val="0"/>
        <w:spacing w:line="560" w:lineRule="exact"/>
        <w:ind w:firstLine="627" w:firstLineChars="196"/>
        <w:rPr>
          <w:rFonts w:ascii="仿宋_GB2312" w:eastAsia="仿宋_GB2312" w:cs="仿宋_GB2312"/>
          <w:kern w:val="0"/>
          <w:sz w:val="32"/>
          <w:szCs w:val="32"/>
        </w:rPr>
      </w:pPr>
      <w:r>
        <w:rPr>
          <w:rFonts w:hint="eastAsia" w:ascii="仿宋_GB2312" w:eastAsia="仿宋_GB2312" w:cs="仿宋_GB2312"/>
          <w:kern w:val="0"/>
          <w:sz w:val="32"/>
          <w:szCs w:val="32"/>
        </w:rPr>
        <w:t>（三）抚恤金支出决算</w:t>
      </w:r>
      <w:r>
        <w:rPr>
          <w:rFonts w:ascii="仿宋_GB2312" w:eastAsia="仿宋_GB2312" w:cs="仿宋_GB2312"/>
          <w:kern w:val="0"/>
          <w:sz w:val="32"/>
          <w:szCs w:val="32"/>
        </w:rPr>
        <w:t>21.54</w:t>
      </w:r>
      <w:r>
        <w:rPr>
          <w:rFonts w:hint="eastAsia" w:ascii="仿宋_GB2312" w:eastAsia="仿宋_GB2312" w:cs="仿宋_GB2312"/>
          <w:kern w:val="0"/>
          <w:sz w:val="32"/>
          <w:szCs w:val="32"/>
        </w:rPr>
        <w:t>万元，年初预算0万元，完成本年预算的100%。决算数大于预算数的主要原因是追加退休人员去世产生的抚恤金</w:t>
      </w:r>
      <w:r>
        <w:rPr>
          <w:rFonts w:ascii="仿宋_GB2312" w:eastAsia="仿宋_GB2312" w:cs="仿宋_GB2312"/>
          <w:kern w:val="0"/>
          <w:sz w:val="32"/>
          <w:szCs w:val="32"/>
        </w:rPr>
        <w:t>21.54</w:t>
      </w:r>
      <w:r>
        <w:rPr>
          <w:rFonts w:hint="eastAsia" w:ascii="仿宋_GB2312" w:eastAsia="仿宋_GB2312" w:cs="仿宋_GB2312"/>
          <w:kern w:val="0"/>
          <w:sz w:val="32"/>
          <w:szCs w:val="32"/>
        </w:rPr>
        <w:t>万元。主要用于退休人员的抚恤金支出。</w:t>
      </w:r>
    </w:p>
    <w:p>
      <w:pPr>
        <w:autoSpaceDE w:val="0"/>
        <w:autoSpaceDN w:val="0"/>
        <w:adjustRightInd w:val="0"/>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四、2021年度政府性基金支出决算情况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eastAsia="仿宋_GB2312"/>
          <w:kern w:val="0"/>
          <w:sz w:val="32"/>
          <w:szCs w:val="32"/>
        </w:rPr>
        <w:t>2021</w:t>
      </w:r>
      <w:r>
        <w:rPr>
          <w:rFonts w:hint="eastAsia" w:ascii="仿宋_GB2312" w:eastAsia="仿宋_GB2312" w:cs="仿宋_GB2312"/>
          <w:kern w:val="0"/>
          <w:sz w:val="32"/>
          <w:szCs w:val="32"/>
        </w:rPr>
        <w:t>年度政府性基金支出</w:t>
      </w:r>
      <w:r>
        <w:rPr>
          <w:rFonts w:hint="eastAsia" w:ascii="仿宋_GB2312" w:eastAsia="仿宋_GB2312"/>
          <w:kern w:val="0"/>
          <w:sz w:val="32"/>
          <w:szCs w:val="32"/>
        </w:rPr>
        <w:t xml:space="preserve"> </w:t>
      </w:r>
      <w:r>
        <w:rPr>
          <w:rFonts w:hint="eastAsia" w:ascii="仿宋_GB2312" w:eastAsia="仿宋_GB2312" w:cs="仿宋_GB2312"/>
          <w:kern w:val="0"/>
          <w:sz w:val="32"/>
          <w:szCs w:val="32"/>
        </w:rPr>
        <w:t>0 万元，</w:t>
      </w:r>
      <w:r>
        <w:rPr>
          <w:rFonts w:hint="eastAsia" w:ascii="仿宋_GB2312" w:hAnsi="黑体" w:eastAsia="仿宋_GB2312" w:cs="仿宋_GB2312"/>
          <w:kern w:val="0"/>
          <w:sz w:val="32"/>
          <w:szCs w:val="32"/>
        </w:rPr>
        <w:t>较2020年度决算数增加（减</w:t>
      </w:r>
      <w:r>
        <w:rPr>
          <w:rFonts w:hint="eastAsia" w:ascii="仿宋_GB2312" w:eastAsia="仿宋_GB2312" w:cs="仿宋_GB2312"/>
          <w:kern w:val="0"/>
          <w:sz w:val="32"/>
          <w:szCs w:val="32"/>
        </w:rPr>
        <w:t>少） 0 万元，增长（下降）0  %。其中：基本支出 0 万元，项目支出 0 万元。</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hAnsi="黑体" w:eastAsia="仿宋_GB2312"/>
          <w:kern w:val="0"/>
          <w:sz w:val="32"/>
          <w:szCs w:val="32"/>
        </w:rPr>
        <w:t>2021</w:t>
      </w:r>
      <w:r>
        <w:rPr>
          <w:rFonts w:hint="eastAsia" w:ascii="仿宋_GB2312" w:hAnsi="黑体" w:eastAsia="仿宋_GB2312" w:cs="仿宋_GB2312"/>
          <w:kern w:val="0"/>
          <w:sz w:val="32"/>
          <w:szCs w:val="32"/>
        </w:rPr>
        <w:t>年度政府性基金支出年初预算为 0 万元，支出决算为 0 万元，完成年初预算的 0 %。</w:t>
      </w:r>
    </w:p>
    <w:p>
      <w:pPr>
        <w:autoSpaceDE w:val="0"/>
        <w:autoSpaceDN w:val="0"/>
        <w:adjustRightInd w:val="0"/>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五、2021年度国有资本经营预算支出决算情况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eastAsia="仿宋_GB2312"/>
          <w:kern w:val="0"/>
          <w:sz w:val="32"/>
          <w:szCs w:val="32"/>
        </w:rPr>
        <w:t>2021</w:t>
      </w:r>
      <w:r>
        <w:rPr>
          <w:rFonts w:hint="eastAsia" w:ascii="仿宋_GB2312" w:eastAsia="仿宋_GB2312" w:cs="仿宋_GB2312"/>
          <w:kern w:val="0"/>
          <w:sz w:val="32"/>
          <w:szCs w:val="32"/>
        </w:rPr>
        <w:t>年度国有资本经营预算支出</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万元，项目支出</w:t>
      </w:r>
      <w:r>
        <w:rPr>
          <w:rFonts w:hint="eastAsia" w:ascii="仿宋_GB2312" w:eastAsia="仿宋_GB2312"/>
          <w:kern w:val="0"/>
          <w:sz w:val="32"/>
          <w:szCs w:val="32"/>
        </w:rPr>
        <w:t xml:space="preserve"> 0 </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hAnsi="黑体" w:eastAsia="仿宋_GB2312"/>
          <w:kern w:val="0"/>
          <w:sz w:val="32"/>
          <w:szCs w:val="32"/>
        </w:rPr>
        <w:t>2021</w:t>
      </w:r>
      <w:r>
        <w:rPr>
          <w:rFonts w:hint="eastAsia" w:ascii="仿宋_GB2312" w:hAnsi="黑体" w:eastAsia="仿宋_GB2312" w:cs="仿宋_GB2312"/>
          <w:kern w:val="0"/>
          <w:sz w:val="32"/>
          <w:szCs w:val="32"/>
        </w:rPr>
        <w:t>年度</w:t>
      </w:r>
      <w:r>
        <w:rPr>
          <w:rFonts w:hint="eastAsia" w:ascii="仿宋_GB2312" w:eastAsia="仿宋_GB2312" w:cs="仿宋_GB2312"/>
          <w:kern w:val="0"/>
          <w:sz w:val="32"/>
          <w:szCs w:val="32"/>
        </w:rPr>
        <w:t>国有资本经营预算</w:t>
      </w:r>
      <w:r>
        <w:rPr>
          <w:rFonts w:hint="eastAsia" w:ascii="仿宋_GB2312" w:hAnsi="黑体" w:eastAsia="仿宋_GB2312" w:cs="仿宋_GB2312"/>
          <w:kern w:val="0"/>
          <w:sz w:val="32"/>
          <w:szCs w:val="32"/>
        </w:rPr>
        <w:t>支出年初预算为 0 万元，支出决算为 0 万元，完成年初预算的 0  %。</w:t>
      </w:r>
    </w:p>
    <w:p>
      <w:pPr>
        <w:autoSpaceDE w:val="0"/>
        <w:autoSpaceDN w:val="0"/>
        <w:adjustRightInd w:val="0"/>
        <w:spacing w:line="56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rPr>
          <w:rFonts w:ascii="黑体" w:hAnsi="黑体" w:eastAsia="黑体" w:cs="仿宋_GB2312"/>
          <w:kern w:val="0"/>
          <w:sz w:val="32"/>
          <w:szCs w:val="32"/>
        </w:rPr>
      </w:pPr>
      <w:r>
        <w:rPr>
          <w:rFonts w:hint="eastAsia" w:ascii="仿宋_GB2312" w:eastAsia="仿宋_GB2312" w:cs="仿宋_GB2312"/>
          <w:kern w:val="0"/>
          <w:sz w:val="32"/>
          <w:szCs w:val="32"/>
        </w:rPr>
        <w:t>本部门无三公”经费支出。因我公司为转制院所，仅编制老人老办法离退休人员补助经费，2021年度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 0 万元，完成年初预算的 0 %，比年增减（减少） 0 万元。其中：因公出国（境）费支出决算 0 万元，公务用车购置及运行费支出决算 0 万元，公务接待费支出决算 0 万元。与上年持平。</w:t>
      </w:r>
    </w:p>
    <w:p>
      <w:pPr>
        <w:autoSpaceDE w:val="0"/>
        <w:autoSpaceDN w:val="0"/>
        <w:adjustRightInd w:val="0"/>
        <w:spacing w:line="560" w:lineRule="exact"/>
        <w:ind w:firstLine="627" w:firstLineChars="196"/>
        <w:rPr>
          <w:rFonts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rPr>
          <w:rFonts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rPr>
          <w:rFonts w:ascii="仿宋_GB2312" w:eastAsia="仿宋_GB2312" w:cs="仿宋_GB2312"/>
          <w:b/>
          <w:kern w:val="0"/>
          <w:sz w:val="32"/>
          <w:szCs w:val="32"/>
        </w:rPr>
      </w:pPr>
      <w:r>
        <w:rPr>
          <w:rFonts w:hint="eastAsia" w:ascii="仿宋_GB2312" w:eastAsia="仿宋_GB2312" w:cs="仿宋_GB2312"/>
          <w:kern w:val="0"/>
          <w:sz w:val="32"/>
          <w:szCs w:val="32"/>
        </w:rPr>
        <w:t>本部门无机关运行经费支出。本部门2021年度机关运行经费支出 0 万元（与部门决算中行政单位和参照公务员法管理事业单位一般公共预算财政拨款基本支出中公用经费之和保持一致），比年初预算数增加（减少） 0 万元，增长（降低） 0 %。比2020年增加（减少）0  万元，增长（降低）0 %。</w:t>
      </w:r>
    </w:p>
    <w:p>
      <w:pPr>
        <w:autoSpaceDE w:val="0"/>
        <w:autoSpaceDN w:val="0"/>
        <w:adjustRightInd w:val="0"/>
        <w:spacing w:line="560" w:lineRule="exact"/>
        <w:ind w:firstLine="640" w:firstLineChars="200"/>
        <w:rPr>
          <w:rFonts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hAnsi="黑体" w:eastAsia="仿宋_GB2312"/>
          <w:bCs/>
          <w:sz w:val="32"/>
          <w:szCs w:val="32"/>
        </w:rPr>
        <w:t>本部门无政府采购支出。本部门2021年度政府采购支出总额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w:t>
      </w:r>
    </w:p>
    <w:p>
      <w:pPr>
        <w:autoSpaceDE w:val="0"/>
        <w:autoSpaceDN w:val="0"/>
        <w:adjustRightInd w:val="0"/>
        <w:spacing w:line="560" w:lineRule="exact"/>
        <w:ind w:firstLine="640" w:firstLineChars="200"/>
        <w:rPr>
          <w:rFonts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rPr>
          <w:rFonts w:ascii="仿宋_GB2312" w:hAnsi="黑体" w:eastAsia="仿宋_GB2312"/>
          <w:bCs/>
          <w:color w:val="000000"/>
          <w:sz w:val="32"/>
          <w:szCs w:val="32"/>
        </w:rPr>
      </w:pPr>
      <w:r>
        <w:rPr>
          <w:rFonts w:hint="eastAsia" w:ascii="仿宋_GB2312" w:eastAsia="仿宋_GB2312" w:cs="仿宋_GB2312"/>
          <w:kern w:val="0"/>
          <w:sz w:val="32"/>
          <w:szCs w:val="32"/>
        </w:rPr>
        <w:t>本部</w:t>
      </w:r>
      <w:r>
        <w:rPr>
          <w:rFonts w:hint="eastAsia" w:ascii="仿宋" w:hAnsi="仿宋" w:eastAsia="仿宋" w:cs="仿宋"/>
          <w:kern w:val="0"/>
          <w:sz w:val="32"/>
          <w:szCs w:val="32"/>
        </w:rPr>
        <w:t>门无国有资产。截至2021年12月31日，本部门共有车辆 0 辆，其中：</w:t>
      </w:r>
      <w:r>
        <w:rPr>
          <w:rFonts w:hint="eastAsia" w:ascii="仿宋_GB2312" w:eastAsia="仿宋_GB2312" w:cs="仿宋_GB2312"/>
          <w:kern w:val="0"/>
          <w:sz w:val="32"/>
          <w:szCs w:val="32"/>
        </w:rPr>
        <w:t>副部（省）级领导干部用车 0 辆、机要通信用车 0 辆、应急保障用车 0 辆、执法执勤用车 0 辆、特种专业技术用车0 辆、其他用车 0 辆；单位价值50万元以上通用设备 0 台（套）；单位价值100万元以上专用设备 0 台（套）。</w:t>
      </w:r>
    </w:p>
    <w:p>
      <w:pPr>
        <w:autoSpaceDE w:val="0"/>
        <w:autoSpaceDN w:val="0"/>
        <w:adjustRightInd w:val="0"/>
        <w:spacing w:line="560" w:lineRule="exact"/>
        <w:ind w:firstLine="640" w:firstLineChars="200"/>
        <w:rPr>
          <w:rFonts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本部门未开展预算绩效管理工作。</w:t>
      </w:r>
    </w:p>
    <w:p>
      <w:pPr>
        <w:autoSpaceDE w:val="0"/>
        <w:autoSpaceDN w:val="0"/>
        <w:adjustRightInd w:val="0"/>
        <w:spacing w:line="560" w:lineRule="exact"/>
        <w:ind w:firstLine="640" w:firstLineChars="200"/>
        <w:rPr>
          <w:rFonts w:ascii="仿宋_GB2312" w:eastAsia="仿宋_GB2312" w:cs="仿宋_GB2312"/>
          <w:b/>
          <w:kern w:val="0"/>
          <w:sz w:val="32"/>
          <w:szCs w:val="32"/>
        </w:rPr>
      </w:pPr>
      <w:r>
        <w:rPr>
          <w:rFonts w:hint="eastAsia" w:ascii="仿宋_GB2312" w:eastAsia="仿宋_GB2312" w:cs="仿宋_GB2312"/>
          <w:kern w:val="0"/>
          <w:sz w:val="32"/>
          <w:szCs w:val="32"/>
        </w:rPr>
        <w:t>2.本部门未开展部门决算绩效自评。</w:t>
      </w: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仿宋_GB2312" w:eastAsia="仿宋_GB2312" w:cs="仿宋_GB2312"/>
          <w:b/>
          <w:kern w:val="0"/>
          <w:sz w:val="32"/>
          <w:szCs w:val="32"/>
        </w:rPr>
      </w:pPr>
    </w:p>
    <w:p>
      <w:pPr>
        <w:autoSpaceDE w:val="0"/>
        <w:autoSpaceDN w:val="0"/>
        <w:adjustRightInd w:val="0"/>
        <w:spacing w:line="560" w:lineRule="exact"/>
        <w:rPr>
          <w:rFonts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ind w:firstLine="640"/>
        <w:rPr>
          <w:rFonts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ascii="黑体" w:hAnsi="黑体" w:eastAsia="黑体" w:cs="仿宋_GB2312"/>
          <w:kern w:val="0"/>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firstLineChars="1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F1A82"/>
    <w:multiLevelType w:val="singleLevel"/>
    <w:tmpl w:val="9C6F1A82"/>
    <w:lvl w:ilvl="0" w:tentative="0">
      <w:start w:val="1"/>
      <w:numFmt w:val="chineseCounting"/>
      <w:suff w:val="nothing"/>
      <w:lvlText w:val="（%1）"/>
      <w:lvlJc w:val="left"/>
      <w:rPr>
        <w:rFonts w:hint="eastAsia"/>
      </w:rPr>
    </w:lvl>
  </w:abstractNum>
  <w:abstractNum w:abstractNumId="1">
    <w:nsid w:val="3C6896D9"/>
    <w:multiLevelType w:val="singleLevel"/>
    <w:tmpl w:val="3C6896D9"/>
    <w:lvl w:ilvl="0" w:tentative="0">
      <w:start w:val="1"/>
      <w:numFmt w:val="chineseCounting"/>
      <w:suff w:val="nothing"/>
      <w:lvlText w:val="%1、"/>
      <w:lvlJc w:val="left"/>
      <w:rPr>
        <w:rFonts w:hint="eastAsia"/>
      </w:rPr>
    </w:lvl>
  </w:abstractNum>
  <w:abstractNum w:abstractNumId="2">
    <w:nsid w:val="51B5EA48"/>
    <w:multiLevelType w:val="singleLevel"/>
    <w:tmpl w:val="51B5EA48"/>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yNzkwZDI1YmI3MWNlZGE3NmFlNTViYzQyMGQ1M2IifQ=="/>
  </w:docVars>
  <w:rsids>
    <w:rsidRoot w:val="0044603A"/>
    <w:rsid w:val="00000C19"/>
    <w:rsid w:val="000025D7"/>
    <w:rsid w:val="000029C9"/>
    <w:rsid w:val="000103DA"/>
    <w:rsid w:val="00011970"/>
    <w:rsid w:val="00012A72"/>
    <w:rsid w:val="000132BE"/>
    <w:rsid w:val="0001353E"/>
    <w:rsid w:val="00014B7F"/>
    <w:rsid w:val="000157A9"/>
    <w:rsid w:val="00017F54"/>
    <w:rsid w:val="000206F8"/>
    <w:rsid w:val="0002142A"/>
    <w:rsid w:val="000222ED"/>
    <w:rsid w:val="000275C8"/>
    <w:rsid w:val="00030D95"/>
    <w:rsid w:val="00032D5F"/>
    <w:rsid w:val="000373C3"/>
    <w:rsid w:val="0004145E"/>
    <w:rsid w:val="000441F7"/>
    <w:rsid w:val="00046498"/>
    <w:rsid w:val="0004689D"/>
    <w:rsid w:val="00050F20"/>
    <w:rsid w:val="000534BF"/>
    <w:rsid w:val="00053DFF"/>
    <w:rsid w:val="000624C1"/>
    <w:rsid w:val="00062651"/>
    <w:rsid w:val="00075941"/>
    <w:rsid w:val="000772EB"/>
    <w:rsid w:val="0008469B"/>
    <w:rsid w:val="00084D65"/>
    <w:rsid w:val="00084D7B"/>
    <w:rsid w:val="000855C8"/>
    <w:rsid w:val="00086800"/>
    <w:rsid w:val="00087056"/>
    <w:rsid w:val="00090B5D"/>
    <w:rsid w:val="000910E5"/>
    <w:rsid w:val="0009172A"/>
    <w:rsid w:val="00091768"/>
    <w:rsid w:val="00094416"/>
    <w:rsid w:val="00094BD1"/>
    <w:rsid w:val="0009684C"/>
    <w:rsid w:val="00096F23"/>
    <w:rsid w:val="0009722B"/>
    <w:rsid w:val="000A2AB8"/>
    <w:rsid w:val="000A6054"/>
    <w:rsid w:val="000A6C6F"/>
    <w:rsid w:val="000B28CB"/>
    <w:rsid w:val="000B3150"/>
    <w:rsid w:val="000B4991"/>
    <w:rsid w:val="000B50F0"/>
    <w:rsid w:val="000B6ADF"/>
    <w:rsid w:val="000C0E3B"/>
    <w:rsid w:val="000C5BEC"/>
    <w:rsid w:val="000C63B9"/>
    <w:rsid w:val="000C6D5F"/>
    <w:rsid w:val="000C6FCB"/>
    <w:rsid w:val="000D23D3"/>
    <w:rsid w:val="000D2E1E"/>
    <w:rsid w:val="000D3F04"/>
    <w:rsid w:val="000D4FEF"/>
    <w:rsid w:val="000D59C5"/>
    <w:rsid w:val="000E0EF2"/>
    <w:rsid w:val="000E46F0"/>
    <w:rsid w:val="000E5229"/>
    <w:rsid w:val="000F1C31"/>
    <w:rsid w:val="000F2407"/>
    <w:rsid w:val="000F2C94"/>
    <w:rsid w:val="000F6708"/>
    <w:rsid w:val="000F7869"/>
    <w:rsid w:val="0010068C"/>
    <w:rsid w:val="00100FAF"/>
    <w:rsid w:val="00102D27"/>
    <w:rsid w:val="00103347"/>
    <w:rsid w:val="0010639B"/>
    <w:rsid w:val="00107921"/>
    <w:rsid w:val="001112C5"/>
    <w:rsid w:val="00112FD8"/>
    <w:rsid w:val="001142CD"/>
    <w:rsid w:val="0011491B"/>
    <w:rsid w:val="00116EA1"/>
    <w:rsid w:val="00122319"/>
    <w:rsid w:val="00123033"/>
    <w:rsid w:val="00124337"/>
    <w:rsid w:val="00124374"/>
    <w:rsid w:val="00124696"/>
    <w:rsid w:val="00127C35"/>
    <w:rsid w:val="00131E61"/>
    <w:rsid w:val="00134300"/>
    <w:rsid w:val="0014054D"/>
    <w:rsid w:val="00140B11"/>
    <w:rsid w:val="00143E79"/>
    <w:rsid w:val="001452D0"/>
    <w:rsid w:val="00146528"/>
    <w:rsid w:val="00146943"/>
    <w:rsid w:val="00146A23"/>
    <w:rsid w:val="00152434"/>
    <w:rsid w:val="00154352"/>
    <w:rsid w:val="00154359"/>
    <w:rsid w:val="00155313"/>
    <w:rsid w:val="00160A4D"/>
    <w:rsid w:val="00170279"/>
    <w:rsid w:val="001718C7"/>
    <w:rsid w:val="0017498B"/>
    <w:rsid w:val="001847E1"/>
    <w:rsid w:val="00184C71"/>
    <w:rsid w:val="00184D07"/>
    <w:rsid w:val="00185888"/>
    <w:rsid w:val="00186585"/>
    <w:rsid w:val="001865E7"/>
    <w:rsid w:val="0018764F"/>
    <w:rsid w:val="00191280"/>
    <w:rsid w:val="00194E59"/>
    <w:rsid w:val="00196A9B"/>
    <w:rsid w:val="001A0C25"/>
    <w:rsid w:val="001A1448"/>
    <w:rsid w:val="001A6FD4"/>
    <w:rsid w:val="001A7D11"/>
    <w:rsid w:val="001B0307"/>
    <w:rsid w:val="001B166A"/>
    <w:rsid w:val="001B4B53"/>
    <w:rsid w:val="001B5D25"/>
    <w:rsid w:val="001C104A"/>
    <w:rsid w:val="001C5055"/>
    <w:rsid w:val="001D0189"/>
    <w:rsid w:val="001D3D99"/>
    <w:rsid w:val="001D41AB"/>
    <w:rsid w:val="001D676E"/>
    <w:rsid w:val="001D6B9B"/>
    <w:rsid w:val="001E1E8E"/>
    <w:rsid w:val="001E263B"/>
    <w:rsid w:val="001E5C0E"/>
    <w:rsid w:val="001F5DC2"/>
    <w:rsid w:val="002018A2"/>
    <w:rsid w:val="0020576C"/>
    <w:rsid w:val="00206664"/>
    <w:rsid w:val="00207EAA"/>
    <w:rsid w:val="002109FE"/>
    <w:rsid w:val="00215D56"/>
    <w:rsid w:val="002160E7"/>
    <w:rsid w:val="002208D1"/>
    <w:rsid w:val="00220F16"/>
    <w:rsid w:val="00221229"/>
    <w:rsid w:val="00222800"/>
    <w:rsid w:val="00224936"/>
    <w:rsid w:val="00226542"/>
    <w:rsid w:val="0023172A"/>
    <w:rsid w:val="00232489"/>
    <w:rsid w:val="00237501"/>
    <w:rsid w:val="00237B04"/>
    <w:rsid w:val="00237B7A"/>
    <w:rsid w:val="00240535"/>
    <w:rsid w:val="00240953"/>
    <w:rsid w:val="002416AE"/>
    <w:rsid w:val="00241DEE"/>
    <w:rsid w:val="0024429E"/>
    <w:rsid w:val="00246C1D"/>
    <w:rsid w:val="00250261"/>
    <w:rsid w:val="002504E7"/>
    <w:rsid w:val="00251274"/>
    <w:rsid w:val="002514D7"/>
    <w:rsid w:val="0025158F"/>
    <w:rsid w:val="00251F64"/>
    <w:rsid w:val="00251FA3"/>
    <w:rsid w:val="00253683"/>
    <w:rsid w:val="0025461A"/>
    <w:rsid w:val="00256EEC"/>
    <w:rsid w:val="002603EE"/>
    <w:rsid w:val="0026094C"/>
    <w:rsid w:val="00260D24"/>
    <w:rsid w:val="002633F3"/>
    <w:rsid w:val="00266617"/>
    <w:rsid w:val="002675C3"/>
    <w:rsid w:val="00267C5B"/>
    <w:rsid w:val="00267CC9"/>
    <w:rsid w:val="00274E01"/>
    <w:rsid w:val="002752E2"/>
    <w:rsid w:val="002803AA"/>
    <w:rsid w:val="002804E0"/>
    <w:rsid w:val="00291736"/>
    <w:rsid w:val="002954D5"/>
    <w:rsid w:val="002A02D0"/>
    <w:rsid w:val="002A368F"/>
    <w:rsid w:val="002A3928"/>
    <w:rsid w:val="002A3E37"/>
    <w:rsid w:val="002A555C"/>
    <w:rsid w:val="002A6A9A"/>
    <w:rsid w:val="002B1412"/>
    <w:rsid w:val="002B2E03"/>
    <w:rsid w:val="002B6EA5"/>
    <w:rsid w:val="002C0E9F"/>
    <w:rsid w:val="002C281F"/>
    <w:rsid w:val="002C5A6A"/>
    <w:rsid w:val="002D4A30"/>
    <w:rsid w:val="002E03AA"/>
    <w:rsid w:val="002E3BED"/>
    <w:rsid w:val="002E7A82"/>
    <w:rsid w:val="002E7AB3"/>
    <w:rsid w:val="002F3061"/>
    <w:rsid w:val="002F3CF8"/>
    <w:rsid w:val="002F497A"/>
    <w:rsid w:val="002F7B1D"/>
    <w:rsid w:val="00300BB4"/>
    <w:rsid w:val="00300FD9"/>
    <w:rsid w:val="00301C94"/>
    <w:rsid w:val="00306668"/>
    <w:rsid w:val="003103DF"/>
    <w:rsid w:val="00311100"/>
    <w:rsid w:val="00311ABD"/>
    <w:rsid w:val="003122D0"/>
    <w:rsid w:val="003127B5"/>
    <w:rsid w:val="003130DD"/>
    <w:rsid w:val="0031372E"/>
    <w:rsid w:val="00315574"/>
    <w:rsid w:val="00320B55"/>
    <w:rsid w:val="003232EB"/>
    <w:rsid w:val="00323399"/>
    <w:rsid w:val="0032366E"/>
    <w:rsid w:val="00323731"/>
    <w:rsid w:val="00326265"/>
    <w:rsid w:val="00332392"/>
    <w:rsid w:val="0033707D"/>
    <w:rsid w:val="00337891"/>
    <w:rsid w:val="00341BFA"/>
    <w:rsid w:val="0034272A"/>
    <w:rsid w:val="003447DA"/>
    <w:rsid w:val="0034512A"/>
    <w:rsid w:val="00346FB4"/>
    <w:rsid w:val="003557F0"/>
    <w:rsid w:val="0036023B"/>
    <w:rsid w:val="00360F0D"/>
    <w:rsid w:val="00361A06"/>
    <w:rsid w:val="00362E12"/>
    <w:rsid w:val="00363267"/>
    <w:rsid w:val="0036427C"/>
    <w:rsid w:val="00364511"/>
    <w:rsid w:val="00365C50"/>
    <w:rsid w:val="003662F0"/>
    <w:rsid w:val="00367236"/>
    <w:rsid w:val="00370055"/>
    <w:rsid w:val="003706FD"/>
    <w:rsid w:val="00370E78"/>
    <w:rsid w:val="00370F52"/>
    <w:rsid w:val="003720EC"/>
    <w:rsid w:val="0037296A"/>
    <w:rsid w:val="00372DDA"/>
    <w:rsid w:val="00373228"/>
    <w:rsid w:val="003733D5"/>
    <w:rsid w:val="00375904"/>
    <w:rsid w:val="00376419"/>
    <w:rsid w:val="0037657B"/>
    <w:rsid w:val="003813FB"/>
    <w:rsid w:val="00381DD6"/>
    <w:rsid w:val="003851D3"/>
    <w:rsid w:val="00386927"/>
    <w:rsid w:val="00390E35"/>
    <w:rsid w:val="0039174F"/>
    <w:rsid w:val="003925EC"/>
    <w:rsid w:val="003925FB"/>
    <w:rsid w:val="003929E5"/>
    <w:rsid w:val="00395A70"/>
    <w:rsid w:val="00396BF6"/>
    <w:rsid w:val="00397445"/>
    <w:rsid w:val="003A03A2"/>
    <w:rsid w:val="003A04DC"/>
    <w:rsid w:val="003A08D0"/>
    <w:rsid w:val="003A12A9"/>
    <w:rsid w:val="003A2C6C"/>
    <w:rsid w:val="003A447D"/>
    <w:rsid w:val="003A637E"/>
    <w:rsid w:val="003A69E7"/>
    <w:rsid w:val="003A6BD2"/>
    <w:rsid w:val="003A7E38"/>
    <w:rsid w:val="003B00AF"/>
    <w:rsid w:val="003B0F5F"/>
    <w:rsid w:val="003B3F82"/>
    <w:rsid w:val="003B45F8"/>
    <w:rsid w:val="003B5F91"/>
    <w:rsid w:val="003C26AA"/>
    <w:rsid w:val="003C291D"/>
    <w:rsid w:val="003C48C5"/>
    <w:rsid w:val="003C66E5"/>
    <w:rsid w:val="003D1E99"/>
    <w:rsid w:val="003D3A37"/>
    <w:rsid w:val="003D3CAA"/>
    <w:rsid w:val="003D4E96"/>
    <w:rsid w:val="003D527F"/>
    <w:rsid w:val="003D6F8F"/>
    <w:rsid w:val="003E183B"/>
    <w:rsid w:val="003E2626"/>
    <w:rsid w:val="003E39C8"/>
    <w:rsid w:val="003E39E1"/>
    <w:rsid w:val="003E4405"/>
    <w:rsid w:val="003E46F0"/>
    <w:rsid w:val="003E50BC"/>
    <w:rsid w:val="003E50FC"/>
    <w:rsid w:val="003E56AB"/>
    <w:rsid w:val="003F3DC3"/>
    <w:rsid w:val="003F6785"/>
    <w:rsid w:val="003F6E50"/>
    <w:rsid w:val="00401CB5"/>
    <w:rsid w:val="00403F6E"/>
    <w:rsid w:val="004109A2"/>
    <w:rsid w:val="004113DD"/>
    <w:rsid w:val="0041229B"/>
    <w:rsid w:val="0041459A"/>
    <w:rsid w:val="00417299"/>
    <w:rsid w:val="00417659"/>
    <w:rsid w:val="00420E37"/>
    <w:rsid w:val="00426330"/>
    <w:rsid w:val="00426EB7"/>
    <w:rsid w:val="00427CC4"/>
    <w:rsid w:val="004304AE"/>
    <w:rsid w:val="00430D18"/>
    <w:rsid w:val="004316FD"/>
    <w:rsid w:val="00435609"/>
    <w:rsid w:val="004357B3"/>
    <w:rsid w:val="00440293"/>
    <w:rsid w:val="00441648"/>
    <w:rsid w:val="00442330"/>
    <w:rsid w:val="00443145"/>
    <w:rsid w:val="00444696"/>
    <w:rsid w:val="0044603A"/>
    <w:rsid w:val="00446B3E"/>
    <w:rsid w:val="00447BF6"/>
    <w:rsid w:val="00452149"/>
    <w:rsid w:val="004522B4"/>
    <w:rsid w:val="004522C8"/>
    <w:rsid w:val="00453ED8"/>
    <w:rsid w:val="00454BC7"/>
    <w:rsid w:val="00456362"/>
    <w:rsid w:val="004625E8"/>
    <w:rsid w:val="00462EBD"/>
    <w:rsid w:val="0046358D"/>
    <w:rsid w:val="00465295"/>
    <w:rsid w:val="004672EC"/>
    <w:rsid w:val="00471611"/>
    <w:rsid w:val="00477A2E"/>
    <w:rsid w:val="00480B7A"/>
    <w:rsid w:val="004827C4"/>
    <w:rsid w:val="00484FAE"/>
    <w:rsid w:val="00485E6F"/>
    <w:rsid w:val="00491C5B"/>
    <w:rsid w:val="00491D25"/>
    <w:rsid w:val="00493E03"/>
    <w:rsid w:val="0049716A"/>
    <w:rsid w:val="004972EC"/>
    <w:rsid w:val="00497630"/>
    <w:rsid w:val="004A0B63"/>
    <w:rsid w:val="004A3BC5"/>
    <w:rsid w:val="004A449E"/>
    <w:rsid w:val="004A61C9"/>
    <w:rsid w:val="004A6F76"/>
    <w:rsid w:val="004B1F34"/>
    <w:rsid w:val="004B289F"/>
    <w:rsid w:val="004B35CE"/>
    <w:rsid w:val="004B3DE6"/>
    <w:rsid w:val="004B4DC4"/>
    <w:rsid w:val="004B5DC9"/>
    <w:rsid w:val="004B6E81"/>
    <w:rsid w:val="004B7A7F"/>
    <w:rsid w:val="004B7A9E"/>
    <w:rsid w:val="004C04CD"/>
    <w:rsid w:val="004C1A22"/>
    <w:rsid w:val="004C4FBF"/>
    <w:rsid w:val="004C6064"/>
    <w:rsid w:val="004D055F"/>
    <w:rsid w:val="004D5742"/>
    <w:rsid w:val="004E110C"/>
    <w:rsid w:val="004E1290"/>
    <w:rsid w:val="004E7C99"/>
    <w:rsid w:val="004F1C3E"/>
    <w:rsid w:val="004F349C"/>
    <w:rsid w:val="004F3E39"/>
    <w:rsid w:val="004F4F61"/>
    <w:rsid w:val="004F7674"/>
    <w:rsid w:val="004F7C61"/>
    <w:rsid w:val="00500122"/>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31804"/>
    <w:rsid w:val="00531CBC"/>
    <w:rsid w:val="00540964"/>
    <w:rsid w:val="00543475"/>
    <w:rsid w:val="005457A3"/>
    <w:rsid w:val="00546759"/>
    <w:rsid w:val="00547061"/>
    <w:rsid w:val="00550503"/>
    <w:rsid w:val="00550B77"/>
    <w:rsid w:val="0055168C"/>
    <w:rsid w:val="00552861"/>
    <w:rsid w:val="005531C0"/>
    <w:rsid w:val="005632C9"/>
    <w:rsid w:val="00564A10"/>
    <w:rsid w:val="005658EF"/>
    <w:rsid w:val="00565E23"/>
    <w:rsid w:val="00570532"/>
    <w:rsid w:val="00570EC7"/>
    <w:rsid w:val="0057447A"/>
    <w:rsid w:val="00575BF2"/>
    <w:rsid w:val="00575D10"/>
    <w:rsid w:val="0057611D"/>
    <w:rsid w:val="00577A85"/>
    <w:rsid w:val="00581BAC"/>
    <w:rsid w:val="00581C25"/>
    <w:rsid w:val="00581EDE"/>
    <w:rsid w:val="005854E8"/>
    <w:rsid w:val="00590AD9"/>
    <w:rsid w:val="00592E5F"/>
    <w:rsid w:val="0059378D"/>
    <w:rsid w:val="00593DBF"/>
    <w:rsid w:val="005949F2"/>
    <w:rsid w:val="00596282"/>
    <w:rsid w:val="00597357"/>
    <w:rsid w:val="00597F5E"/>
    <w:rsid w:val="005A0856"/>
    <w:rsid w:val="005A12C2"/>
    <w:rsid w:val="005A52FA"/>
    <w:rsid w:val="005A5EE0"/>
    <w:rsid w:val="005A5FFF"/>
    <w:rsid w:val="005A6470"/>
    <w:rsid w:val="005B2A50"/>
    <w:rsid w:val="005B3181"/>
    <w:rsid w:val="005B3A4E"/>
    <w:rsid w:val="005B6953"/>
    <w:rsid w:val="005C2BB0"/>
    <w:rsid w:val="005C76A1"/>
    <w:rsid w:val="005C7829"/>
    <w:rsid w:val="005D0A2C"/>
    <w:rsid w:val="005D5516"/>
    <w:rsid w:val="005D6B9C"/>
    <w:rsid w:val="005D7580"/>
    <w:rsid w:val="005E1010"/>
    <w:rsid w:val="005E26E1"/>
    <w:rsid w:val="005E3D3A"/>
    <w:rsid w:val="005E5A8E"/>
    <w:rsid w:val="005E6D82"/>
    <w:rsid w:val="005F01E6"/>
    <w:rsid w:val="005F0A65"/>
    <w:rsid w:val="005F0F32"/>
    <w:rsid w:val="005F4A57"/>
    <w:rsid w:val="005F6265"/>
    <w:rsid w:val="005F6BF4"/>
    <w:rsid w:val="00601671"/>
    <w:rsid w:val="00602CE4"/>
    <w:rsid w:val="00605CAA"/>
    <w:rsid w:val="006070EA"/>
    <w:rsid w:val="00614F8D"/>
    <w:rsid w:val="0061500F"/>
    <w:rsid w:val="0061640E"/>
    <w:rsid w:val="0062137B"/>
    <w:rsid w:val="0062163E"/>
    <w:rsid w:val="00624986"/>
    <w:rsid w:val="00625F0E"/>
    <w:rsid w:val="006270F9"/>
    <w:rsid w:val="00632761"/>
    <w:rsid w:val="00634652"/>
    <w:rsid w:val="006356AA"/>
    <w:rsid w:val="00635CE7"/>
    <w:rsid w:val="006366ED"/>
    <w:rsid w:val="00640685"/>
    <w:rsid w:val="0064164F"/>
    <w:rsid w:val="00641757"/>
    <w:rsid w:val="00642FE1"/>
    <w:rsid w:val="00644441"/>
    <w:rsid w:val="00651B6B"/>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767"/>
    <w:rsid w:val="0067481E"/>
    <w:rsid w:val="00674CF3"/>
    <w:rsid w:val="00681F37"/>
    <w:rsid w:val="00681F9C"/>
    <w:rsid w:val="00682A95"/>
    <w:rsid w:val="00682B38"/>
    <w:rsid w:val="006851F9"/>
    <w:rsid w:val="00687BA6"/>
    <w:rsid w:val="0069307B"/>
    <w:rsid w:val="00695FEF"/>
    <w:rsid w:val="006972ED"/>
    <w:rsid w:val="006A1655"/>
    <w:rsid w:val="006A2761"/>
    <w:rsid w:val="006A3A31"/>
    <w:rsid w:val="006A7174"/>
    <w:rsid w:val="006A7688"/>
    <w:rsid w:val="006B1881"/>
    <w:rsid w:val="006B1E13"/>
    <w:rsid w:val="006B2177"/>
    <w:rsid w:val="006B22C2"/>
    <w:rsid w:val="006B5F57"/>
    <w:rsid w:val="006B65CA"/>
    <w:rsid w:val="006B6F5F"/>
    <w:rsid w:val="006C3C3A"/>
    <w:rsid w:val="006C4FA3"/>
    <w:rsid w:val="006C4FE5"/>
    <w:rsid w:val="006C588F"/>
    <w:rsid w:val="006C6837"/>
    <w:rsid w:val="006C7E2F"/>
    <w:rsid w:val="006D4111"/>
    <w:rsid w:val="006F0B05"/>
    <w:rsid w:val="006F3EAD"/>
    <w:rsid w:val="006F40FC"/>
    <w:rsid w:val="006F4906"/>
    <w:rsid w:val="00700C01"/>
    <w:rsid w:val="0070182D"/>
    <w:rsid w:val="007031EA"/>
    <w:rsid w:val="007078A6"/>
    <w:rsid w:val="00711AEC"/>
    <w:rsid w:val="007122D1"/>
    <w:rsid w:val="00720DA9"/>
    <w:rsid w:val="007211BB"/>
    <w:rsid w:val="00721B73"/>
    <w:rsid w:val="007248A8"/>
    <w:rsid w:val="00726149"/>
    <w:rsid w:val="007262C7"/>
    <w:rsid w:val="00726CE4"/>
    <w:rsid w:val="00726F52"/>
    <w:rsid w:val="00730F3D"/>
    <w:rsid w:val="007315DD"/>
    <w:rsid w:val="007332FF"/>
    <w:rsid w:val="00737545"/>
    <w:rsid w:val="00737D11"/>
    <w:rsid w:val="007422D1"/>
    <w:rsid w:val="00745B18"/>
    <w:rsid w:val="007509D4"/>
    <w:rsid w:val="007539A3"/>
    <w:rsid w:val="00755474"/>
    <w:rsid w:val="00756D28"/>
    <w:rsid w:val="00757FA8"/>
    <w:rsid w:val="00760979"/>
    <w:rsid w:val="00761354"/>
    <w:rsid w:val="00764C09"/>
    <w:rsid w:val="00764C11"/>
    <w:rsid w:val="00764F6A"/>
    <w:rsid w:val="00765E74"/>
    <w:rsid w:val="007715E8"/>
    <w:rsid w:val="00772614"/>
    <w:rsid w:val="00772E5F"/>
    <w:rsid w:val="00775163"/>
    <w:rsid w:val="00775640"/>
    <w:rsid w:val="007764D0"/>
    <w:rsid w:val="00777398"/>
    <w:rsid w:val="00777A8E"/>
    <w:rsid w:val="00777CA1"/>
    <w:rsid w:val="007801C9"/>
    <w:rsid w:val="007803F3"/>
    <w:rsid w:val="00782D73"/>
    <w:rsid w:val="00785517"/>
    <w:rsid w:val="007870D1"/>
    <w:rsid w:val="00787600"/>
    <w:rsid w:val="0079081E"/>
    <w:rsid w:val="00794153"/>
    <w:rsid w:val="007A239C"/>
    <w:rsid w:val="007A3A19"/>
    <w:rsid w:val="007A43ED"/>
    <w:rsid w:val="007A46F8"/>
    <w:rsid w:val="007A5846"/>
    <w:rsid w:val="007A7EBA"/>
    <w:rsid w:val="007B17C6"/>
    <w:rsid w:val="007B6945"/>
    <w:rsid w:val="007B6D8F"/>
    <w:rsid w:val="007C0CB7"/>
    <w:rsid w:val="007C17DC"/>
    <w:rsid w:val="007C44FE"/>
    <w:rsid w:val="007C586A"/>
    <w:rsid w:val="007C5EE5"/>
    <w:rsid w:val="007C623B"/>
    <w:rsid w:val="007C640A"/>
    <w:rsid w:val="007C711A"/>
    <w:rsid w:val="007D15F0"/>
    <w:rsid w:val="007D7589"/>
    <w:rsid w:val="007E168C"/>
    <w:rsid w:val="007E2F28"/>
    <w:rsid w:val="007E3268"/>
    <w:rsid w:val="007E3960"/>
    <w:rsid w:val="007E6BB9"/>
    <w:rsid w:val="007E6FB3"/>
    <w:rsid w:val="007F3565"/>
    <w:rsid w:val="007F42C7"/>
    <w:rsid w:val="007F4A6E"/>
    <w:rsid w:val="008034F9"/>
    <w:rsid w:val="00804325"/>
    <w:rsid w:val="00805F4E"/>
    <w:rsid w:val="008073D4"/>
    <w:rsid w:val="00807404"/>
    <w:rsid w:val="0080788D"/>
    <w:rsid w:val="00810BA1"/>
    <w:rsid w:val="00811874"/>
    <w:rsid w:val="00811CE7"/>
    <w:rsid w:val="008132BB"/>
    <w:rsid w:val="00815C03"/>
    <w:rsid w:val="0081731A"/>
    <w:rsid w:val="008177E7"/>
    <w:rsid w:val="00823CDD"/>
    <w:rsid w:val="00823F17"/>
    <w:rsid w:val="00823F5A"/>
    <w:rsid w:val="0082443D"/>
    <w:rsid w:val="0083153A"/>
    <w:rsid w:val="00831EC1"/>
    <w:rsid w:val="00836AAF"/>
    <w:rsid w:val="00837A84"/>
    <w:rsid w:val="00837AA7"/>
    <w:rsid w:val="00841433"/>
    <w:rsid w:val="0084343C"/>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2694"/>
    <w:rsid w:val="0089315C"/>
    <w:rsid w:val="00894C9C"/>
    <w:rsid w:val="00896FB6"/>
    <w:rsid w:val="008A1C93"/>
    <w:rsid w:val="008A500A"/>
    <w:rsid w:val="008B364B"/>
    <w:rsid w:val="008B5042"/>
    <w:rsid w:val="008B5FCB"/>
    <w:rsid w:val="008B61C2"/>
    <w:rsid w:val="008B7339"/>
    <w:rsid w:val="008B7ADF"/>
    <w:rsid w:val="008C3643"/>
    <w:rsid w:val="008C4AE5"/>
    <w:rsid w:val="008C721F"/>
    <w:rsid w:val="008C7DA6"/>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3E50"/>
    <w:rsid w:val="0091403A"/>
    <w:rsid w:val="009144AC"/>
    <w:rsid w:val="00914E39"/>
    <w:rsid w:val="0091557F"/>
    <w:rsid w:val="00915ED0"/>
    <w:rsid w:val="00916BD0"/>
    <w:rsid w:val="0092058F"/>
    <w:rsid w:val="00920E28"/>
    <w:rsid w:val="0092109F"/>
    <w:rsid w:val="009218D9"/>
    <w:rsid w:val="009231E6"/>
    <w:rsid w:val="0092579F"/>
    <w:rsid w:val="009271EC"/>
    <w:rsid w:val="00931760"/>
    <w:rsid w:val="009331C5"/>
    <w:rsid w:val="00933389"/>
    <w:rsid w:val="009361CE"/>
    <w:rsid w:val="009406C2"/>
    <w:rsid w:val="00941171"/>
    <w:rsid w:val="00941969"/>
    <w:rsid w:val="00942727"/>
    <w:rsid w:val="009469E5"/>
    <w:rsid w:val="0094717A"/>
    <w:rsid w:val="009479DB"/>
    <w:rsid w:val="009513E6"/>
    <w:rsid w:val="009521FE"/>
    <w:rsid w:val="00953686"/>
    <w:rsid w:val="009540C4"/>
    <w:rsid w:val="009629D4"/>
    <w:rsid w:val="00963C93"/>
    <w:rsid w:val="009640EC"/>
    <w:rsid w:val="00964A52"/>
    <w:rsid w:val="009670CB"/>
    <w:rsid w:val="009677CC"/>
    <w:rsid w:val="0097118A"/>
    <w:rsid w:val="009711B2"/>
    <w:rsid w:val="00971623"/>
    <w:rsid w:val="009727A0"/>
    <w:rsid w:val="00972C86"/>
    <w:rsid w:val="009732B4"/>
    <w:rsid w:val="00974A81"/>
    <w:rsid w:val="00974FC9"/>
    <w:rsid w:val="0097570A"/>
    <w:rsid w:val="009828A4"/>
    <w:rsid w:val="00983D49"/>
    <w:rsid w:val="00984CD6"/>
    <w:rsid w:val="009857B1"/>
    <w:rsid w:val="00985895"/>
    <w:rsid w:val="00987A53"/>
    <w:rsid w:val="00990B57"/>
    <w:rsid w:val="00993F99"/>
    <w:rsid w:val="009A0986"/>
    <w:rsid w:val="009A10BF"/>
    <w:rsid w:val="009A45C8"/>
    <w:rsid w:val="009A59C7"/>
    <w:rsid w:val="009A60B0"/>
    <w:rsid w:val="009A7E67"/>
    <w:rsid w:val="009B1F15"/>
    <w:rsid w:val="009B30CF"/>
    <w:rsid w:val="009B3782"/>
    <w:rsid w:val="009B6741"/>
    <w:rsid w:val="009C130B"/>
    <w:rsid w:val="009C1EA5"/>
    <w:rsid w:val="009C37C0"/>
    <w:rsid w:val="009C447C"/>
    <w:rsid w:val="009C5EF4"/>
    <w:rsid w:val="009D5762"/>
    <w:rsid w:val="009D5DAA"/>
    <w:rsid w:val="009D6899"/>
    <w:rsid w:val="009D79C1"/>
    <w:rsid w:val="009D7FCC"/>
    <w:rsid w:val="009E08FB"/>
    <w:rsid w:val="009E10AB"/>
    <w:rsid w:val="009E26CF"/>
    <w:rsid w:val="009E2F21"/>
    <w:rsid w:val="009E59B0"/>
    <w:rsid w:val="009F0334"/>
    <w:rsid w:val="009F4063"/>
    <w:rsid w:val="009F4DC5"/>
    <w:rsid w:val="009F5FE7"/>
    <w:rsid w:val="009F63DE"/>
    <w:rsid w:val="009F7181"/>
    <w:rsid w:val="009F7A4D"/>
    <w:rsid w:val="00A01520"/>
    <w:rsid w:val="00A01CBE"/>
    <w:rsid w:val="00A02E22"/>
    <w:rsid w:val="00A11758"/>
    <w:rsid w:val="00A131E8"/>
    <w:rsid w:val="00A13C0D"/>
    <w:rsid w:val="00A14149"/>
    <w:rsid w:val="00A142C9"/>
    <w:rsid w:val="00A14979"/>
    <w:rsid w:val="00A15312"/>
    <w:rsid w:val="00A15DA7"/>
    <w:rsid w:val="00A169C2"/>
    <w:rsid w:val="00A20F48"/>
    <w:rsid w:val="00A22010"/>
    <w:rsid w:val="00A26FC1"/>
    <w:rsid w:val="00A3398D"/>
    <w:rsid w:val="00A34603"/>
    <w:rsid w:val="00A36862"/>
    <w:rsid w:val="00A432AF"/>
    <w:rsid w:val="00A43D57"/>
    <w:rsid w:val="00A44CF2"/>
    <w:rsid w:val="00A45A87"/>
    <w:rsid w:val="00A45E59"/>
    <w:rsid w:val="00A45E80"/>
    <w:rsid w:val="00A50A8E"/>
    <w:rsid w:val="00A56BA7"/>
    <w:rsid w:val="00A577F6"/>
    <w:rsid w:val="00A57AD0"/>
    <w:rsid w:val="00A676AA"/>
    <w:rsid w:val="00A679E5"/>
    <w:rsid w:val="00A7165E"/>
    <w:rsid w:val="00A718FE"/>
    <w:rsid w:val="00A7250A"/>
    <w:rsid w:val="00A73BCC"/>
    <w:rsid w:val="00A760C8"/>
    <w:rsid w:val="00A772F6"/>
    <w:rsid w:val="00A80298"/>
    <w:rsid w:val="00A80F6A"/>
    <w:rsid w:val="00A82A65"/>
    <w:rsid w:val="00A8503E"/>
    <w:rsid w:val="00A850E0"/>
    <w:rsid w:val="00A86014"/>
    <w:rsid w:val="00A910EE"/>
    <w:rsid w:val="00A94D03"/>
    <w:rsid w:val="00A96B89"/>
    <w:rsid w:val="00A96D19"/>
    <w:rsid w:val="00AA0F15"/>
    <w:rsid w:val="00AA579D"/>
    <w:rsid w:val="00AA764D"/>
    <w:rsid w:val="00AA7BD6"/>
    <w:rsid w:val="00AB0FD7"/>
    <w:rsid w:val="00AB4560"/>
    <w:rsid w:val="00AC0DDC"/>
    <w:rsid w:val="00AC1625"/>
    <w:rsid w:val="00AC3648"/>
    <w:rsid w:val="00AC6B2C"/>
    <w:rsid w:val="00AC747D"/>
    <w:rsid w:val="00AD0867"/>
    <w:rsid w:val="00AD1AEC"/>
    <w:rsid w:val="00AD2AF1"/>
    <w:rsid w:val="00AD67F5"/>
    <w:rsid w:val="00AE00E6"/>
    <w:rsid w:val="00AE18C7"/>
    <w:rsid w:val="00AE5A90"/>
    <w:rsid w:val="00AE5D22"/>
    <w:rsid w:val="00AF1D5E"/>
    <w:rsid w:val="00AF2549"/>
    <w:rsid w:val="00B01A00"/>
    <w:rsid w:val="00B02F00"/>
    <w:rsid w:val="00B0580E"/>
    <w:rsid w:val="00B107A7"/>
    <w:rsid w:val="00B10EBE"/>
    <w:rsid w:val="00B11BB3"/>
    <w:rsid w:val="00B12AE7"/>
    <w:rsid w:val="00B139B3"/>
    <w:rsid w:val="00B14F49"/>
    <w:rsid w:val="00B16BC2"/>
    <w:rsid w:val="00B238D0"/>
    <w:rsid w:val="00B25422"/>
    <w:rsid w:val="00B25F02"/>
    <w:rsid w:val="00B2626E"/>
    <w:rsid w:val="00B30629"/>
    <w:rsid w:val="00B30F3D"/>
    <w:rsid w:val="00B31F36"/>
    <w:rsid w:val="00B32FC4"/>
    <w:rsid w:val="00B3359F"/>
    <w:rsid w:val="00B3505D"/>
    <w:rsid w:val="00B3773E"/>
    <w:rsid w:val="00B42A1E"/>
    <w:rsid w:val="00B43D1D"/>
    <w:rsid w:val="00B518AD"/>
    <w:rsid w:val="00B52CDA"/>
    <w:rsid w:val="00B531DC"/>
    <w:rsid w:val="00B54A7E"/>
    <w:rsid w:val="00B5561B"/>
    <w:rsid w:val="00B60455"/>
    <w:rsid w:val="00B60787"/>
    <w:rsid w:val="00B62A17"/>
    <w:rsid w:val="00B63739"/>
    <w:rsid w:val="00B63ED0"/>
    <w:rsid w:val="00B64E02"/>
    <w:rsid w:val="00B655FB"/>
    <w:rsid w:val="00B65677"/>
    <w:rsid w:val="00B66F74"/>
    <w:rsid w:val="00B67893"/>
    <w:rsid w:val="00B766F9"/>
    <w:rsid w:val="00B76EDE"/>
    <w:rsid w:val="00B80114"/>
    <w:rsid w:val="00B8112B"/>
    <w:rsid w:val="00B82076"/>
    <w:rsid w:val="00B83F6C"/>
    <w:rsid w:val="00B84589"/>
    <w:rsid w:val="00B846A6"/>
    <w:rsid w:val="00B85222"/>
    <w:rsid w:val="00B8660A"/>
    <w:rsid w:val="00B866F0"/>
    <w:rsid w:val="00B90113"/>
    <w:rsid w:val="00B91F01"/>
    <w:rsid w:val="00B92A8C"/>
    <w:rsid w:val="00B936F7"/>
    <w:rsid w:val="00B93F45"/>
    <w:rsid w:val="00BA0F97"/>
    <w:rsid w:val="00BA211B"/>
    <w:rsid w:val="00BA5FF4"/>
    <w:rsid w:val="00BB0D14"/>
    <w:rsid w:val="00BB23DC"/>
    <w:rsid w:val="00BB2F83"/>
    <w:rsid w:val="00BB4A71"/>
    <w:rsid w:val="00BB66D8"/>
    <w:rsid w:val="00BC1857"/>
    <w:rsid w:val="00BC1A4E"/>
    <w:rsid w:val="00BC20FD"/>
    <w:rsid w:val="00BC27C2"/>
    <w:rsid w:val="00BC42E8"/>
    <w:rsid w:val="00BC44A4"/>
    <w:rsid w:val="00BD1990"/>
    <w:rsid w:val="00BD7C22"/>
    <w:rsid w:val="00BE4143"/>
    <w:rsid w:val="00BE7088"/>
    <w:rsid w:val="00BE7805"/>
    <w:rsid w:val="00BF149F"/>
    <w:rsid w:val="00BF3B1A"/>
    <w:rsid w:val="00BF6C43"/>
    <w:rsid w:val="00BF7559"/>
    <w:rsid w:val="00BF761E"/>
    <w:rsid w:val="00C01E04"/>
    <w:rsid w:val="00C02113"/>
    <w:rsid w:val="00C03996"/>
    <w:rsid w:val="00C06322"/>
    <w:rsid w:val="00C06B8E"/>
    <w:rsid w:val="00C07356"/>
    <w:rsid w:val="00C114E8"/>
    <w:rsid w:val="00C11E13"/>
    <w:rsid w:val="00C11FED"/>
    <w:rsid w:val="00C12287"/>
    <w:rsid w:val="00C12633"/>
    <w:rsid w:val="00C128D5"/>
    <w:rsid w:val="00C16273"/>
    <w:rsid w:val="00C16DDF"/>
    <w:rsid w:val="00C2086A"/>
    <w:rsid w:val="00C22E43"/>
    <w:rsid w:val="00C25036"/>
    <w:rsid w:val="00C25938"/>
    <w:rsid w:val="00C25F58"/>
    <w:rsid w:val="00C27807"/>
    <w:rsid w:val="00C30B8C"/>
    <w:rsid w:val="00C30BF2"/>
    <w:rsid w:val="00C32E97"/>
    <w:rsid w:val="00C33E59"/>
    <w:rsid w:val="00C33ED2"/>
    <w:rsid w:val="00C347F0"/>
    <w:rsid w:val="00C37DF9"/>
    <w:rsid w:val="00C40799"/>
    <w:rsid w:val="00C435D1"/>
    <w:rsid w:val="00C44FCE"/>
    <w:rsid w:val="00C45363"/>
    <w:rsid w:val="00C46B5A"/>
    <w:rsid w:val="00C50DFF"/>
    <w:rsid w:val="00C535F9"/>
    <w:rsid w:val="00C55B5E"/>
    <w:rsid w:val="00C56A4E"/>
    <w:rsid w:val="00C6132B"/>
    <w:rsid w:val="00C61F6A"/>
    <w:rsid w:val="00C61F6E"/>
    <w:rsid w:val="00C62918"/>
    <w:rsid w:val="00C635D6"/>
    <w:rsid w:val="00C65972"/>
    <w:rsid w:val="00C663E4"/>
    <w:rsid w:val="00C6723F"/>
    <w:rsid w:val="00C67A5E"/>
    <w:rsid w:val="00C70B45"/>
    <w:rsid w:val="00C72838"/>
    <w:rsid w:val="00C73A3E"/>
    <w:rsid w:val="00C73FE7"/>
    <w:rsid w:val="00C76A20"/>
    <w:rsid w:val="00C76F51"/>
    <w:rsid w:val="00C867FF"/>
    <w:rsid w:val="00C86A05"/>
    <w:rsid w:val="00C87CE6"/>
    <w:rsid w:val="00C91B33"/>
    <w:rsid w:val="00C921C8"/>
    <w:rsid w:val="00C9267A"/>
    <w:rsid w:val="00C92EBF"/>
    <w:rsid w:val="00C93C90"/>
    <w:rsid w:val="00C944DA"/>
    <w:rsid w:val="00CA3A40"/>
    <w:rsid w:val="00CA4630"/>
    <w:rsid w:val="00CA6595"/>
    <w:rsid w:val="00CA6682"/>
    <w:rsid w:val="00CB1C33"/>
    <w:rsid w:val="00CB40C4"/>
    <w:rsid w:val="00CB460B"/>
    <w:rsid w:val="00CB621C"/>
    <w:rsid w:val="00CC18E0"/>
    <w:rsid w:val="00CC21B0"/>
    <w:rsid w:val="00CC2A3C"/>
    <w:rsid w:val="00CD2D1D"/>
    <w:rsid w:val="00CD5F94"/>
    <w:rsid w:val="00CE0255"/>
    <w:rsid w:val="00CE18D8"/>
    <w:rsid w:val="00CE2AA2"/>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785"/>
    <w:rsid w:val="00D02826"/>
    <w:rsid w:val="00D034DB"/>
    <w:rsid w:val="00D100A5"/>
    <w:rsid w:val="00D14CB4"/>
    <w:rsid w:val="00D17AB6"/>
    <w:rsid w:val="00D200C6"/>
    <w:rsid w:val="00D20C37"/>
    <w:rsid w:val="00D23CD6"/>
    <w:rsid w:val="00D25BB2"/>
    <w:rsid w:val="00D32A39"/>
    <w:rsid w:val="00D3313C"/>
    <w:rsid w:val="00D35B35"/>
    <w:rsid w:val="00D3798F"/>
    <w:rsid w:val="00D431E8"/>
    <w:rsid w:val="00D46A7B"/>
    <w:rsid w:val="00D52703"/>
    <w:rsid w:val="00D542BA"/>
    <w:rsid w:val="00D5506F"/>
    <w:rsid w:val="00D564EE"/>
    <w:rsid w:val="00D60368"/>
    <w:rsid w:val="00D64936"/>
    <w:rsid w:val="00D64F1A"/>
    <w:rsid w:val="00D66A72"/>
    <w:rsid w:val="00D713DC"/>
    <w:rsid w:val="00D72F4D"/>
    <w:rsid w:val="00D736AC"/>
    <w:rsid w:val="00D7671D"/>
    <w:rsid w:val="00D76C99"/>
    <w:rsid w:val="00D77A08"/>
    <w:rsid w:val="00D81413"/>
    <w:rsid w:val="00D8315A"/>
    <w:rsid w:val="00D85F8F"/>
    <w:rsid w:val="00D860A8"/>
    <w:rsid w:val="00D87E57"/>
    <w:rsid w:val="00D87EFA"/>
    <w:rsid w:val="00D954FC"/>
    <w:rsid w:val="00DA1BA5"/>
    <w:rsid w:val="00DA580C"/>
    <w:rsid w:val="00DA5C13"/>
    <w:rsid w:val="00DA5CAA"/>
    <w:rsid w:val="00DA5D90"/>
    <w:rsid w:val="00DA6C29"/>
    <w:rsid w:val="00DA6E8D"/>
    <w:rsid w:val="00DA7222"/>
    <w:rsid w:val="00DA761F"/>
    <w:rsid w:val="00DB0CD1"/>
    <w:rsid w:val="00DB15EA"/>
    <w:rsid w:val="00DB2FF6"/>
    <w:rsid w:val="00DB4343"/>
    <w:rsid w:val="00DB6260"/>
    <w:rsid w:val="00DC134B"/>
    <w:rsid w:val="00DC3BF6"/>
    <w:rsid w:val="00DC6DD2"/>
    <w:rsid w:val="00DD15D1"/>
    <w:rsid w:val="00DD2575"/>
    <w:rsid w:val="00DD3185"/>
    <w:rsid w:val="00DD7E12"/>
    <w:rsid w:val="00DE0CF4"/>
    <w:rsid w:val="00DE0E63"/>
    <w:rsid w:val="00DE3DC6"/>
    <w:rsid w:val="00DE41A9"/>
    <w:rsid w:val="00DE4819"/>
    <w:rsid w:val="00DF594E"/>
    <w:rsid w:val="00DF5F8A"/>
    <w:rsid w:val="00DF6BA3"/>
    <w:rsid w:val="00DF7B1D"/>
    <w:rsid w:val="00E00756"/>
    <w:rsid w:val="00E04622"/>
    <w:rsid w:val="00E0553E"/>
    <w:rsid w:val="00E062DB"/>
    <w:rsid w:val="00E06486"/>
    <w:rsid w:val="00E101FB"/>
    <w:rsid w:val="00E2064E"/>
    <w:rsid w:val="00E22246"/>
    <w:rsid w:val="00E2359B"/>
    <w:rsid w:val="00E24230"/>
    <w:rsid w:val="00E26A69"/>
    <w:rsid w:val="00E3006E"/>
    <w:rsid w:val="00E3107A"/>
    <w:rsid w:val="00E32BC9"/>
    <w:rsid w:val="00E35388"/>
    <w:rsid w:val="00E366F4"/>
    <w:rsid w:val="00E40CE6"/>
    <w:rsid w:val="00E41662"/>
    <w:rsid w:val="00E41861"/>
    <w:rsid w:val="00E421D7"/>
    <w:rsid w:val="00E43757"/>
    <w:rsid w:val="00E43E07"/>
    <w:rsid w:val="00E454FE"/>
    <w:rsid w:val="00E46464"/>
    <w:rsid w:val="00E5259D"/>
    <w:rsid w:val="00E54AB4"/>
    <w:rsid w:val="00E572F8"/>
    <w:rsid w:val="00E57AFA"/>
    <w:rsid w:val="00E57DD3"/>
    <w:rsid w:val="00E637D4"/>
    <w:rsid w:val="00E63FB0"/>
    <w:rsid w:val="00E6479A"/>
    <w:rsid w:val="00E64E04"/>
    <w:rsid w:val="00E66D45"/>
    <w:rsid w:val="00E67F27"/>
    <w:rsid w:val="00E7021D"/>
    <w:rsid w:val="00E703A1"/>
    <w:rsid w:val="00E74F4F"/>
    <w:rsid w:val="00E75E18"/>
    <w:rsid w:val="00E770AD"/>
    <w:rsid w:val="00E774A6"/>
    <w:rsid w:val="00E80717"/>
    <w:rsid w:val="00E84179"/>
    <w:rsid w:val="00E85410"/>
    <w:rsid w:val="00E86F20"/>
    <w:rsid w:val="00E913F3"/>
    <w:rsid w:val="00E95BDA"/>
    <w:rsid w:val="00EA05E3"/>
    <w:rsid w:val="00EA4368"/>
    <w:rsid w:val="00EA5AD9"/>
    <w:rsid w:val="00EB1658"/>
    <w:rsid w:val="00EB38C5"/>
    <w:rsid w:val="00EB395C"/>
    <w:rsid w:val="00EB4A9B"/>
    <w:rsid w:val="00EB60BD"/>
    <w:rsid w:val="00EB6F95"/>
    <w:rsid w:val="00EC4E95"/>
    <w:rsid w:val="00EC582D"/>
    <w:rsid w:val="00EC6E2F"/>
    <w:rsid w:val="00EC7B03"/>
    <w:rsid w:val="00ED2066"/>
    <w:rsid w:val="00ED2DC6"/>
    <w:rsid w:val="00ED34E5"/>
    <w:rsid w:val="00ED623D"/>
    <w:rsid w:val="00ED6426"/>
    <w:rsid w:val="00ED76B8"/>
    <w:rsid w:val="00EE0232"/>
    <w:rsid w:val="00EF07FE"/>
    <w:rsid w:val="00EF0A7A"/>
    <w:rsid w:val="00EF100A"/>
    <w:rsid w:val="00EF164D"/>
    <w:rsid w:val="00EF19EA"/>
    <w:rsid w:val="00EF1F0F"/>
    <w:rsid w:val="00EF1F97"/>
    <w:rsid w:val="00EF4627"/>
    <w:rsid w:val="00EF74A8"/>
    <w:rsid w:val="00F003FB"/>
    <w:rsid w:val="00F00A7A"/>
    <w:rsid w:val="00F04F30"/>
    <w:rsid w:val="00F139D7"/>
    <w:rsid w:val="00F161F4"/>
    <w:rsid w:val="00F16CC1"/>
    <w:rsid w:val="00F224F9"/>
    <w:rsid w:val="00F2707F"/>
    <w:rsid w:val="00F32283"/>
    <w:rsid w:val="00F32B1D"/>
    <w:rsid w:val="00F32FB0"/>
    <w:rsid w:val="00F330A3"/>
    <w:rsid w:val="00F34C75"/>
    <w:rsid w:val="00F35690"/>
    <w:rsid w:val="00F4033D"/>
    <w:rsid w:val="00F4500D"/>
    <w:rsid w:val="00F45CDA"/>
    <w:rsid w:val="00F512BD"/>
    <w:rsid w:val="00F536D1"/>
    <w:rsid w:val="00F55D95"/>
    <w:rsid w:val="00F60CF8"/>
    <w:rsid w:val="00F6102B"/>
    <w:rsid w:val="00F65542"/>
    <w:rsid w:val="00F670CB"/>
    <w:rsid w:val="00F67573"/>
    <w:rsid w:val="00F717BE"/>
    <w:rsid w:val="00F76DBA"/>
    <w:rsid w:val="00F77EA7"/>
    <w:rsid w:val="00F81B51"/>
    <w:rsid w:val="00F845ED"/>
    <w:rsid w:val="00F85878"/>
    <w:rsid w:val="00F85B3B"/>
    <w:rsid w:val="00F86C5D"/>
    <w:rsid w:val="00F87147"/>
    <w:rsid w:val="00F874A7"/>
    <w:rsid w:val="00F906FA"/>
    <w:rsid w:val="00F90735"/>
    <w:rsid w:val="00F908C7"/>
    <w:rsid w:val="00F92E09"/>
    <w:rsid w:val="00FA0CC0"/>
    <w:rsid w:val="00FA3248"/>
    <w:rsid w:val="00FA35CA"/>
    <w:rsid w:val="00FB2E39"/>
    <w:rsid w:val="00FB4013"/>
    <w:rsid w:val="00FB43FD"/>
    <w:rsid w:val="00FC2319"/>
    <w:rsid w:val="00FC4DCD"/>
    <w:rsid w:val="00FC530C"/>
    <w:rsid w:val="00FD3110"/>
    <w:rsid w:val="00FD4814"/>
    <w:rsid w:val="00FE02B0"/>
    <w:rsid w:val="00FE1350"/>
    <w:rsid w:val="00FE20C9"/>
    <w:rsid w:val="00FE435A"/>
    <w:rsid w:val="00FE46A9"/>
    <w:rsid w:val="00FE53B2"/>
    <w:rsid w:val="00FE59C3"/>
    <w:rsid w:val="00FE697B"/>
    <w:rsid w:val="00FE73A4"/>
    <w:rsid w:val="00FF073E"/>
    <w:rsid w:val="00FF202F"/>
    <w:rsid w:val="00FF413A"/>
    <w:rsid w:val="055E50A5"/>
    <w:rsid w:val="05E723A0"/>
    <w:rsid w:val="072F5FA1"/>
    <w:rsid w:val="07373FF6"/>
    <w:rsid w:val="08024D8F"/>
    <w:rsid w:val="08043135"/>
    <w:rsid w:val="08C271D4"/>
    <w:rsid w:val="090C343E"/>
    <w:rsid w:val="0A216355"/>
    <w:rsid w:val="0A2E08FE"/>
    <w:rsid w:val="0C63632F"/>
    <w:rsid w:val="0C862251"/>
    <w:rsid w:val="0CF2326D"/>
    <w:rsid w:val="0DAD6BC9"/>
    <w:rsid w:val="0DB7631C"/>
    <w:rsid w:val="0DC13B60"/>
    <w:rsid w:val="10CC3638"/>
    <w:rsid w:val="12BF6E30"/>
    <w:rsid w:val="12DD1CFF"/>
    <w:rsid w:val="137D6286"/>
    <w:rsid w:val="16A62222"/>
    <w:rsid w:val="17800EAB"/>
    <w:rsid w:val="184E71FB"/>
    <w:rsid w:val="18F733EE"/>
    <w:rsid w:val="197B5DCD"/>
    <w:rsid w:val="1A0062D3"/>
    <w:rsid w:val="1BC11886"/>
    <w:rsid w:val="1C2241B0"/>
    <w:rsid w:val="1C400A24"/>
    <w:rsid w:val="1CAB3E1D"/>
    <w:rsid w:val="1D0B3C12"/>
    <w:rsid w:val="1D416B9B"/>
    <w:rsid w:val="1E3E2B0F"/>
    <w:rsid w:val="1EFE3ED9"/>
    <w:rsid w:val="20A5197F"/>
    <w:rsid w:val="22AA45A8"/>
    <w:rsid w:val="23923697"/>
    <w:rsid w:val="24985713"/>
    <w:rsid w:val="27314135"/>
    <w:rsid w:val="280806AD"/>
    <w:rsid w:val="29D410A0"/>
    <w:rsid w:val="2ABE22AE"/>
    <w:rsid w:val="2CC6515A"/>
    <w:rsid w:val="2DD84F89"/>
    <w:rsid w:val="2EC87426"/>
    <w:rsid w:val="2FB17E68"/>
    <w:rsid w:val="2FF92D1E"/>
    <w:rsid w:val="30AE442A"/>
    <w:rsid w:val="31AC2653"/>
    <w:rsid w:val="362B2522"/>
    <w:rsid w:val="36D943C3"/>
    <w:rsid w:val="372031BE"/>
    <w:rsid w:val="378325C5"/>
    <w:rsid w:val="380279E9"/>
    <w:rsid w:val="38D71D28"/>
    <w:rsid w:val="39FA03F0"/>
    <w:rsid w:val="3C5B59CD"/>
    <w:rsid w:val="3D060E34"/>
    <w:rsid w:val="3D3207AF"/>
    <w:rsid w:val="3FB145E6"/>
    <w:rsid w:val="41B95C57"/>
    <w:rsid w:val="42002A64"/>
    <w:rsid w:val="42B43BE3"/>
    <w:rsid w:val="43E25A53"/>
    <w:rsid w:val="44F36442"/>
    <w:rsid w:val="475C698F"/>
    <w:rsid w:val="4A977E75"/>
    <w:rsid w:val="4AB92F78"/>
    <w:rsid w:val="4C2D7D37"/>
    <w:rsid w:val="4C3F745B"/>
    <w:rsid w:val="4C584757"/>
    <w:rsid w:val="4D8C5589"/>
    <w:rsid w:val="4DB7543F"/>
    <w:rsid w:val="4EC64C1E"/>
    <w:rsid w:val="4EE50510"/>
    <w:rsid w:val="51AD6F72"/>
    <w:rsid w:val="53562EFC"/>
    <w:rsid w:val="54FE3235"/>
    <w:rsid w:val="550066FC"/>
    <w:rsid w:val="56F655A6"/>
    <w:rsid w:val="57EA56DD"/>
    <w:rsid w:val="58B45003"/>
    <w:rsid w:val="58C471F6"/>
    <w:rsid w:val="5AAC55C3"/>
    <w:rsid w:val="5AB16F89"/>
    <w:rsid w:val="5B387889"/>
    <w:rsid w:val="5BAF6FF5"/>
    <w:rsid w:val="5BDF1E6F"/>
    <w:rsid w:val="5C466286"/>
    <w:rsid w:val="5C490046"/>
    <w:rsid w:val="5C56060B"/>
    <w:rsid w:val="5D102508"/>
    <w:rsid w:val="608C5797"/>
    <w:rsid w:val="608D7D83"/>
    <w:rsid w:val="62081284"/>
    <w:rsid w:val="62512331"/>
    <w:rsid w:val="636B1E5A"/>
    <w:rsid w:val="64DD41C0"/>
    <w:rsid w:val="64E94B1D"/>
    <w:rsid w:val="666E09BD"/>
    <w:rsid w:val="668428CE"/>
    <w:rsid w:val="6837248C"/>
    <w:rsid w:val="689D203C"/>
    <w:rsid w:val="6AE21D95"/>
    <w:rsid w:val="6CD45A73"/>
    <w:rsid w:val="6D0C7D2C"/>
    <w:rsid w:val="6E1B3882"/>
    <w:rsid w:val="6EDE6C73"/>
    <w:rsid w:val="708211C2"/>
    <w:rsid w:val="711B517D"/>
    <w:rsid w:val="71663BD0"/>
    <w:rsid w:val="72005BB2"/>
    <w:rsid w:val="725A1583"/>
    <w:rsid w:val="73281A37"/>
    <w:rsid w:val="73543D2B"/>
    <w:rsid w:val="75AC1B02"/>
    <w:rsid w:val="76023928"/>
    <w:rsid w:val="761F4817"/>
    <w:rsid w:val="771A0A70"/>
    <w:rsid w:val="782859C3"/>
    <w:rsid w:val="78304906"/>
    <w:rsid w:val="7885437E"/>
    <w:rsid w:val="78FB1A1B"/>
    <w:rsid w:val="79DE7879"/>
    <w:rsid w:val="7B576234"/>
    <w:rsid w:val="7B6C36A5"/>
    <w:rsid w:val="7CC86018"/>
    <w:rsid w:val="7D581A8C"/>
    <w:rsid w:val="7D8A5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semiHidden/>
    <w:uiPriority w:val="0"/>
    <w:rPr>
      <w:sz w:val="18"/>
      <w:szCs w:val="18"/>
    </w:rPr>
  </w:style>
  <w:style w:type="paragraph" w:styleId="4">
    <w:name w:val="footer"/>
    <w:basedOn w:val="1"/>
    <w:link w:val="17"/>
    <w:uiPriority w:val="99"/>
    <w:pPr>
      <w:tabs>
        <w:tab w:val="center" w:pos="4153"/>
        <w:tab w:val="right" w:pos="8306"/>
      </w:tabs>
      <w:snapToGrid w:val="0"/>
      <w:jc w:val="left"/>
    </w:pPr>
    <w:rPr>
      <w:sz w:val="18"/>
      <w:szCs w:val="18"/>
    </w:rPr>
  </w:style>
  <w:style w:type="paragraph" w:styleId="5">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after="150"/>
      <w:jc w:val="left"/>
    </w:pPr>
    <w:rPr>
      <w:kern w:val="0"/>
      <w:sz w:val="24"/>
    </w:rPr>
  </w:style>
  <w:style w:type="character" w:styleId="9">
    <w:name w:val="Strong"/>
    <w:basedOn w:val="8"/>
    <w:qFormat/>
    <w:uiPriority w:val="0"/>
    <w:rPr>
      <w:b/>
      <w:bCs/>
    </w:rPr>
  </w:style>
  <w:style w:type="character" w:styleId="10">
    <w:name w:val="page number"/>
    <w:basedOn w:val="8"/>
    <w:uiPriority w:val="0"/>
  </w:style>
  <w:style w:type="character" w:styleId="11">
    <w:name w:val="FollowedHyperlink"/>
    <w:basedOn w:val="8"/>
    <w:qFormat/>
    <w:uiPriority w:val="0"/>
    <w:rPr>
      <w:color w:val="1278D2"/>
      <w:sz w:val="24"/>
      <w:szCs w:val="24"/>
      <w:u w:val="none"/>
    </w:rPr>
  </w:style>
  <w:style w:type="character" w:styleId="12">
    <w:name w:val="HTML Definition"/>
    <w:basedOn w:val="8"/>
    <w:uiPriority w:val="0"/>
    <w:rPr>
      <w:i/>
      <w:iCs/>
    </w:rPr>
  </w:style>
  <w:style w:type="character" w:styleId="13">
    <w:name w:val="Hyperlink"/>
    <w:basedOn w:val="8"/>
    <w:uiPriority w:val="0"/>
    <w:rPr>
      <w:color w:val="333333"/>
      <w:sz w:val="24"/>
      <w:szCs w:val="24"/>
      <w:u w:val="none"/>
    </w:rPr>
  </w:style>
  <w:style w:type="character" w:styleId="14">
    <w:name w:val="HTML Code"/>
    <w:basedOn w:val="8"/>
    <w:uiPriority w:val="0"/>
    <w:rPr>
      <w:rFonts w:ascii="Consolas" w:hAnsi="Consolas" w:eastAsia="Consolas" w:cs="Consolas"/>
      <w:color w:val="C7254E"/>
      <w:sz w:val="21"/>
      <w:szCs w:val="21"/>
      <w:shd w:val="clear" w:color="auto" w:fill="F9F2F4"/>
    </w:rPr>
  </w:style>
  <w:style w:type="character" w:styleId="15">
    <w:name w:val="HTML Keyboard"/>
    <w:basedOn w:val="8"/>
    <w:uiPriority w:val="0"/>
    <w:rPr>
      <w:rFonts w:hint="default" w:ascii="Consolas" w:hAnsi="Consolas" w:eastAsia="Consolas" w:cs="Consolas"/>
      <w:color w:val="FFFFFF"/>
      <w:sz w:val="21"/>
      <w:szCs w:val="21"/>
      <w:shd w:val="clear" w:color="auto" w:fill="333333"/>
    </w:rPr>
  </w:style>
  <w:style w:type="character" w:styleId="16">
    <w:name w:val="HTML Sample"/>
    <w:basedOn w:val="8"/>
    <w:uiPriority w:val="0"/>
    <w:rPr>
      <w:rFonts w:hint="default" w:ascii="Consolas" w:hAnsi="Consolas" w:eastAsia="Consolas" w:cs="Consolas"/>
      <w:sz w:val="21"/>
      <w:szCs w:val="21"/>
    </w:rPr>
  </w:style>
  <w:style w:type="character" w:customStyle="1" w:styleId="17">
    <w:name w:val="页脚 字符"/>
    <w:link w:val="4"/>
    <w:uiPriority w:val="99"/>
    <w:rPr>
      <w:rFonts w:eastAsia="宋体"/>
      <w:kern w:val="2"/>
      <w:sz w:val="18"/>
      <w:szCs w:val="18"/>
      <w:lang w:val="en-US" w:eastAsia="zh-CN" w:bidi="ar-SA"/>
    </w:rPr>
  </w:style>
  <w:style w:type="character" w:customStyle="1" w:styleId="18">
    <w:name w:val="页眉 字符"/>
    <w:link w:val="5"/>
    <w:uiPriority w:val="0"/>
    <w:rPr>
      <w:rFonts w:eastAsia="宋体"/>
      <w:kern w:val="2"/>
      <w:sz w:val="18"/>
      <w:szCs w:val="18"/>
      <w:lang w:val="en-US" w:eastAsia="zh-CN" w:bidi="ar-SA"/>
    </w:rPr>
  </w:style>
  <w:style w:type="character" w:customStyle="1" w:styleId="19">
    <w:name w:val="before"/>
    <w:basedOn w:val="8"/>
    <w:uiPriority w:val="0"/>
    <w:rPr>
      <w:shd w:val="clear" w:color="auto" w:fill="4C5462"/>
    </w:rPr>
  </w:style>
  <w:style w:type="character" w:customStyle="1" w:styleId="20">
    <w:name w:val="after"/>
    <w:basedOn w:val="8"/>
    <w:uiPriority w:val="0"/>
    <w:rPr>
      <w:shd w:val="clear" w:color="auto" w:fill="4C5462"/>
    </w:rPr>
  </w:style>
  <w:style w:type="character" w:customStyle="1" w:styleId="21">
    <w:name w:val="wpcf7-not-valid-tip"/>
    <w:basedOn w:val="8"/>
    <w:uiPriority w:val="0"/>
    <w:rPr>
      <w:color w:val="FF0000"/>
      <w:sz w:val="21"/>
      <w:szCs w:val="21"/>
    </w:rPr>
  </w:style>
  <w:style w:type="character" w:customStyle="1" w:styleId="22">
    <w:name w:val="wpcf7-list-item"/>
    <w:basedOn w:val="8"/>
    <w:uiPriority w:val="0"/>
  </w:style>
  <w:style w:type="character" w:customStyle="1" w:styleId="23">
    <w:name w:val="wpcf7-not-valid-tip1"/>
    <w:basedOn w:val="8"/>
    <w:uiPriority w:val="0"/>
    <w:rPr>
      <w:bdr w:val="single" w:color="FF0000" w:sz="6" w:space="0"/>
      <w:shd w:val="clear" w:color="auto" w:fill="FFFFFF"/>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4928</Words>
  <Characters>695</Characters>
  <Lines>5</Lines>
  <Paragraphs>11</Paragraphs>
  <TotalTime>0</TotalTime>
  <ScaleCrop>false</ScaleCrop>
  <LinksUpToDate>false</LinksUpToDate>
  <CharactersWithSpaces>5612</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2018-07-23T22:54:00Z</dcterms:created>
  <dc:creator>莫先孔</dc:creator>
  <cp:lastModifiedBy>陈美芝</cp:lastModifiedBy>
  <cp:lastPrinted>2012-08-15T23:16:00Z</cp:lastPrinted>
  <dcterms:modified xsi:type="dcterms:W3CDTF">2022-11-03T05:36:30Z</dcterms:modified>
  <dc:title>附件：（部门决算公开格式）</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ADD3AACBA80B483D921B759AD57D4C2B</vt:lpwstr>
  </property>
</Properties>
</file>