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bookmarkStart w:id="1" w:name="_GoBack"/>
      <w:bookmarkEnd w:id="1"/>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方正小标宋_GBK" w:hAnsi="黑体" w:eastAsia="方正小标宋_GBK"/>
          <w:bCs/>
          <w:color w:val="000000"/>
          <w:sz w:val="52"/>
          <w:szCs w:val="52"/>
        </w:rPr>
      </w:pPr>
      <w:r>
        <w:rPr>
          <w:rFonts w:hint="eastAsia" w:ascii="方正小标宋_GBK" w:eastAsia="方正小标宋_GBK" w:cs="ArialUnicodeMS"/>
          <w:kern w:val="0"/>
          <w:sz w:val="52"/>
          <w:szCs w:val="52"/>
        </w:rPr>
        <w:t>广西壮族自治区</w:t>
      </w:r>
      <w:r>
        <w:rPr>
          <w:rFonts w:hint="eastAsia" w:ascii="方正小标宋_GBK" w:eastAsia="方正小标宋_GBK" w:cs="ArialUnicodeMS"/>
          <w:kern w:val="0"/>
          <w:sz w:val="52"/>
          <w:szCs w:val="52"/>
        </w:rPr>
        <w:t>电子信息和网络安全测评研究院</w:t>
      </w:r>
    </w:p>
    <w:p>
      <w:pPr>
        <w:jc w:val="center"/>
        <w:rPr>
          <w:rFonts w:ascii="方正小标宋_GBK" w:eastAsia="方正小标宋_GBK" w:cs="ArialUnicodeMS"/>
          <w:kern w:val="0"/>
          <w:sz w:val="52"/>
          <w:szCs w:val="52"/>
        </w:rPr>
      </w:pPr>
      <w:r>
        <w:rPr>
          <w:rFonts w:ascii="方正小标宋_GBK" w:eastAsia="方正小标宋_GBK"/>
          <w:kern w:val="0"/>
          <w:sz w:val="52"/>
          <w:szCs w:val="52"/>
        </w:rPr>
        <w:t>2022</w:t>
      </w:r>
      <w:r>
        <w:rPr>
          <w:rFonts w:hint="eastAsia" w:ascii="方正小标宋_GBK" w:eastAsia="方正小标宋_GBK" w:cs="ArialUnicodeMS"/>
          <w:kern w:val="0"/>
          <w:sz w:val="52"/>
          <w:szCs w:val="52"/>
        </w:rPr>
        <w:t>年度部门决算</w:t>
      </w:r>
    </w:p>
    <w:p>
      <w:pPr>
        <w:rPr>
          <w:rFonts w:ascii="方正小标宋简体" w:eastAsia="方正小标宋简体"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jc w:val="center"/>
        <w:rPr>
          <w:rFonts w:ascii="黑体" w:eastAsia="黑体" w:cs="黑体"/>
          <w:kern w:val="0"/>
          <w:sz w:val="44"/>
          <w:szCs w:val="44"/>
        </w:rPr>
      </w:pPr>
    </w:p>
    <w:p>
      <w:pPr>
        <w:jc w:val="center"/>
        <w:rPr>
          <w:rFonts w:ascii="黑体" w:eastAsia="黑体" w:cs="黑体"/>
          <w:kern w:val="0"/>
          <w:sz w:val="44"/>
          <w:szCs w:val="44"/>
        </w:rPr>
      </w:pPr>
    </w:p>
    <w:p>
      <w:pPr>
        <w:ind w:firstLine="646"/>
        <w:jc w:val="center"/>
        <w:rPr>
          <w:rFonts w:ascii="方正小标宋_GBK" w:eastAsia="方正小标宋_GBK"/>
          <w:b/>
          <w:sz w:val="44"/>
          <w:szCs w:val="44"/>
        </w:rPr>
      </w:pPr>
      <w:r>
        <w:rPr>
          <w:rFonts w:hint="eastAsia" w:ascii="方正小标宋_GBK" w:eastAsia="方正小标宋_GBK"/>
          <w:b/>
          <w:sz w:val="44"/>
          <w:szCs w:val="44"/>
        </w:rPr>
        <w:t>目录</w:t>
      </w:r>
    </w:p>
    <w:p>
      <w:pPr>
        <w:ind w:firstLine="645"/>
        <w:rPr>
          <w:rFonts w:ascii="仿宋_GB2312" w:eastAsia="仿宋_GB2312"/>
          <w:b/>
          <w:sz w:val="32"/>
          <w:szCs w:val="32"/>
        </w:rPr>
      </w:pPr>
    </w:p>
    <w:p>
      <w:pPr>
        <w:ind w:firstLine="645"/>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rPr>
        <w:t>广西壮族自治区电子信息和网络安全测评研究院</w:t>
      </w:r>
      <w:r>
        <w:rPr>
          <w:rFonts w:hint="eastAsia" w:ascii="黑体" w:hAnsi="黑体" w:eastAsia="黑体"/>
          <w:sz w:val="32"/>
          <w:szCs w:val="32"/>
        </w:rPr>
        <w:t>概况</w:t>
      </w:r>
    </w:p>
    <w:p>
      <w:pPr>
        <w:ind w:firstLine="645"/>
        <w:rPr>
          <w:rFonts w:ascii="仿宋_GB2312" w:eastAsia="仿宋_GB2312"/>
          <w:sz w:val="32"/>
          <w:szCs w:val="32"/>
        </w:rPr>
      </w:pPr>
      <w:r>
        <w:rPr>
          <w:rFonts w:hint="eastAsia" w:ascii="仿宋_GB2312" w:eastAsia="仿宋_GB2312"/>
          <w:sz w:val="32"/>
          <w:szCs w:val="32"/>
        </w:rPr>
        <w:t>一、本部门职责</w:t>
      </w:r>
    </w:p>
    <w:p>
      <w:pPr>
        <w:ind w:firstLine="645"/>
        <w:rPr>
          <w:rFonts w:ascii="仿宋_GB2312" w:eastAsia="仿宋_GB2312"/>
          <w:sz w:val="32"/>
          <w:szCs w:val="32"/>
        </w:rPr>
      </w:pPr>
      <w:r>
        <w:rPr>
          <w:rFonts w:hint="eastAsia" w:ascii="仿宋_GB2312" w:eastAsia="仿宋_GB2312"/>
          <w:sz w:val="32"/>
          <w:szCs w:val="32"/>
        </w:rPr>
        <w:t>二、机构设置情况</w:t>
      </w:r>
    </w:p>
    <w:p>
      <w:pPr>
        <w:ind w:firstLine="645"/>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广西壮族自治区</w:t>
      </w:r>
      <w:r>
        <w:rPr>
          <w:rFonts w:hint="eastAsia"/>
          <w:sz w:val="32"/>
          <w:szCs w:val="32"/>
        </w:rPr>
        <w:t>电子信息和网络安全测评研究院</w:t>
      </w:r>
      <w:r>
        <w:rPr>
          <w:rFonts w:hint="eastAsia" w:ascii="黑体" w:hAnsi="黑体" w:eastAsia="黑体"/>
          <w:sz w:val="32"/>
          <w:szCs w:val="32"/>
        </w:rPr>
        <w:t>2022年度部门决算报表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表六：一般公共预算财政拨款基本支出决算明细表</w:t>
      </w:r>
    </w:p>
    <w:p>
      <w:pPr>
        <w:ind w:left="645"/>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ind w:left="645"/>
        <w:rPr>
          <w:rFonts w:ascii="仿宋_GB2312" w:eastAsia="仿宋_GB2312"/>
          <w:sz w:val="32"/>
          <w:szCs w:val="32"/>
        </w:rPr>
      </w:pPr>
      <w:r>
        <w:rPr>
          <w:rFonts w:hint="eastAsia" w:ascii="仿宋_GB2312" w:eastAsia="仿宋_GB2312"/>
          <w:sz w:val="32"/>
          <w:szCs w:val="32"/>
        </w:rPr>
        <w:t>表九：财政拨款安排的“三公”经费支出决算表</w:t>
      </w:r>
    </w:p>
    <w:p>
      <w:pPr>
        <w:ind w:firstLine="645"/>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rPr>
        <w:t>广西壮族自治区</w:t>
      </w:r>
      <w:r>
        <w:rPr>
          <w:rFonts w:hint="eastAsia"/>
          <w:sz w:val="32"/>
          <w:szCs w:val="32"/>
        </w:rPr>
        <w:t>电子信息和网络安全测评研究院</w:t>
      </w:r>
      <w:r>
        <w:rPr>
          <w:rFonts w:hint="eastAsia" w:ascii="黑体" w:hAnsi="黑体" w:eastAsia="黑体"/>
          <w:sz w:val="32"/>
          <w:szCs w:val="32"/>
        </w:rPr>
        <w:t>2022年度部门决算情况说明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六、财政拨款安排的“三公”经费支出决算情况说明。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八、预算绩效管理工作开展情况。</w:t>
      </w:r>
    </w:p>
    <w:p>
      <w:pPr>
        <w:autoSpaceDE w:val="0"/>
        <w:autoSpaceDN w:val="0"/>
        <w:adjustRightInd w:val="0"/>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ascii="仿宋_GB2312" w:eastAsia="仿宋_GB231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ind w:firstLine="646"/>
        <w:jc w:val="center"/>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rPr>
        <w:t>广西壮族自治区电子信息和网络安全测评研究院</w:t>
      </w:r>
      <w:r>
        <w:rPr>
          <w:rFonts w:hint="eastAsia" w:ascii="黑体" w:hAnsi="黑体" w:eastAsia="黑体"/>
          <w:bCs/>
          <w:color w:val="000000"/>
          <w:sz w:val="32"/>
          <w:szCs w:val="32"/>
        </w:rPr>
        <w:t>概况</w:t>
      </w:r>
    </w:p>
    <w:p>
      <w:pPr>
        <w:ind w:firstLine="646"/>
        <w:rPr>
          <w:rFonts w:ascii="黑体" w:hAnsi="黑体" w:eastAsia="黑体"/>
          <w:sz w:val="32"/>
          <w:szCs w:val="32"/>
        </w:rPr>
      </w:pPr>
      <w:r>
        <w:rPr>
          <w:rFonts w:hint="eastAsia" w:ascii="黑体" w:hAnsi="黑体" w:eastAsia="黑体"/>
          <w:sz w:val="32"/>
          <w:szCs w:val="32"/>
        </w:rPr>
        <w:t>一、本部门职责</w:t>
      </w:r>
    </w:p>
    <w:p>
      <w:pPr>
        <w:ind w:firstLine="645"/>
        <w:rPr>
          <w:rFonts w:ascii="仿宋_GB2312" w:eastAsia="仿宋_GB2312"/>
          <w:sz w:val="32"/>
          <w:szCs w:val="32"/>
        </w:rPr>
      </w:pPr>
      <w:r>
        <w:rPr>
          <w:rFonts w:hint="eastAsia" w:ascii="仿宋_GB2312" w:eastAsia="仿宋_GB2312"/>
          <w:sz w:val="32"/>
          <w:szCs w:val="32"/>
        </w:rPr>
        <w:t>承担网络安全和信息化的技术攻关、共性技术研究和产业化应用示范，行业标准研究，网络安全监测预警、应急处置等工作。在资质范围内开展电子信息产品、信息系统、信息工程及网络安全的检验检测认证、技术审查、鉴定评审、咨询培训等业务。</w:t>
      </w:r>
    </w:p>
    <w:p>
      <w:pPr>
        <w:ind w:firstLine="646"/>
        <w:rPr>
          <w:rFonts w:ascii="黑体" w:hAnsi="黑体" w:eastAsia="黑体"/>
          <w:sz w:val="32"/>
          <w:szCs w:val="32"/>
        </w:rPr>
      </w:pPr>
      <w:r>
        <w:rPr>
          <w:rFonts w:hint="eastAsia" w:ascii="黑体" w:hAnsi="黑体" w:eastAsia="黑体"/>
          <w:sz w:val="32"/>
          <w:szCs w:val="32"/>
        </w:rPr>
        <w:t>二、机构设置情况</w:t>
      </w:r>
    </w:p>
    <w:p>
      <w:pPr>
        <w:ind w:firstLine="645"/>
        <w:rPr>
          <w:rFonts w:ascii="仿宋_GB2312" w:eastAsia="仿宋_GB2312"/>
          <w:sz w:val="32"/>
          <w:szCs w:val="32"/>
        </w:rPr>
      </w:pPr>
      <w:r>
        <w:rPr>
          <w:rFonts w:hint="eastAsia" w:ascii="仿宋_GB2312" w:eastAsia="仿宋_GB2312"/>
          <w:sz w:val="32"/>
          <w:szCs w:val="32"/>
        </w:rPr>
        <w:t>根据本单位职责任务，结合单位发展的实际需要，广西信息安全测评中心设立5个部门：办公室、业务技术室、测评一部、测评二部、网络空间安全实验室。</w:t>
      </w:r>
    </w:p>
    <w:p>
      <w:pPr>
        <w:ind w:firstLine="645"/>
        <w:rPr>
          <w:rFonts w:ascii="仿宋_GB2312" w:eastAsia="仿宋_GB2312"/>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广西壮族自治区电子信息和网络安全测评研究院</w:t>
      </w:r>
      <w:r>
        <w:rPr>
          <w:rFonts w:hint="eastAsia" w:ascii="黑体" w:hAnsi="黑体" w:eastAsia="黑体"/>
          <w:sz w:val="32"/>
          <w:szCs w:val="32"/>
        </w:rPr>
        <w:t>2022年度部门决算报表</w:t>
      </w:r>
    </w:p>
    <w:p>
      <w:pPr>
        <w:ind w:left="645"/>
        <w:rPr>
          <w:rFonts w:ascii="仿宋_GB2312" w:eastAsia="仿宋_GB2312"/>
          <w:sz w:val="32"/>
          <w:szCs w:val="32"/>
        </w:rPr>
      </w:pPr>
      <w:bookmarkStart w:id="0" w:name="_Toc118207998"/>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表六：一般公共预算财政拨款基本支出决算明细表</w:t>
      </w:r>
    </w:p>
    <w:p>
      <w:pPr>
        <w:ind w:left="645"/>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ind w:left="645"/>
        <w:rPr>
          <w:rFonts w:ascii="仿宋_GB2312" w:eastAsia="仿宋_GB2312"/>
          <w:sz w:val="32"/>
          <w:szCs w:val="32"/>
        </w:rPr>
      </w:pPr>
      <w:r>
        <w:rPr>
          <w:rFonts w:hint="eastAsia" w:ascii="仿宋_GB2312" w:eastAsia="仿宋_GB2312"/>
          <w:sz w:val="32"/>
          <w:szCs w:val="32"/>
        </w:rPr>
        <w:t>表九：财政拨款安排的“三公”经费支出决算表</w:t>
      </w:r>
    </w:p>
    <w:bookmarkEnd w:id="0"/>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(此部分可另附表格，详见附件：自治区本级2022年度部门决算公开附表)</w:t>
      </w:r>
    </w:p>
    <w:p>
      <w:pPr>
        <w:jc w:val="center"/>
      </w:pPr>
    </w:p>
    <w:p>
      <w:pPr>
        <w:spacing w:line="560" w:lineRule="exact"/>
        <w:rPr>
          <w:rFonts w:ascii="仿宋_GB2312" w:eastAsia="仿宋_GB2312"/>
          <w:b/>
          <w:sz w:val="32"/>
          <w:szCs w:val="32"/>
        </w:rPr>
        <w:sectPr>
          <w:footerReference r:id="rId3" w:type="default"/>
          <w:footerReference r:id="rId4" w:type="even"/>
          <w:pgSz w:w="11906" w:h="16838"/>
          <w:pgMar w:top="1440" w:right="1797" w:bottom="1440" w:left="1797" w:header="851" w:footer="992" w:gutter="0"/>
          <w:cols w:space="720"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rPr>
        <w:t>广西壮族自治区电子信息和网络安全测评研究院</w:t>
      </w:r>
      <w:r>
        <w:rPr>
          <w:rFonts w:hint="eastAsia" w:ascii="黑体" w:hAnsi="黑体" w:eastAsia="黑体"/>
          <w:sz w:val="32"/>
          <w:szCs w:val="32"/>
        </w:rPr>
        <w:t>2022年度部门决算情况说明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2022</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（一）本部门2022年度总收入</w:t>
      </w:r>
      <w:r>
        <w:rPr>
          <w:rFonts w:ascii="仿宋_GB2312" w:eastAsia="仿宋_GB2312"/>
          <w:kern w:val="0"/>
          <w:sz w:val="32"/>
          <w:szCs w:val="32"/>
        </w:rPr>
        <w:t>3892.52</w:t>
      </w:r>
      <w:r>
        <w:rPr>
          <w:rFonts w:hint="eastAsia" w:ascii="仿宋_GB2312" w:eastAsia="仿宋_GB2312" w:cs="仿宋_GB2312"/>
          <w:kern w:val="0"/>
          <w:sz w:val="32"/>
          <w:szCs w:val="32"/>
        </w:rPr>
        <w:t xml:space="preserve">万元，其中本年收入 </w:t>
      </w:r>
      <w:r>
        <w:rPr>
          <w:rFonts w:ascii="仿宋_GB2312" w:eastAsia="仿宋_GB2312" w:cs="仿宋_GB2312"/>
          <w:kern w:val="0"/>
          <w:sz w:val="32"/>
          <w:szCs w:val="32"/>
        </w:rPr>
        <w:t>2585.14</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较2021年度决算数增加6</w:t>
      </w:r>
      <w:r>
        <w:rPr>
          <w:rFonts w:ascii="仿宋_GB2312" w:hAnsi="黑体" w:eastAsia="仿宋_GB2312" w:cs="仿宋_GB2312"/>
          <w:kern w:val="0"/>
          <w:sz w:val="32"/>
          <w:szCs w:val="32"/>
        </w:rPr>
        <w:t>47.56</w:t>
      </w:r>
      <w:r>
        <w:rPr>
          <w:rFonts w:hint="eastAsia" w:ascii="仿宋_GB2312" w:hAnsi="黑体" w:eastAsia="仿宋_GB2312" w:cs="仿宋_GB2312"/>
          <w:kern w:val="0"/>
          <w:sz w:val="32"/>
          <w:szCs w:val="32"/>
        </w:rPr>
        <w:t>万元，增长3</w:t>
      </w:r>
      <w:r>
        <w:rPr>
          <w:rFonts w:ascii="仿宋_GB2312" w:hAnsi="黑体" w:eastAsia="仿宋_GB2312" w:cs="仿宋_GB2312"/>
          <w:kern w:val="0"/>
          <w:sz w:val="32"/>
          <w:szCs w:val="32"/>
        </w:rPr>
        <w:t>3.42</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.一般公共预算财政拨款收入1</w:t>
      </w:r>
      <w:r>
        <w:rPr>
          <w:rFonts w:ascii="仿宋_GB2312" w:eastAsia="仿宋_GB2312" w:cs="仿宋_GB2312"/>
          <w:kern w:val="0"/>
          <w:sz w:val="32"/>
          <w:szCs w:val="32"/>
        </w:rPr>
        <w:t>10.71</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较2021年度决算数减少5</w:t>
      </w:r>
      <w:r>
        <w:rPr>
          <w:rFonts w:ascii="仿宋_GB2312" w:hAnsi="黑体" w:eastAsia="仿宋_GB2312" w:cs="仿宋_GB2312"/>
          <w:kern w:val="0"/>
          <w:sz w:val="32"/>
          <w:szCs w:val="32"/>
        </w:rPr>
        <w:t>8.88</w:t>
      </w:r>
      <w:r>
        <w:rPr>
          <w:rFonts w:hint="eastAsia" w:ascii="仿宋_GB2312" w:hAnsi="黑体" w:eastAsia="仿宋_GB2312" w:cs="仿宋_GB2312"/>
          <w:kern w:val="0"/>
          <w:sz w:val="32"/>
          <w:szCs w:val="32"/>
        </w:rPr>
        <w:t>万元，下降3</w:t>
      </w:r>
      <w:r>
        <w:rPr>
          <w:rFonts w:ascii="仿宋_GB2312" w:hAnsi="黑体" w:eastAsia="仿宋_GB2312" w:cs="仿宋_GB2312"/>
          <w:kern w:val="0"/>
          <w:sz w:val="32"/>
          <w:szCs w:val="32"/>
        </w:rPr>
        <w:t>4.72</w:t>
      </w:r>
      <w:r>
        <w:rPr>
          <w:rFonts w:hint="eastAsia" w:ascii="仿宋_GB2312" w:hAnsi="黑体" w:eastAsia="仿宋_GB2312" w:cs="仿宋_GB2312"/>
          <w:kern w:val="0"/>
          <w:sz w:val="32"/>
          <w:szCs w:val="32"/>
        </w:rPr>
        <w:t>%，主要原因是</w:t>
      </w:r>
      <w:r>
        <w:rPr>
          <w:rFonts w:ascii="仿宋_GB2312" w:hAnsi="黑体" w:eastAsia="仿宋_GB2312" w:cs="仿宋_GB2312"/>
          <w:kern w:val="0"/>
          <w:sz w:val="32"/>
          <w:szCs w:val="32"/>
        </w:rPr>
        <w:t>2021</w:t>
      </w:r>
      <w:r>
        <w:rPr>
          <w:rFonts w:hint="eastAsia" w:ascii="仿宋_GB2312" w:hAnsi="黑体" w:eastAsia="仿宋_GB2312" w:cs="仿宋_GB2312"/>
          <w:kern w:val="0"/>
          <w:sz w:val="32"/>
          <w:szCs w:val="32"/>
        </w:rPr>
        <w:t>年度有条件改善专项资金，</w:t>
      </w:r>
      <w:r>
        <w:rPr>
          <w:rFonts w:ascii="仿宋_GB2312" w:hAnsi="黑体" w:eastAsia="仿宋_GB2312" w:cs="仿宋_GB2312"/>
          <w:kern w:val="0"/>
          <w:sz w:val="32"/>
          <w:szCs w:val="32"/>
        </w:rPr>
        <w:t>2022</w:t>
      </w:r>
      <w:r>
        <w:rPr>
          <w:rFonts w:hint="eastAsia" w:ascii="仿宋_GB2312" w:hAnsi="黑体" w:eastAsia="仿宋_GB2312" w:cs="仿宋_GB2312"/>
          <w:kern w:val="0"/>
          <w:sz w:val="32"/>
          <w:szCs w:val="32"/>
        </w:rPr>
        <w:t>年没有。</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t>2.</w:t>
      </w:r>
      <w:r>
        <w:rPr>
          <w:rFonts w:hint="eastAsia"/>
        </w:rPr>
        <w:t xml:space="preserve"> </w:t>
      </w:r>
      <w:r>
        <w:rPr>
          <w:rFonts w:hint="eastAsia" w:ascii="仿宋_GB2312" w:eastAsia="仿宋_GB2312" w:cs="仿宋_GB2312"/>
          <w:kern w:val="0"/>
          <w:sz w:val="32"/>
          <w:szCs w:val="32"/>
        </w:rPr>
        <w:t>政府性基金预算财政拨款收入0万元，为自治区本级财政当年拨付的资金。较202</w:t>
      </w:r>
      <w:r>
        <w:rPr>
          <w:rFonts w:ascii="仿宋_GB2312" w:eastAsia="仿宋_GB2312" w:cs="仿宋_GB2312"/>
          <w:kern w:val="0"/>
          <w:sz w:val="32"/>
          <w:szCs w:val="32"/>
        </w:rPr>
        <w:t>1</w:t>
      </w:r>
      <w:r>
        <w:rPr>
          <w:rFonts w:hint="eastAsia" w:ascii="仿宋_GB2312" w:eastAsia="仿宋_GB2312" w:cs="仿宋_GB2312"/>
          <w:kern w:val="0"/>
          <w:sz w:val="32"/>
          <w:szCs w:val="32"/>
        </w:rPr>
        <w:t>年度决算数无变化。</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w:t>
      </w:r>
      <w:r>
        <w:rPr>
          <w:rFonts w:hint="eastAsia"/>
        </w:rPr>
        <w:t xml:space="preserve"> </w:t>
      </w:r>
      <w:r>
        <w:rPr>
          <w:rFonts w:hint="eastAsia" w:ascii="仿宋_GB2312" w:eastAsia="仿宋_GB2312" w:cs="仿宋_GB2312"/>
          <w:kern w:val="0"/>
          <w:sz w:val="32"/>
          <w:szCs w:val="32"/>
        </w:rPr>
        <w:t>国有资本经营预算财政拨款收入0万元，为自治区本级财政当年拨付的资金。较2021年度决算数无变化</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t>4.事业收入</w:t>
      </w:r>
      <w:r>
        <w:rPr>
          <w:rFonts w:ascii="仿宋_GB2312" w:eastAsia="仿宋_GB2312"/>
          <w:kern w:val="0"/>
          <w:sz w:val="32"/>
          <w:szCs w:val="32"/>
        </w:rPr>
        <w:t>2449.43</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较2021年度决算数增加</w:t>
      </w:r>
      <w:r>
        <w:rPr>
          <w:rFonts w:ascii="仿宋_GB2312" w:hAnsi="黑体" w:eastAsia="仿宋_GB2312" w:cs="仿宋_GB2312"/>
          <w:kern w:val="0"/>
          <w:sz w:val="32"/>
          <w:szCs w:val="32"/>
        </w:rPr>
        <w:t>681.44</w:t>
      </w:r>
      <w:r>
        <w:rPr>
          <w:rFonts w:hint="eastAsia" w:ascii="仿宋_GB2312" w:hAnsi="黑体" w:eastAsia="仿宋_GB2312" w:cs="仿宋_GB2312"/>
          <w:kern w:val="0"/>
          <w:sz w:val="32"/>
          <w:szCs w:val="32"/>
        </w:rPr>
        <w:t>万元，增长3</w:t>
      </w:r>
      <w:r>
        <w:rPr>
          <w:rFonts w:ascii="仿宋_GB2312" w:hAnsi="黑体" w:eastAsia="仿宋_GB2312" w:cs="仿宋_GB2312"/>
          <w:kern w:val="0"/>
          <w:sz w:val="32"/>
          <w:szCs w:val="32"/>
        </w:rPr>
        <w:t>8.54</w:t>
      </w:r>
      <w:r>
        <w:rPr>
          <w:rFonts w:hint="eastAsia" w:ascii="仿宋_GB2312" w:hAnsi="黑体" w:eastAsia="仿宋_GB2312" w:cs="仿宋_GB2312"/>
          <w:kern w:val="0"/>
          <w:sz w:val="32"/>
          <w:szCs w:val="32"/>
        </w:rPr>
        <w:t>%，主要原因是</w:t>
      </w:r>
      <w:r>
        <w:rPr>
          <w:rFonts w:ascii="仿宋_GB2312" w:hAnsi="黑体" w:eastAsia="仿宋_GB2312" w:cs="仿宋_GB2312"/>
          <w:kern w:val="0"/>
          <w:sz w:val="32"/>
          <w:szCs w:val="32"/>
          <w:highlight w:val="none"/>
        </w:rPr>
        <w:t>2022</w:t>
      </w:r>
      <w:r>
        <w:rPr>
          <w:rFonts w:hint="eastAsia" w:ascii="仿宋_GB2312" w:hAnsi="黑体" w:eastAsia="仿宋_GB2312" w:cs="仿宋_GB2312"/>
          <w:kern w:val="0"/>
          <w:sz w:val="32"/>
          <w:szCs w:val="32"/>
          <w:highlight w:val="none"/>
        </w:rPr>
        <w:t>年度完成信息安全测评业务量增幅较大，特别是信创项目，因此事业收入增长较快</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rPr>
          <w:rFonts w:ascii="仿宋_GB2312" w:hAnsi="黑体"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w:t>
      </w:r>
      <w:r>
        <w:rPr>
          <w:rFonts w:hint="eastAsia"/>
        </w:rPr>
        <w:t xml:space="preserve"> </w:t>
      </w:r>
      <w:r>
        <w:rPr>
          <w:rFonts w:hint="eastAsia" w:ascii="仿宋_GB2312" w:eastAsia="仿宋_GB2312" w:cs="仿宋_GB2312"/>
          <w:kern w:val="0"/>
          <w:sz w:val="32"/>
          <w:szCs w:val="32"/>
        </w:rPr>
        <w:t>经营收入0万元，为事业单位在业务活动之外开展非独立核算经营活动取得的收入。较2021年度决算数无变化</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ascii="仿宋_GB2312" w:eastAsia="仿宋_GB2312"/>
          <w:kern w:val="0"/>
          <w:sz w:val="32"/>
          <w:szCs w:val="32"/>
        </w:rPr>
        <w:t>25.00</w:t>
      </w:r>
      <w:r>
        <w:rPr>
          <w:rFonts w:hint="eastAsia" w:ascii="仿宋_GB2312" w:eastAsia="仿宋_GB2312" w:cs="仿宋_GB2312"/>
          <w:kern w:val="0"/>
          <w:sz w:val="32"/>
          <w:szCs w:val="32"/>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较2021年度决算数增加2</w:t>
      </w:r>
      <w:r>
        <w:rPr>
          <w:rFonts w:ascii="仿宋_GB2312" w:hAnsi="黑体" w:eastAsia="仿宋_GB2312" w:cs="仿宋_GB2312"/>
          <w:kern w:val="0"/>
          <w:sz w:val="32"/>
          <w:szCs w:val="32"/>
        </w:rPr>
        <w:t>5.00</w:t>
      </w:r>
      <w:r>
        <w:rPr>
          <w:rFonts w:hint="eastAsia" w:ascii="仿宋_GB2312" w:hAnsi="黑体" w:eastAsia="仿宋_GB2312" w:cs="仿宋_GB2312"/>
          <w:kern w:val="0"/>
          <w:sz w:val="32"/>
          <w:szCs w:val="32"/>
        </w:rPr>
        <w:t>万元，增长1</w:t>
      </w:r>
      <w:r>
        <w:rPr>
          <w:rFonts w:ascii="仿宋_GB2312" w:hAnsi="黑体" w:eastAsia="仿宋_GB2312" w:cs="仿宋_GB2312"/>
          <w:kern w:val="0"/>
          <w:sz w:val="32"/>
          <w:szCs w:val="32"/>
        </w:rPr>
        <w:t>00</w:t>
      </w:r>
      <w:r>
        <w:rPr>
          <w:rFonts w:hint="eastAsia" w:ascii="仿宋_GB2312" w:hAnsi="黑体" w:eastAsia="仿宋_GB2312" w:cs="仿宋_GB2312"/>
          <w:kern w:val="0"/>
          <w:sz w:val="32"/>
          <w:szCs w:val="32"/>
        </w:rPr>
        <w:t>%，主要原因是</w:t>
      </w:r>
      <w:r>
        <w:rPr>
          <w:rFonts w:ascii="仿宋_GB2312" w:hAnsi="黑体" w:eastAsia="仿宋_GB2312" w:cs="仿宋_GB2312"/>
          <w:kern w:val="0"/>
          <w:sz w:val="32"/>
          <w:szCs w:val="32"/>
        </w:rPr>
        <w:t>2022</w:t>
      </w:r>
      <w:r>
        <w:rPr>
          <w:rFonts w:hint="eastAsia" w:ascii="仿宋_GB2312" w:hAnsi="黑体" w:eastAsia="仿宋_GB2312" w:cs="仿宋_GB2312"/>
          <w:kern w:val="0"/>
          <w:sz w:val="32"/>
          <w:szCs w:val="32"/>
        </w:rPr>
        <w:t>年获得</w:t>
      </w:r>
      <w:r>
        <w:rPr>
          <w:rFonts w:hint="eastAsia" w:ascii="仿宋_GB2312" w:hAnsi="仿宋_GB2312" w:eastAsia="仿宋_GB2312"/>
          <w:sz w:val="32"/>
        </w:rPr>
        <w:t>“省级工业互联网安全态势感知平台”项目资金</w:t>
      </w:r>
      <w:r>
        <w:rPr>
          <w:rFonts w:ascii="仿宋_GB2312" w:hAnsi="仿宋_GB2312" w:eastAsia="仿宋_GB2312"/>
          <w:sz w:val="32"/>
        </w:rPr>
        <w:t>25</w:t>
      </w:r>
      <w:r>
        <w:rPr>
          <w:rFonts w:hint="eastAsia" w:ascii="仿宋_GB2312" w:hAnsi="仿宋_GB2312" w:eastAsia="仿宋_GB2312"/>
          <w:sz w:val="32"/>
        </w:rPr>
        <w:t>万元。</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ascii="仿宋_GB2312" w:eastAsia="仿宋_GB2312" w:cs="仿宋_GB2312"/>
          <w:color w:val="auto"/>
          <w:kern w:val="0"/>
          <w:sz w:val="32"/>
          <w:szCs w:val="32"/>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较2021年度决算数无变化。</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.上年结转和结余1</w:t>
      </w:r>
      <w:r>
        <w:rPr>
          <w:rFonts w:ascii="仿宋_GB2312" w:eastAsia="仿宋_GB2312" w:cs="仿宋_GB2312"/>
          <w:kern w:val="0"/>
          <w:sz w:val="32"/>
          <w:szCs w:val="32"/>
        </w:rPr>
        <w:t>307.38</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较2021年度决算数减少6</w:t>
      </w:r>
      <w:r>
        <w:rPr>
          <w:rFonts w:ascii="仿宋_GB2312" w:hAnsi="黑体" w:eastAsia="仿宋_GB2312" w:cs="仿宋_GB2312"/>
          <w:kern w:val="0"/>
          <w:sz w:val="32"/>
          <w:szCs w:val="32"/>
        </w:rPr>
        <w:t>1.90</w:t>
      </w:r>
      <w:r>
        <w:rPr>
          <w:rFonts w:hint="eastAsia" w:ascii="仿宋_GB2312" w:hAnsi="黑体" w:eastAsia="仿宋_GB2312" w:cs="仿宋_GB2312"/>
          <w:kern w:val="0"/>
          <w:sz w:val="32"/>
          <w:szCs w:val="32"/>
        </w:rPr>
        <w:t>万元，下降4</w:t>
      </w:r>
      <w:r>
        <w:rPr>
          <w:rFonts w:ascii="仿宋_GB2312" w:hAnsi="黑体" w:eastAsia="仿宋_GB2312" w:cs="仿宋_GB2312"/>
          <w:kern w:val="0"/>
          <w:sz w:val="32"/>
          <w:szCs w:val="32"/>
        </w:rPr>
        <w:t>.52</w:t>
      </w:r>
      <w:r>
        <w:rPr>
          <w:rFonts w:hint="eastAsia" w:ascii="仿宋_GB2312" w:hAnsi="黑体" w:eastAsia="仿宋_GB2312" w:cs="仿宋_GB2312"/>
          <w:kern w:val="0"/>
          <w:sz w:val="32"/>
          <w:szCs w:val="32"/>
        </w:rPr>
        <w:t>%，主要原因是</w:t>
      </w:r>
      <w:r>
        <w:rPr>
          <w:rFonts w:ascii="仿宋_GB2312" w:hAnsi="黑体" w:eastAsia="仿宋_GB2312" w:cs="仿宋_GB2312"/>
          <w:kern w:val="0"/>
          <w:sz w:val="32"/>
          <w:szCs w:val="32"/>
          <w:highlight w:val="none"/>
        </w:rPr>
        <w:t>2021</w:t>
      </w:r>
      <w:r>
        <w:rPr>
          <w:rFonts w:hint="eastAsia" w:ascii="仿宋_GB2312" w:hAnsi="黑体" w:eastAsia="仿宋_GB2312" w:cs="仿宋_GB2312"/>
          <w:kern w:val="0"/>
          <w:sz w:val="32"/>
          <w:szCs w:val="32"/>
          <w:highlight w:val="none"/>
        </w:rPr>
        <w:t>年使用上年结转资金</w:t>
      </w:r>
      <w:r>
        <w:rPr>
          <w:rFonts w:ascii="仿宋_GB2312" w:hAnsi="黑体" w:eastAsia="仿宋_GB2312" w:cs="仿宋_GB2312"/>
          <w:kern w:val="0"/>
          <w:sz w:val="32"/>
          <w:szCs w:val="32"/>
          <w:highlight w:val="none"/>
        </w:rPr>
        <w:t>274.3</w:t>
      </w:r>
      <w:r>
        <w:rPr>
          <w:rFonts w:hint="eastAsia" w:ascii="仿宋_GB2312" w:hAnsi="黑体" w:eastAsia="仿宋_GB2312" w:cs="仿宋_GB2312"/>
          <w:kern w:val="0"/>
          <w:sz w:val="32"/>
          <w:szCs w:val="32"/>
          <w:highlight w:val="none"/>
        </w:rPr>
        <w:t>万元</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t>（二）本部门2022年度总支出</w:t>
      </w:r>
      <w:r>
        <w:rPr>
          <w:rFonts w:ascii="仿宋_GB2312" w:eastAsia="仿宋_GB2312"/>
          <w:kern w:val="0"/>
          <w:sz w:val="32"/>
          <w:szCs w:val="32"/>
        </w:rPr>
        <w:t>3892.52</w:t>
      </w:r>
      <w:r>
        <w:rPr>
          <w:rFonts w:hint="eastAsia" w:ascii="仿宋_GB2312" w:eastAsia="仿宋_GB2312" w:cs="仿宋_GB2312"/>
          <w:kern w:val="0"/>
          <w:sz w:val="32"/>
          <w:szCs w:val="32"/>
        </w:rPr>
        <w:t xml:space="preserve">万元，其中本年支出 </w:t>
      </w:r>
      <w:r>
        <w:rPr>
          <w:rFonts w:ascii="仿宋_GB2312" w:eastAsia="仿宋_GB2312"/>
          <w:kern w:val="0"/>
          <w:sz w:val="32"/>
          <w:szCs w:val="32"/>
        </w:rPr>
        <w:t>1973.98</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较2021年度决算数减少2</w:t>
      </w:r>
      <w:r>
        <w:rPr>
          <w:rFonts w:ascii="仿宋_GB2312" w:hAnsi="黑体" w:eastAsia="仿宋_GB2312" w:cs="仿宋_GB2312"/>
          <w:kern w:val="0"/>
          <w:sz w:val="32"/>
          <w:szCs w:val="32"/>
        </w:rPr>
        <w:t>5.50</w:t>
      </w:r>
      <w:r>
        <w:rPr>
          <w:rFonts w:hint="eastAsia" w:ascii="仿宋_GB2312" w:hAnsi="黑体" w:eastAsia="仿宋_GB2312" w:cs="仿宋_GB2312"/>
          <w:kern w:val="0"/>
          <w:sz w:val="32"/>
          <w:szCs w:val="32"/>
        </w:rPr>
        <w:t>万元，下降1</w:t>
      </w:r>
      <w:r>
        <w:rPr>
          <w:rFonts w:ascii="仿宋_GB2312" w:hAnsi="黑体" w:eastAsia="仿宋_GB2312" w:cs="仿宋_GB2312"/>
          <w:kern w:val="0"/>
          <w:sz w:val="32"/>
          <w:szCs w:val="32"/>
        </w:rPr>
        <w:t>.28</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rPr>
          <w:rFonts w:ascii="仿宋_GB2312" w:eastAsia="仿宋_GB2312"/>
          <w:bCs/>
          <w:kern w:val="0"/>
          <w:sz w:val="32"/>
          <w:szCs w:val="32"/>
        </w:rPr>
      </w:pPr>
      <w:r>
        <w:rPr>
          <w:rFonts w:hint="eastAsia" w:ascii="仿宋_GB2312" w:eastAsia="仿宋_GB2312"/>
          <w:bCs/>
          <w:kern w:val="0"/>
          <w:sz w:val="32"/>
          <w:szCs w:val="32"/>
        </w:rPr>
        <w:t>1.科学技术支出（类）</w:t>
      </w:r>
      <w:r>
        <w:rPr>
          <w:rFonts w:ascii="仿宋_GB2312" w:eastAsia="仿宋_GB2312"/>
          <w:bCs/>
          <w:kern w:val="0"/>
          <w:sz w:val="32"/>
          <w:szCs w:val="32"/>
        </w:rPr>
        <w:t>1917.44</w:t>
      </w:r>
      <w:r>
        <w:rPr>
          <w:rFonts w:hint="eastAsia" w:ascii="仿宋_GB2312" w:eastAsia="仿宋_GB2312"/>
          <w:bCs/>
          <w:kern w:val="0"/>
          <w:sz w:val="32"/>
          <w:szCs w:val="32"/>
        </w:rPr>
        <w:t>万元，主要用于人员经费及保障中心工作正常运行的日常公用经费。其中：机构运行52.</w:t>
      </w:r>
      <w:r>
        <w:rPr>
          <w:rFonts w:ascii="仿宋_GB2312" w:eastAsia="仿宋_GB2312"/>
          <w:bCs/>
          <w:kern w:val="0"/>
          <w:sz w:val="32"/>
          <w:szCs w:val="32"/>
        </w:rPr>
        <w:t>03</w:t>
      </w:r>
      <w:r>
        <w:rPr>
          <w:rFonts w:hint="eastAsia" w:ascii="仿宋_GB2312" w:eastAsia="仿宋_GB2312"/>
          <w:bCs/>
          <w:kern w:val="0"/>
          <w:sz w:val="32"/>
          <w:szCs w:val="32"/>
        </w:rPr>
        <w:t>万元，其他科技条件与服务支出18</w:t>
      </w:r>
      <w:r>
        <w:rPr>
          <w:rFonts w:ascii="仿宋_GB2312" w:eastAsia="仿宋_GB2312"/>
          <w:bCs/>
          <w:kern w:val="0"/>
          <w:sz w:val="32"/>
          <w:szCs w:val="32"/>
        </w:rPr>
        <w:t>65.41</w:t>
      </w:r>
      <w:r>
        <w:rPr>
          <w:rFonts w:hint="eastAsia" w:ascii="仿宋_GB2312" w:eastAsia="仿宋_GB2312"/>
          <w:bCs/>
          <w:kern w:val="0"/>
          <w:sz w:val="32"/>
          <w:szCs w:val="32"/>
        </w:rPr>
        <w:t>万元。较2021年度决算数增加</w:t>
      </w:r>
      <w:r>
        <w:rPr>
          <w:rFonts w:ascii="仿宋_GB2312" w:eastAsia="仿宋_GB2312"/>
          <w:bCs/>
          <w:kern w:val="0"/>
          <w:sz w:val="32"/>
          <w:szCs w:val="32"/>
        </w:rPr>
        <w:t>14.08</w:t>
      </w:r>
      <w:r>
        <w:rPr>
          <w:rFonts w:hint="eastAsia" w:ascii="仿宋_GB2312" w:eastAsia="仿宋_GB2312"/>
          <w:bCs/>
          <w:kern w:val="0"/>
          <w:sz w:val="32"/>
          <w:szCs w:val="32"/>
        </w:rPr>
        <w:t>万元，增长</w:t>
      </w:r>
      <w:r>
        <w:rPr>
          <w:rFonts w:ascii="仿宋_GB2312" w:eastAsia="仿宋_GB2312"/>
          <w:bCs/>
          <w:kern w:val="0"/>
          <w:sz w:val="32"/>
          <w:szCs w:val="32"/>
        </w:rPr>
        <w:t>0.74</w:t>
      </w:r>
      <w:r>
        <w:rPr>
          <w:rFonts w:hint="eastAsia" w:ascii="仿宋_GB2312" w:eastAsia="仿宋_GB2312"/>
          <w:bCs/>
          <w:kern w:val="0"/>
          <w:sz w:val="32"/>
          <w:szCs w:val="32"/>
        </w:rPr>
        <w:t>%。</w:t>
      </w:r>
    </w:p>
    <w:p>
      <w:pPr>
        <w:autoSpaceDE w:val="0"/>
        <w:autoSpaceDN w:val="0"/>
        <w:adjustRightInd w:val="0"/>
        <w:spacing w:line="560" w:lineRule="exact"/>
        <w:ind w:firstLine="627" w:firstLineChars="196"/>
        <w:rPr>
          <w:rFonts w:ascii="仿宋_GB2312" w:eastAsia="仿宋_GB2312"/>
          <w:bCs/>
          <w:kern w:val="0"/>
          <w:sz w:val="32"/>
          <w:szCs w:val="32"/>
        </w:rPr>
      </w:pPr>
      <w:r>
        <w:rPr>
          <w:rFonts w:hint="eastAsia" w:ascii="仿宋_GB2312" w:eastAsia="仿宋_GB2312"/>
          <w:bCs/>
          <w:kern w:val="0"/>
          <w:sz w:val="32"/>
          <w:szCs w:val="32"/>
        </w:rPr>
        <w:t>2.社会保障和就业支出（类）</w:t>
      </w:r>
      <w:r>
        <w:rPr>
          <w:rFonts w:ascii="仿宋_GB2312" w:eastAsia="仿宋_GB2312"/>
          <w:bCs/>
          <w:kern w:val="0"/>
          <w:sz w:val="32"/>
          <w:szCs w:val="32"/>
        </w:rPr>
        <w:t>32.99</w:t>
      </w:r>
      <w:r>
        <w:rPr>
          <w:rFonts w:hint="eastAsia" w:ascii="仿宋_GB2312" w:eastAsia="仿宋_GB2312"/>
          <w:bCs/>
          <w:kern w:val="0"/>
          <w:sz w:val="32"/>
          <w:szCs w:val="32"/>
        </w:rPr>
        <w:t>万元，主要用于退休费、职工养老保险、职业年金缴费支出。其中：事业单位离退休</w:t>
      </w:r>
      <w:r>
        <w:rPr>
          <w:rFonts w:ascii="仿宋_GB2312" w:eastAsia="仿宋_GB2312"/>
          <w:bCs/>
          <w:kern w:val="0"/>
          <w:sz w:val="32"/>
          <w:szCs w:val="32"/>
        </w:rPr>
        <w:t>12.08</w:t>
      </w:r>
      <w:r>
        <w:rPr>
          <w:rFonts w:hint="eastAsia" w:ascii="仿宋_GB2312" w:eastAsia="仿宋_GB2312"/>
          <w:bCs/>
          <w:kern w:val="0"/>
          <w:sz w:val="32"/>
          <w:szCs w:val="32"/>
        </w:rPr>
        <w:t>万元，机关事业单位基本养老保险缴费支出</w:t>
      </w:r>
      <w:r>
        <w:rPr>
          <w:rFonts w:ascii="仿宋_GB2312" w:eastAsia="仿宋_GB2312"/>
          <w:bCs/>
          <w:kern w:val="0"/>
          <w:sz w:val="32"/>
          <w:szCs w:val="32"/>
        </w:rPr>
        <w:t>7.49</w:t>
      </w:r>
      <w:r>
        <w:rPr>
          <w:rFonts w:hint="eastAsia" w:ascii="仿宋_GB2312" w:eastAsia="仿宋_GB2312"/>
          <w:bCs/>
          <w:kern w:val="0"/>
          <w:sz w:val="32"/>
          <w:szCs w:val="32"/>
        </w:rPr>
        <w:t>万元，机关事业单位职业年金缴费支出</w:t>
      </w:r>
      <w:r>
        <w:rPr>
          <w:rFonts w:ascii="仿宋_GB2312" w:eastAsia="仿宋_GB2312"/>
          <w:bCs/>
          <w:kern w:val="0"/>
          <w:sz w:val="32"/>
          <w:szCs w:val="32"/>
        </w:rPr>
        <w:t>3.75</w:t>
      </w:r>
      <w:r>
        <w:rPr>
          <w:rFonts w:hint="eastAsia" w:ascii="仿宋_GB2312" w:eastAsia="仿宋_GB2312"/>
          <w:bCs/>
          <w:kern w:val="0"/>
          <w:sz w:val="32"/>
          <w:szCs w:val="32"/>
        </w:rPr>
        <w:t>万元，死亡抚恤</w:t>
      </w:r>
      <w:r>
        <w:rPr>
          <w:rFonts w:ascii="仿宋_GB2312" w:eastAsia="仿宋_GB2312"/>
          <w:bCs/>
          <w:kern w:val="0"/>
          <w:sz w:val="32"/>
          <w:szCs w:val="32"/>
        </w:rPr>
        <w:t>9.68</w:t>
      </w:r>
      <w:r>
        <w:rPr>
          <w:rFonts w:hint="eastAsia" w:ascii="仿宋_GB2312" w:eastAsia="仿宋_GB2312"/>
          <w:bCs/>
          <w:kern w:val="0"/>
          <w:sz w:val="32"/>
          <w:szCs w:val="32"/>
        </w:rPr>
        <w:t>万元。较2021年度决算数增加</w:t>
      </w:r>
      <w:r>
        <w:rPr>
          <w:rFonts w:ascii="仿宋_GB2312" w:eastAsia="仿宋_GB2312"/>
          <w:bCs/>
          <w:kern w:val="0"/>
          <w:sz w:val="32"/>
          <w:szCs w:val="32"/>
        </w:rPr>
        <w:t>4.20</w:t>
      </w:r>
      <w:r>
        <w:rPr>
          <w:rFonts w:hint="eastAsia" w:ascii="仿宋_GB2312" w:eastAsia="仿宋_GB2312"/>
          <w:bCs/>
          <w:kern w:val="0"/>
          <w:sz w:val="32"/>
          <w:szCs w:val="32"/>
        </w:rPr>
        <w:t>万元，增长</w:t>
      </w:r>
      <w:r>
        <w:rPr>
          <w:rFonts w:ascii="仿宋_GB2312" w:eastAsia="仿宋_GB2312"/>
          <w:bCs/>
          <w:kern w:val="0"/>
          <w:sz w:val="32"/>
          <w:szCs w:val="32"/>
        </w:rPr>
        <w:t>14.59</w:t>
      </w:r>
      <w:r>
        <w:rPr>
          <w:rFonts w:hint="eastAsia" w:ascii="仿宋_GB2312" w:eastAsia="仿宋_GB2312"/>
          <w:bCs/>
          <w:kern w:val="0"/>
          <w:sz w:val="32"/>
          <w:szCs w:val="32"/>
        </w:rPr>
        <w:t>%，主要原因是</w:t>
      </w:r>
      <w:r>
        <w:rPr>
          <w:rFonts w:ascii="仿宋_GB2312" w:eastAsia="仿宋_GB2312"/>
          <w:bCs/>
          <w:kern w:val="0"/>
          <w:sz w:val="32"/>
          <w:szCs w:val="32"/>
          <w:highlight w:val="none"/>
        </w:rPr>
        <w:t>2022</w:t>
      </w:r>
      <w:r>
        <w:rPr>
          <w:rFonts w:hint="eastAsia" w:ascii="仿宋_GB2312" w:eastAsia="仿宋_GB2312"/>
          <w:bCs/>
          <w:kern w:val="0"/>
          <w:sz w:val="32"/>
          <w:szCs w:val="32"/>
          <w:highlight w:val="none"/>
        </w:rPr>
        <w:t>年</w:t>
      </w:r>
      <w:r>
        <w:rPr>
          <w:rFonts w:ascii="仿宋_GB2312" w:eastAsia="仿宋_GB2312"/>
          <w:bCs/>
          <w:kern w:val="0"/>
          <w:sz w:val="32"/>
          <w:szCs w:val="32"/>
          <w:highlight w:val="none"/>
        </w:rPr>
        <w:t>1</w:t>
      </w:r>
      <w:r>
        <w:rPr>
          <w:rFonts w:hint="eastAsia" w:ascii="仿宋_GB2312" w:eastAsia="仿宋_GB2312"/>
          <w:bCs/>
          <w:kern w:val="0"/>
          <w:sz w:val="32"/>
          <w:szCs w:val="32"/>
          <w:highlight w:val="none"/>
        </w:rPr>
        <w:t>人由在职转退休，</w:t>
      </w:r>
      <w:r>
        <w:rPr>
          <w:rFonts w:hint="eastAsia" w:ascii="仿宋_GB2312" w:eastAsia="仿宋_GB2312"/>
          <w:bCs/>
          <w:kern w:val="0"/>
          <w:sz w:val="32"/>
          <w:szCs w:val="32"/>
        </w:rPr>
        <w:t>退休费、死亡抚恤金增加。</w:t>
      </w:r>
    </w:p>
    <w:p>
      <w:pPr>
        <w:autoSpaceDE w:val="0"/>
        <w:autoSpaceDN w:val="0"/>
        <w:adjustRightInd w:val="0"/>
        <w:spacing w:line="560" w:lineRule="exact"/>
        <w:ind w:firstLine="627" w:firstLineChars="196"/>
        <w:rPr>
          <w:rFonts w:ascii="仿宋_GB2312" w:eastAsia="仿宋_GB2312"/>
          <w:bCs/>
          <w:kern w:val="0"/>
          <w:sz w:val="32"/>
          <w:szCs w:val="32"/>
        </w:rPr>
      </w:pPr>
      <w:r>
        <w:rPr>
          <w:rFonts w:hint="eastAsia" w:ascii="仿宋_GB2312" w:eastAsia="仿宋_GB2312"/>
          <w:bCs/>
          <w:kern w:val="0"/>
          <w:sz w:val="32"/>
          <w:szCs w:val="32"/>
        </w:rPr>
        <w:t>3.卫生健康支出（类）</w:t>
      </w:r>
      <w:r>
        <w:rPr>
          <w:rFonts w:ascii="仿宋_GB2312" w:eastAsia="仿宋_GB2312"/>
          <w:bCs/>
          <w:kern w:val="0"/>
          <w:sz w:val="32"/>
          <w:szCs w:val="32"/>
        </w:rPr>
        <w:t>3.47</w:t>
      </w:r>
      <w:r>
        <w:rPr>
          <w:rFonts w:hint="eastAsia" w:ascii="仿宋_GB2312" w:eastAsia="仿宋_GB2312"/>
          <w:bCs/>
          <w:kern w:val="0"/>
          <w:sz w:val="32"/>
          <w:szCs w:val="32"/>
        </w:rPr>
        <w:t>万元，主要用于医疗保险支出。较2021年度决算数减少0</w:t>
      </w:r>
      <w:r>
        <w:rPr>
          <w:rFonts w:ascii="仿宋_GB2312" w:eastAsia="仿宋_GB2312"/>
          <w:bCs/>
          <w:kern w:val="0"/>
          <w:sz w:val="32"/>
          <w:szCs w:val="32"/>
        </w:rPr>
        <w:t>.94</w:t>
      </w:r>
      <w:r>
        <w:rPr>
          <w:rFonts w:hint="eastAsia" w:ascii="仿宋_GB2312" w:eastAsia="仿宋_GB2312"/>
          <w:bCs/>
          <w:kern w:val="0"/>
          <w:sz w:val="32"/>
          <w:szCs w:val="32"/>
        </w:rPr>
        <w:t>万元，下降2</w:t>
      </w:r>
      <w:r>
        <w:rPr>
          <w:rFonts w:ascii="仿宋_GB2312" w:eastAsia="仿宋_GB2312"/>
          <w:bCs/>
          <w:kern w:val="0"/>
          <w:sz w:val="32"/>
          <w:szCs w:val="32"/>
        </w:rPr>
        <w:t>1.32</w:t>
      </w:r>
      <w:r>
        <w:rPr>
          <w:rFonts w:hint="eastAsia" w:ascii="仿宋_GB2312" w:eastAsia="仿宋_GB2312"/>
          <w:bCs/>
          <w:kern w:val="0"/>
          <w:sz w:val="32"/>
          <w:szCs w:val="32"/>
        </w:rPr>
        <w:t>%，主要原因是</w:t>
      </w:r>
      <w:r>
        <w:rPr>
          <w:rFonts w:ascii="仿宋_GB2312" w:eastAsia="仿宋_GB2312"/>
          <w:bCs/>
          <w:kern w:val="0"/>
          <w:sz w:val="32"/>
          <w:szCs w:val="32"/>
          <w:highlight w:val="none"/>
        </w:rPr>
        <w:t>2022</w:t>
      </w:r>
      <w:r>
        <w:rPr>
          <w:rFonts w:hint="eastAsia" w:ascii="仿宋_GB2312" w:eastAsia="仿宋_GB2312"/>
          <w:bCs/>
          <w:kern w:val="0"/>
          <w:sz w:val="32"/>
          <w:szCs w:val="32"/>
          <w:highlight w:val="none"/>
        </w:rPr>
        <w:t>年</w:t>
      </w:r>
      <w:r>
        <w:rPr>
          <w:rFonts w:ascii="仿宋_GB2312" w:eastAsia="仿宋_GB2312"/>
          <w:bCs/>
          <w:kern w:val="0"/>
          <w:sz w:val="32"/>
          <w:szCs w:val="32"/>
          <w:highlight w:val="none"/>
        </w:rPr>
        <w:t>1</w:t>
      </w:r>
      <w:r>
        <w:rPr>
          <w:rFonts w:hint="eastAsia" w:ascii="仿宋_GB2312" w:eastAsia="仿宋_GB2312"/>
          <w:bCs/>
          <w:kern w:val="0"/>
          <w:sz w:val="32"/>
          <w:szCs w:val="32"/>
          <w:highlight w:val="none"/>
        </w:rPr>
        <w:t>人由在职转退休，</w:t>
      </w:r>
      <w:r>
        <w:rPr>
          <w:rFonts w:hint="eastAsia" w:ascii="仿宋_GB2312" w:eastAsia="仿宋_GB2312"/>
          <w:bCs/>
          <w:kern w:val="0"/>
          <w:sz w:val="32"/>
          <w:szCs w:val="32"/>
        </w:rPr>
        <w:t>医疗保险支出减少。</w:t>
      </w:r>
    </w:p>
    <w:p>
      <w:pPr>
        <w:autoSpaceDE w:val="0"/>
        <w:autoSpaceDN w:val="0"/>
        <w:adjustRightInd w:val="0"/>
        <w:spacing w:line="560" w:lineRule="exact"/>
        <w:ind w:firstLine="627" w:firstLineChars="196"/>
        <w:rPr>
          <w:rFonts w:ascii="仿宋_GB2312" w:eastAsia="仿宋_GB2312"/>
          <w:bCs/>
          <w:kern w:val="0"/>
          <w:sz w:val="32"/>
          <w:szCs w:val="32"/>
        </w:rPr>
      </w:pPr>
      <w:r>
        <w:rPr>
          <w:rFonts w:hint="eastAsia" w:ascii="仿宋_GB2312" w:eastAsia="仿宋_GB2312"/>
          <w:bCs/>
          <w:kern w:val="0"/>
          <w:sz w:val="32"/>
          <w:szCs w:val="32"/>
        </w:rPr>
        <w:t>4.资源勘探工业信息等支出（类）</w:t>
      </w:r>
      <w:r>
        <w:rPr>
          <w:rFonts w:ascii="仿宋_GB2312" w:eastAsia="仿宋_GB2312"/>
          <w:bCs/>
          <w:kern w:val="0"/>
          <w:sz w:val="32"/>
          <w:szCs w:val="32"/>
        </w:rPr>
        <w:t>14.46</w:t>
      </w:r>
      <w:r>
        <w:rPr>
          <w:rFonts w:hint="eastAsia" w:ascii="仿宋_GB2312" w:eastAsia="仿宋_GB2312"/>
          <w:bCs/>
          <w:kern w:val="0"/>
          <w:sz w:val="32"/>
          <w:szCs w:val="32"/>
        </w:rPr>
        <w:t>万元，主要用于全区信息安全检查工作。较2021年度决算数减少4</w:t>
      </w:r>
      <w:r>
        <w:rPr>
          <w:rFonts w:ascii="仿宋_GB2312" w:eastAsia="仿宋_GB2312"/>
          <w:bCs/>
          <w:kern w:val="0"/>
          <w:sz w:val="32"/>
          <w:szCs w:val="32"/>
        </w:rPr>
        <w:t>1.13</w:t>
      </w:r>
      <w:r>
        <w:rPr>
          <w:rFonts w:hint="eastAsia" w:ascii="仿宋_GB2312" w:eastAsia="仿宋_GB2312"/>
          <w:bCs/>
          <w:kern w:val="0"/>
          <w:sz w:val="32"/>
          <w:szCs w:val="32"/>
        </w:rPr>
        <w:t>万元，下降7</w:t>
      </w:r>
      <w:r>
        <w:rPr>
          <w:rFonts w:ascii="仿宋_GB2312" w:eastAsia="仿宋_GB2312"/>
          <w:bCs/>
          <w:kern w:val="0"/>
          <w:sz w:val="32"/>
          <w:szCs w:val="32"/>
        </w:rPr>
        <w:t>3.99</w:t>
      </w:r>
      <w:r>
        <w:rPr>
          <w:rFonts w:hint="eastAsia" w:ascii="仿宋_GB2312" w:eastAsia="仿宋_GB2312"/>
          <w:bCs/>
          <w:kern w:val="0"/>
          <w:sz w:val="32"/>
          <w:szCs w:val="32"/>
        </w:rPr>
        <w:t>%，主要原因是</w:t>
      </w:r>
      <w:r>
        <w:rPr>
          <w:rFonts w:ascii="仿宋_GB2312" w:eastAsia="仿宋_GB2312"/>
          <w:bCs/>
          <w:kern w:val="0"/>
          <w:sz w:val="32"/>
          <w:szCs w:val="32"/>
          <w:highlight w:val="none"/>
        </w:rPr>
        <w:t>2022</w:t>
      </w:r>
      <w:r>
        <w:rPr>
          <w:rFonts w:hint="eastAsia" w:ascii="仿宋_GB2312" w:eastAsia="仿宋_GB2312"/>
          <w:bCs/>
          <w:kern w:val="0"/>
          <w:sz w:val="32"/>
          <w:szCs w:val="32"/>
          <w:highlight w:val="none"/>
        </w:rPr>
        <w:t>年使用信息安全检查经费支出减少</w:t>
      </w:r>
      <w:r>
        <w:rPr>
          <w:rFonts w:hint="eastAsia" w:ascii="仿宋_GB2312" w:eastAsia="仿宋_GB2312"/>
          <w:bCs/>
          <w:kern w:val="0"/>
          <w:sz w:val="32"/>
          <w:szCs w:val="32"/>
        </w:rPr>
        <w:t>。</w:t>
      </w:r>
    </w:p>
    <w:p>
      <w:pPr>
        <w:autoSpaceDE w:val="0"/>
        <w:autoSpaceDN w:val="0"/>
        <w:adjustRightInd w:val="0"/>
        <w:spacing w:line="560" w:lineRule="exact"/>
        <w:ind w:firstLine="627" w:firstLineChars="196"/>
        <w:rPr>
          <w:rFonts w:ascii="仿宋_GB2312" w:eastAsia="仿宋_GB2312"/>
          <w:bCs/>
          <w:kern w:val="0"/>
          <w:sz w:val="32"/>
          <w:szCs w:val="32"/>
        </w:rPr>
      </w:pPr>
      <w:r>
        <w:rPr>
          <w:rFonts w:hint="eastAsia" w:ascii="仿宋_GB2312" w:eastAsia="仿宋_GB2312"/>
          <w:bCs/>
          <w:kern w:val="0"/>
          <w:sz w:val="32"/>
          <w:szCs w:val="32"/>
        </w:rPr>
        <w:t>5.住房保障支出（类）</w:t>
      </w:r>
      <w:r>
        <w:rPr>
          <w:rFonts w:ascii="仿宋_GB2312" w:eastAsia="仿宋_GB2312"/>
          <w:bCs/>
          <w:kern w:val="0"/>
          <w:sz w:val="32"/>
          <w:szCs w:val="32"/>
        </w:rPr>
        <w:t>5.62</w:t>
      </w:r>
      <w:r>
        <w:rPr>
          <w:rFonts w:hint="eastAsia" w:ascii="仿宋_GB2312" w:eastAsia="仿宋_GB2312"/>
          <w:bCs/>
          <w:kern w:val="0"/>
          <w:sz w:val="32"/>
          <w:szCs w:val="32"/>
        </w:rPr>
        <w:t>万元，主要用于职工公积金缴费支出。较2021年度决算数减少1</w:t>
      </w:r>
      <w:r>
        <w:rPr>
          <w:rFonts w:ascii="仿宋_GB2312" w:eastAsia="仿宋_GB2312"/>
          <w:bCs/>
          <w:kern w:val="0"/>
          <w:sz w:val="32"/>
          <w:szCs w:val="32"/>
        </w:rPr>
        <w:t>.72</w:t>
      </w:r>
      <w:r>
        <w:rPr>
          <w:rFonts w:hint="eastAsia" w:ascii="仿宋_GB2312" w:eastAsia="仿宋_GB2312"/>
          <w:bCs/>
          <w:kern w:val="0"/>
          <w:sz w:val="32"/>
          <w:szCs w:val="32"/>
        </w:rPr>
        <w:t>万元，下降2</w:t>
      </w:r>
      <w:r>
        <w:rPr>
          <w:rFonts w:ascii="仿宋_GB2312" w:eastAsia="仿宋_GB2312"/>
          <w:bCs/>
          <w:kern w:val="0"/>
          <w:sz w:val="32"/>
          <w:szCs w:val="32"/>
        </w:rPr>
        <w:t>3.43</w:t>
      </w:r>
      <w:r>
        <w:rPr>
          <w:rFonts w:hint="eastAsia" w:ascii="仿宋_GB2312" w:eastAsia="仿宋_GB2312"/>
          <w:bCs/>
          <w:kern w:val="0"/>
          <w:sz w:val="32"/>
          <w:szCs w:val="32"/>
        </w:rPr>
        <w:t>%，主要原因是</w:t>
      </w:r>
      <w:r>
        <w:rPr>
          <w:rFonts w:ascii="仿宋_GB2312" w:eastAsia="仿宋_GB2312"/>
          <w:bCs/>
          <w:kern w:val="0"/>
          <w:sz w:val="32"/>
          <w:szCs w:val="32"/>
          <w:highlight w:val="none"/>
        </w:rPr>
        <w:t>2022</w:t>
      </w:r>
      <w:r>
        <w:rPr>
          <w:rFonts w:hint="eastAsia" w:ascii="仿宋_GB2312" w:eastAsia="仿宋_GB2312"/>
          <w:bCs/>
          <w:kern w:val="0"/>
          <w:sz w:val="32"/>
          <w:szCs w:val="32"/>
          <w:highlight w:val="none"/>
        </w:rPr>
        <w:t>年</w:t>
      </w:r>
      <w:r>
        <w:rPr>
          <w:rFonts w:ascii="仿宋_GB2312" w:eastAsia="仿宋_GB2312"/>
          <w:bCs/>
          <w:kern w:val="0"/>
          <w:sz w:val="32"/>
          <w:szCs w:val="32"/>
          <w:highlight w:val="none"/>
        </w:rPr>
        <w:t>1</w:t>
      </w:r>
      <w:r>
        <w:rPr>
          <w:rFonts w:hint="eastAsia" w:ascii="仿宋_GB2312" w:eastAsia="仿宋_GB2312"/>
          <w:bCs/>
          <w:kern w:val="0"/>
          <w:sz w:val="32"/>
          <w:szCs w:val="32"/>
          <w:highlight w:val="none"/>
        </w:rPr>
        <w:t>人由在职转退休，</w:t>
      </w:r>
      <w:r>
        <w:rPr>
          <w:rFonts w:hint="eastAsia" w:ascii="仿宋_GB2312" w:eastAsia="仿宋_GB2312"/>
          <w:bCs/>
          <w:kern w:val="0"/>
          <w:sz w:val="32"/>
          <w:szCs w:val="32"/>
        </w:rPr>
        <w:t>公积金支出减少。</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bCs/>
          <w:kern w:val="0"/>
          <w:sz w:val="32"/>
          <w:szCs w:val="32"/>
        </w:rPr>
        <w:t>6.结余分配0万元，为事业单位按规定提取的专用结余、缴纳所得税和转入非财政拨款结余等。较2021年度决算数无变化</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ascii="仿宋_GB2312" w:eastAsia="仿宋_GB2312"/>
          <w:bCs/>
          <w:kern w:val="0"/>
          <w:sz w:val="32"/>
          <w:szCs w:val="32"/>
        </w:rPr>
        <w:t>7</w:t>
      </w:r>
      <w:r>
        <w:rPr>
          <w:rFonts w:hint="eastAsia" w:ascii="仿宋_GB2312" w:eastAsia="仿宋_GB2312" w:cs="仿宋_GB2312"/>
          <w:kern w:val="0"/>
          <w:sz w:val="32"/>
          <w:szCs w:val="32"/>
        </w:rPr>
        <w:t>.年末结转和结余1</w:t>
      </w:r>
      <w:r>
        <w:rPr>
          <w:rFonts w:ascii="仿宋_GB2312" w:eastAsia="仿宋_GB2312" w:cs="仿宋_GB2312"/>
          <w:kern w:val="0"/>
          <w:sz w:val="32"/>
          <w:szCs w:val="32"/>
        </w:rPr>
        <w:t>918.54</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较2021年度决算数增加6</w:t>
      </w:r>
      <w:r>
        <w:rPr>
          <w:rFonts w:ascii="仿宋_GB2312" w:hAnsi="黑体" w:eastAsia="仿宋_GB2312" w:cs="仿宋_GB2312"/>
          <w:kern w:val="0"/>
          <w:sz w:val="32"/>
          <w:szCs w:val="32"/>
        </w:rPr>
        <w:t>11.17</w:t>
      </w:r>
      <w:r>
        <w:rPr>
          <w:rFonts w:hint="eastAsia" w:ascii="仿宋_GB2312" w:hAnsi="黑体" w:eastAsia="仿宋_GB2312" w:cs="仿宋_GB2312"/>
          <w:kern w:val="0"/>
          <w:sz w:val="32"/>
          <w:szCs w:val="32"/>
        </w:rPr>
        <w:t>万元，增长4</w:t>
      </w:r>
      <w:r>
        <w:rPr>
          <w:rFonts w:ascii="仿宋_GB2312" w:hAnsi="黑体" w:eastAsia="仿宋_GB2312" w:cs="仿宋_GB2312"/>
          <w:kern w:val="0"/>
          <w:sz w:val="32"/>
          <w:szCs w:val="32"/>
        </w:rPr>
        <w:t>6.75</w:t>
      </w:r>
      <w:r>
        <w:rPr>
          <w:rFonts w:hint="eastAsia" w:ascii="仿宋_GB2312" w:hAnsi="黑体" w:eastAsia="仿宋_GB2312" w:cs="仿宋_GB2312"/>
          <w:kern w:val="0"/>
          <w:sz w:val="32"/>
          <w:szCs w:val="32"/>
        </w:rPr>
        <w:t>%，主要原因是</w:t>
      </w:r>
      <w:r>
        <w:rPr>
          <w:rFonts w:ascii="仿宋_GB2312" w:hAnsi="黑体" w:eastAsia="仿宋_GB2312" w:cs="仿宋_GB2312"/>
          <w:kern w:val="0"/>
          <w:sz w:val="32"/>
          <w:szCs w:val="32"/>
          <w:highlight w:val="none"/>
        </w:rPr>
        <w:t>2022</w:t>
      </w:r>
      <w:r>
        <w:rPr>
          <w:rFonts w:hint="eastAsia" w:ascii="仿宋_GB2312" w:hAnsi="黑体" w:eastAsia="仿宋_GB2312" w:cs="仿宋_GB2312"/>
          <w:kern w:val="0"/>
          <w:sz w:val="32"/>
          <w:szCs w:val="32"/>
          <w:highlight w:val="none"/>
        </w:rPr>
        <w:t>年度超额完成事业收入，收入大于支出，因此年末结转资金</w:t>
      </w:r>
      <w:r>
        <w:rPr>
          <w:rFonts w:ascii="仿宋_GB2312" w:hAnsi="黑体" w:eastAsia="仿宋_GB2312" w:cs="仿宋_GB2312"/>
          <w:kern w:val="0"/>
          <w:sz w:val="32"/>
          <w:szCs w:val="32"/>
          <w:highlight w:val="none"/>
        </w:rPr>
        <w:t xml:space="preserve"> </w:t>
      </w:r>
      <w:r>
        <w:rPr>
          <w:rFonts w:hint="eastAsia" w:ascii="仿宋_GB2312" w:hAnsi="黑体" w:eastAsia="仿宋_GB2312" w:cs="仿宋_GB2312"/>
          <w:kern w:val="0"/>
          <w:sz w:val="32"/>
          <w:szCs w:val="32"/>
          <w:highlight w:val="none"/>
        </w:rPr>
        <w:t>增长较多</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2022</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广西壮族自治区电子信息和网络安全测评研究院</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ascii="仿宋_GB2312" w:eastAsia="仿宋_GB2312"/>
          <w:kern w:val="0"/>
          <w:sz w:val="32"/>
          <w:szCs w:val="32"/>
        </w:rPr>
        <w:t>110.71</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较2021年度决算数减少5</w:t>
      </w:r>
      <w:r>
        <w:rPr>
          <w:rFonts w:ascii="仿宋_GB2312" w:hAnsi="黑体" w:eastAsia="仿宋_GB2312" w:cs="仿宋_GB2312"/>
          <w:kern w:val="0"/>
          <w:sz w:val="32"/>
          <w:szCs w:val="32"/>
        </w:rPr>
        <w:t>8.88</w:t>
      </w:r>
      <w:r>
        <w:rPr>
          <w:rFonts w:hint="eastAsia" w:ascii="仿宋_GB2312" w:hAnsi="黑体" w:eastAsia="仿宋_GB2312" w:cs="仿宋_GB2312"/>
          <w:kern w:val="0"/>
          <w:sz w:val="32"/>
          <w:szCs w:val="32"/>
        </w:rPr>
        <w:t>万元，下降3</w:t>
      </w:r>
      <w:r>
        <w:rPr>
          <w:rFonts w:ascii="仿宋_GB2312" w:hAnsi="黑体" w:eastAsia="仿宋_GB2312" w:cs="仿宋_GB2312"/>
          <w:kern w:val="0"/>
          <w:sz w:val="32"/>
          <w:szCs w:val="32"/>
        </w:rPr>
        <w:t>4.72</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ascii="仿宋_GB2312" w:eastAsia="仿宋_GB2312"/>
          <w:kern w:val="0"/>
          <w:sz w:val="32"/>
          <w:szCs w:val="32"/>
        </w:rPr>
        <w:t>103.03</w:t>
      </w:r>
      <w:r>
        <w:rPr>
          <w:rFonts w:hint="eastAsia" w:ascii="仿宋_GB2312" w:eastAsia="仿宋_GB2312" w:cs="仿宋_GB2312"/>
          <w:kern w:val="0"/>
          <w:sz w:val="32"/>
          <w:szCs w:val="32"/>
        </w:rPr>
        <w:t>万元，项目支出</w:t>
      </w:r>
      <w:r>
        <w:rPr>
          <w:rFonts w:ascii="仿宋_GB2312" w:eastAsia="仿宋_GB2312" w:cs="仿宋_GB2312"/>
          <w:kern w:val="0"/>
          <w:sz w:val="32"/>
          <w:szCs w:val="32"/>
        </w:rPr>
        <w:t>7.68</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rPr>
          <w:rFonts w:ascii="仿宋_GB2312" w:hAnsi="黑体" w:eastAsia="仿宋_GB2312" w:cs="仿宋_GB2312"/>
          <w:kern w:val="0"/>
          <w:sz w:val="32"/>
          <w:szCs w:val="32"/>
        </w:rPr>
      </w:pPr>
      <w:r>
        <w:rPr>
          <w:rFonts w:hint="eastAsia" w:ascii="仿宋_GB2312" w:hAnsi="黑体" w:eastAsia="仿宋_GB2312"/>
          <w:bCs/>
          <w:color w:val="000000"/>
          <w:sz w:val="32"/>
          <w:szCs w:val="32"/>
        </w:rPr>
        <w:t>广西壮族自治区电子信息和网络安全测评研究院</w:t>
      </w:r>
      <w:r>
        <w:rPr>
          <w:rFonts w:hint="eastAsia" w:ascii="仿宋_GB2312" w:hAnsi="黑体" w:eastAsia="仿宋_GB2312"/>
          <w:kern w:val="0"/>
          <w:sz w:val="32"/>
          <w:szCs w:val="32"/>
        </w:rPr>
        <w:t>2022</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ascii="仿宋_GB2312" w:hAnsi="黑体" w:eastAsia="仿宋_GB2312" w:cs="仿宋_GB2312"/>
          <w:kern w:val="0"/>
          <w:sz w:val="32"/>
          <w:szCs w:val="32"/>
        </w:rPr>
        <w:t>99.00</w:t>
      </w:r>
      <w:r>
        <w:rPr>
          <w:rFonts w:hint="eastAsia" w:ascii="仿宋_GB2312" w:hAnsi="黑体" w:eastAsia="仿宋_GB2312" w:cs="仿宋_GB2312"/>
          <w:kern w:val="0"/>
          <w:sz w:val="32"/>
          <w:szCs w:val="32"/>
        </w:rPr>
        <w:t xml:space="preserve">万元，支出决算为   </w:t>
      </w:r>
      <w:r>
        <w:rPr>
          <w:rFonts w:ascii="仿宋_GB2312" w:hAnsi="黑体" w:eastAsia="仿宋_GB2312" w:cs="仿宋_GB2312"/>
          <w:kern w:val="0"/>
          <w:sz w:val="32"/>
          <w:szCs w:val="32"/>
        </w:rPr>
        <w:t>110.71</w:t>
      </w:r>
      <w:r>
        <w:rPr>
          <w:rFonts w:hint="eastAsia" w:ascii="仿宋_GB2312" w:hAnsi="黑体" w:eastAsia="仿宋_GB2312" w:cs="仿宋_GB2312"/>
          <w:kern w:val="0"/>
          <w:sz w:val="32"/>
          <w:szCs w:val="32"/>
        </w:rPr>
        <w:t>万元，完成年初预算的1</w:t>
      </w:r>
      <w:r>
        <w:rPr>
          <w:rFonts w:ascii="仿宋_GB2312" w:hAnsi="黑体" w:eastAsia="仿宋_GB2312" w:cs="仿宋_GB2312"/>
          <w:kern w:val="0"/>
          <w:sz w:val="32"/>
          <w:szCs w:val="32"/>
        </w:rPr>
        <w:t>11.83</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（一）科学技术支出（类）年初预算为</w:t>
      </w:r>
      <w:r>
        <w:rPr>
          <w:rFonts w:ascii="仿宋_GB2312" w:eastAsia="仿宋_GB2312"/>
          <w:bCs/>
          <w:kern w:val="0"/>
          <w:sz w:val="32"/>
          <w:szCs w:val="32"/>
        </w:rPr>
        <w:t>77.14</w:t>
      </w:r>
      <w:r>
        <w:rPr>
          <w:rFonts w:hint="eastAsia" w:ascii="仿宋_GB2312" w:eastAsia="仿宋_GB2312"/>
          <w:bCs/>
          <w:kern w:val="0"/>
          <w:sz w:val="32"/>
          <w:szCs w:val="32"/>
        </w:rPr>
        <w:t>万元，支出决算为</w:t>
      </w:r>
      <w:r>
        <w:rPr>
          <w:rFonts w:ascii="仿宋_GB2312" w:eastAsia="仿宋_GB2312"/>
          <w:bCs/>
          <w:kern w:val="0"/>
          <w:sz w:val="32"/>
          <w:szCs w:val="32"/>
        </w:rPr>
        <w:t>79.18</w:t>
      </w:r>
      <w:r>
        <w:rPr>
          <w:rFonts w:hint="eastAsia" w:ascii="仿宋_GB2312" w:eastAsia="仿宋_GB2312"/>
          <w:bCs/>
          <w:kern w:val="0"/>
          <w:sz w:val="32"/>
          <w:szCs w:val="32"/>
        </w:rPr>
        <w:t>万元，完成年初预算的</w:t>
      </w:r>
      <w:r>
        <w:rPr>
          <w:rFonts w:ascii="仿宋_GB2312" w:eastAsia="仿宋_GB2312"/>
          <w:bCs/>
          <w:kern w:val="0"/>
          <w:sz w:val="32"/>
          <w:szCs w:val="32"/>
        </w:rPr>
        <w:t>102.64</w:t>
      </w:r>
      <w:r>
        <w:rPr>
          <w:rFonts w:hint="eastAsia" w:ascii="仿宋_GB2312" w:eastAsia="仿宋_GB2312"/>
          <w:bCs/>
          <w:kern w:val="0"/>
          <w:sz w:val="32"/>
          <w:szCs w:val="32"/>
        </w:rPr>
        <w:t>%，主要用于人员经费和日常公用经费支出、物业管理费、残疾人保障金及党建、工会、妇委活动费等项目支出。</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1.科学技术支出（类）科学条件与服务（款）机构运行（项）年初预算为2</w:t>
      </w:r>
      <w:r>
        <w:rPr>
          <w:rFonts w:ascii="仿宋_GB2312" w:eastAsia="仿宋_GB2312"/>
          <w:bCs/>
          <w:kern w:val="0"/>
          <w:sz w:val="32"/>
          <w:szCs w:val="32"/>
        </w:rPr>
        <w:t>1.16</w:t>
      </w:r>
      <w:r>
        <w:rPr>
          <w:rFonts w:hint="eastAsia" w:ascii="仿宋_GB2312" w:eastAsia="仿宋_GB2312"/>
          <w:bCs/>
          <w:kern w:val="0"/>
          <w:sz w:val="32"/>
          <w:szCs w:val="32"/>
        </w:rPr>
        <w:t>万元，支出决算为18.</w:t>
      </w:r>
      <w:r>
        <w:rPr>
          <w:rFonts w:ascii="仿宋_GB2312" w:eastAsia="仿宋_GB2312"/>
          <w:bCs/>
          <w:kern w:val="0"/>
          <w:sz w:val="32"/>
          <w:szCs w:val="32"/>
        </w:rPr>
        <w:t>08</w:t>
      </w:r>
      <w:r>
        <w:rPr>
          <w:rFonts w:hint="eastAsia" w:ascii="仿宋_GB2312" w:eastAsia="仿宋_GB2312"/>
          <w:bCs/>
          <w:kern w:val="0"/>
          <w:sz w:val="32"/>
          <w:szCs w:val="32"/>
        </w:rPr>
        <w:t>万元，完成年初预算的</w:t>
      </w:r>
      <w:r>
        <w:rPr>
          <w:rFonts w:ascii="仿宋_GB2312" w:eastAsia="仿宋_GB2312"/>
          <w:bCs/>
          <w:kern w:val="0"/>
          <w:sz w:val="32"/>
          <w:szCs w:val="32"/>
        </w:rPr>
        <w:t>85.44</w:t>
      </w:r>
      <w:r>
        <w:rPr>
          <w:rFonts w:hint="eastAsia" w:ascii="仿宋_GB2312" w:eastAsia="仿宋_GB2312"/>
          <w:bCs/>
          <w:kern w:val="0"/>
          <w:sz w:val="32"/>
          <w:szCs w:val="32"/>
        </w:rPr>
        <w:t>%。差异的原因是</w:t>
      </w:r>
      <w:r>
        <w:rPr>
          <w:rFonts w:hint="eastAsia" w:ascii="仿宋_GB2312" w:eastAsia="仿宋_GB2312"/>
          <w:bCs/>
          <w:kern w:val="0"/>
          <w:sz w:val="32"/>
          <w:szCs w:val="32"/>
          <w:highlight w:val="none"/>
        </w:rPr>
        <w:t>“三公”经费未完全使用</w:t>
      </w:r>
      <w:r>
        <w:rPr>
          <w:rFonts w:hint="eastAsia" w:ascii="仿宋_GB2312" w:eastAsia="仿宋_GB2312"/>
          <w:bCs/>
          <w:kern w:val="0"/>
          <w:sz w:val="32"/>
          <w:szCs w:val="32"/>
        </w:rPr>
        <w:t>。</w:t>
      </w:r>
    </w:p>
    <w:p>
      <w:pPr>
        <w:autoSpaceDE w:val="0"/>
        <w:autoSpaceDN w:val="0"/>
        <w:adjustRightInd w:val="0"/>
        <w:spacing w:line="560" w:lineRule="exact"/>
        <w:ind w:firstLine="640" w:firstLineChars="200"/>
        <w:rPr>
          <w:rFonts w:ascii="仿宋_GB2312" w:eastAsia="仿宋_GB2312"/>
          <w:bCs/>
          <w:kern w:val="0"/>
          <w:sz w:val="32"/>
          <w:szCs w:val="32"/>
        </w:rPr>
      </w:pPr>
      <w:r>
        <w:rPr>
          <w:rFonts w:ascii="仿宋_GB2312" w:eastAsia="仿宋_GB2312"/>
          <w:bCs/>
          <w:kern w:val="0"/>
          <w:sz w:val="32"/>
          <w:szCs w:val="32"/>
        </w:rPr>
        <w:t>2</w:t>
      </w:r>
      <w:r>
        <w:rPr>
          <w:rFonts w:hint="eastAsia" w:ascii="仿宋_GB2312" w:eastAsia="仿宋_GB2312"/>
          <w:bCs/>
          <w:kern w:val="0"/>
          <w:sz w:val="32"/>
          <w:szCs w:val="32"/>
        </w:rPr>
        <w:t>.科学技术支出（类）科学条件与服务（款）其他科技条件与服务支出（项）年初预算为</w:t>
      </w:r>
      <w:r>
        <w:rPr>
          <w:rFonts w:ascii="仿宋_GB2312" w:eastAsia="仿宋_GB2312"/>
          <w:bCs/>
          <w:kern w:val="0"/>
          <w:sz w:val="32"/>
          <w:szCs w:val="32"/>
        </w:rPr>
        <w:t>55.99</w:t>
      </w:r>
      <w:r>
        <w:rPr>
          <w:rFonts w:hint="eastAsia" w:ascii="仿宋_GB2312" w:eastAsia="仿宋_GB2312"/>
          <w:bCs/>
          <w:kern w:val="0"/>
          <w:sz w:val="32"/>
          <w:szCs w:val="32"/>
        </w:rPr>
        <w:t>万元，支出决算为</w:t>
      </w:r>
      <w:r>
        <w:rPr>
          <w:rFonts w:ascii="仿宋_GB2312" w:eastAsia="仿宋_GB2312"/>
          <w:bCs/>
          <w:kern w:val="0"/>
          <w:sz w:val="32"/>
          <w:szCs w:val="32"/>
        </w:rPr>
        <w:t>61.10</w:t>
      </w:r>
      <w:r>
        <w:rPr>
          <w:rFonts w:hint="eastAsia" w:ascii="仿宋_GB2312" w:eastAsia="仿宋_GB2312"/>
          <w:bCs/>
          <w:kern w:val="0"/>
          <w:sz w:val="32"/>
          <w:szCs w:val="32"/>
        </w:rPr>
        <w:t>万元，完成年初预算的</w:t>
      </w:r>
      <w:r>
        <w:rPr>
          <w:rFonts w:ascii="仿宋_GB2312" w:eastAsia="仿宋_GB2312"/>
          <w:bCs/>
          <w:kern w:val="0"/>
          <w:sz w:val="32"/>
          <w:szCs w:val="32"/>
        </w:rPr>
        <w:t>109.13</w:t>
      </w:r>
      <w:r>
        <w:rPr>
          <w:rFonts w:hint="eastAsia" w:ascii="仿宋_GB2312" w:eastAsia="仿宋_GB2312"/>
          <w:bCs/>
          <w:kern w:val="0"/>
          <w:sz w:val="32"/>
          <w:szCs w:val="32"/>
        </w:rPr>
        <w:t>%，</w:t>
      </w:r>
      <w:r>
        <w:rPr>
          <w:rFonts w:hint="eastAsia" w:ascii="仿宋_GB2312" w:eastAsia="仿宋_GB2312"/>
          <w:bCs/>
          <w:kern w:val="0"/>
          <w:sz w:val="32"/>
          <w:szCs w:val="32"/>
          <w:highlight w:val="none"/>
        </w:rPr>
        <w:t>差异的原因是追加工资性支出预算</w:t>
      </w:r>
      <w:r>
        <w:rPr>
          <w:rFonts w:hint="eastAsia" w:ascii="仿宋_GB2312" w:eastAsia="仿宋_GB2312"/>
          <w:bCs/>
          <w:kern w:val="0"/>
          <w:sz w:val="32"/>
          <w:szCs w:val="32"/>
        </w:rPr>
        <w:t>。</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（二）社会保障和就业支出（类）年初预算为</w:t>
      </w:r>
      <w:r>
        <w:rPr>
          <w:rFonts w:ascii="仿宋_GB2312" w:eastAsia="仿宋_GB2312"/>
          <w:bCs/>
          <w:kern w:val="0"/>
          <w:sz w:val="32"/>
          <w:szCs w:val="32"/>
        </w:rPr>
        <w:t>12.77</w:t>
      </w:r>
      <w:r>
        <w:rPr>
          <w:rFonts w:hint="eastAsia" w:ascii="仿宋_GB2312" w:eastAsia="仿宋_GB2312"/>
          <w:bCs/>
          <w:kern w:val="0"/>
          <w:sz w:val="32"/>
          <w:szCs w:val="32"/>
        </w:rPr>
        <w:t>万元，支出决算为</w:t>
      </w:r>
      <w:r>
        <w:rPr>
          <w:rFonts w:ascii="仿宋_GB2312" w:eastAsia="仿宋_GB2312"/>
          <w:bCs/>
          <w:kern w:val="0"/>
          <w:sz w:val="32"/>
          <w:szCs w:val="32"/>
        </w:rPr>
        <w:t>22.45</w:t>
      </w:r>
      <w:r>
        <w:rPr>
          <w:rFonts w:hint="eastAsia" w:ascii="仿宋_GB2312" w:eastAsia="仿宋_GB2312"/>
          <w:bCs/>
          <w:kern w:val="0"/>
          <w:sz w:val="32"/>
          <w:szCs w:val="32"/>
        </w:rPr>
        <w:t>万元，完成年初预算的</w:t>
      </w:r>
      <w:r>
        <w:rPr>
          <w:rFonts w:ascii="仿宋_GB2312" w:eastAsia="仿宋_GB2312"/>
          <w:bCs/>
          <w:kern w:val="0"/>
          <w:sz w:val="32"/>
          <w:szCs w:val="32"/>
        </w:rPr>
        <w:t>175.80</w:t>
      </w:r>
      <w:r>
        <w:rPr>
          <w:rFonts w:hint="eastAsia" w:ascii="仿宋_GB2312" w:eastAsia="仿宋_GB2312"/>
          <w:bCs/>
          <w:kern w:val="0"/>
          <w:sz w:val="32"/>
          <w:szCs w:val="32"/>
        </w:rPr>
        <w:t>%，差异的原因是202</w:t>
      </w:r>
      <w:r>
        <w:rPr>
          <w:rFonts w:ascii="仿宋_GB2312" w:eastAsia="仿宋_GB2312"/>
          <w:bCs/>
          <w:kern w:val="0"/>
          <w:sz w:val="32"/>
          <w:szCs w:val="32"/>
        </w:rPr>
        <w:t>2</w:t>
      </w:r>
      <w:r>
        <w:rPr>
          <w:rFonts w:hint="eastAsia" w:ascii="仿宋_GB2312" w:eastAsia="仿宋_GB2312"/>
          <w:bCs/>
          <w:kern w:val="0"/>
          <w:sz w:val="32"/>
          <w:szCs w:val="32"/>
        </w:rPr>
        <w:t>年追加退休抚恤金预算。主要用于社会保障缴费、离退休人员生活补助及抚恤金。</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1.社会保障和就业支出（类）行政事业单位养老支出（款）事业单位离退休（项）年初预算为</w:t>
      </w:r>
      <w:r>
        <w:rPr>
          <w:rFonts w:ascii="仿宋_GB2312" w:eastAsia="仿宋_GB2312"/>
          <w:bCs/>
          <w:kern w:val="0"/>
          <w:sz w:val="32"/>
          <w:szCs w:val="32"/>
        </w:rPr>
        <w:t>5.28</w:t>
      </w:r>
      <w:r>
        <w:rPr>
          <w:rFonts w:hint="eastAsia" w:ascii="仿宋_GB2312" w:eastAsia="仿宋_GB2312"/>
          <w:bCs/>
          <w:kern w:val="0"/>
          <w:sz w:val="32"/>
          <w:szCs w:val="32"/>
        </w:rPr>
        <w:t>万元，支出决算为</w:t>
      </w:r>
      <w:r>
        <w:rPr>
          <w:rFonts w:ascii="仿宋_GB2312" w:eastAsia="仿宋_GB2312"/>
          <w:bCs/>
          <w:kern w:val="0"/>
          <w:sz w:val="32"/>
          <w:szCs w:val="32"/>
        </w:rPr>
        <w:t>5.2</w:t>
      </w:r>
      <w:r>
        <w:rPr>
          <w:rFonts w:hint="eastAsia" w:ascii="仿宋_GB2312" w:eastAsia="仿宋_GB2312"/>
          <w:bCs/>
          <w:kern w:val="0"/>
          <w:sz w:val="32"/>
          <w:szCs w:val="32"/>
        </w:rPr>
        <w:t>8万元，完成年初预算的1</w:t>
      </w:r>
      <w:r>
        <w:rPr>
          <w:rFonts w:ascii="仿宋_GB2312" w:eastAsia="仿宋_GB2312"/>
          <w:bCs/>
          <w:kern w:val="0"/>
          <w:sz w:val="32"/>
          <w:szCs w:val="32"/>
        </w:rPr>
        <w:t>00</w:t>
      </w:r>
      <w:r>
        <w:rPr>
          <w:rFonts w:hint="eastAsia" w:ascii="仿宋_GB2312" w:eastAsia="仿宋_GB2312"/>
          <w:bCs/>
          <w:kern w:val="0"/>
          <w:sz w:val="32"/>
          <w:szCs w:val="32"/>
        </w:rPr>
        <w:t>%。无差异。</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2.社会保障和就业支出（类）行政事业单位养老支出（款）机关事业单位基本养老保险缴费支出（项）年初预算为</w:t>
      </w:r>
      <w:r>
        <w:rPr>
          <w:rFonts w:ascii="仿宋_GB2312" w:eastAsia="仿宋_GB2312"/>
          <w:bCs/>
          <w:kern w:val="0"/>
          <w:sz w:val="32"/>
          <w:szCs w:val="32"/>
        </w:rPr>
        <w:t>7.49</w:t>
      </w:r>
      <w:r>
        <w:rPr>
          <w:rFonts w:hint="eastAsia" w:ascii="仿宋_GB2312" w:eastAsia="仿宋_GB2312"/>
          <w:bCs/>
          <w:kern w:val="0"/>
          <w:sz w:val="32"/>
          <w:szCs w:val="32"/>
        </w:rPr>
        <w:t>万元，支出决算为</w:t>
      </w:r>
      <w:r>
        <w:rPr>
          <w:rFonts w:ascii="仿宋_GB2312" w:eastAsia="仿宋_GB2312"/>
          <w:bCs/>
          <w:kern w:val="0"/>
          <w:sz w:val="32"/>
          <w:szCs w:val="32"/>
        </w:rPr>
        <w:t>7.49</w:t>
      </w:r>
      <w:r>
        <w:rPr>
          <w:rFonts w:hint="eastAsia" w:ascii="仿宋_GB2312" w:eastAsia="仿宋_GB2312"/>
          <w:bCs/>
          <w:kern w:val="0"/>
          <w:sz w:val="32"/>
          <w:szCs w:val="32"/>
        </w:rPr>
        <w:t>万元，完成年初预算的100%，无差异。</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3.社会保障和就业支出（类）抚恤（款）死亡抚恤（项）年初预算为0万元，支出决算为</w:t>
      </w:r>
      <w:r>
        <w:rPr>
          <w:rFonts w:ascii="仿宋_GB2312" w:eastAsia="仿宋_GB2312"/>
          <w:bCs/>
          <w:kern w:val="0"/>
          <w:sz w:val="32"/>
          <w:szCs w:val="32"/>
        </w:rPr>
        <w:t>9.68</w:t>
      </w:r>
      <w:r>
        <w:rPr>
          <w:rFonts w:hint="eastAsia" w:ascii="仿宋_GB2312" w:eastAsia="仿宋_GB2312"/>
          <w:bCs/>
          <w:kern w:val="0"/>
          <w:sz w:val="32"/>
          <w:szCs w:val="32"/>
        </w:rPr>
        <w:t>万元，完成预算的100%。差异的原因是追加退休抚恤金预算。</w:t>
      </w:r>
    </w:p>
    <w:p>
      <w:pPr>
        <w:autoSpaceDE w:val="0"/>
        <w:autoSpaceDN w:val="0"/>
        <w:adjustRightInd w:val="0"/>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（三）卫生健康支出（类）行政事业单位医疗（款）事业单位医疗（项）年初预算为</w:t>
      </w:r>
      <w:r>
        <w:rPr>
          <w:rFonts w:ascii="仿宋_GB2312" w:eastAsia="仿宋_GB2312"/>
          <w:bCs/>
          <w:kern w:val="0"/>
          <w:sz w:val="32"/>
          <w:szCs w:val="32"/>
        </w:rPr>
        <w:t>3.47</w:t>
      </w:r>
      <w:r>
        <w:rPr>
          <w:rFonts w:hint="eastAsia" w:ascii="仿宋_GB2312" w:eastAsia="仿宋_GB2312"/>
          <w:bCs/>
          <w:kern w:val="0"/>
          <w:sz w:val="32"/>
          <w:szCs w:val="32"/>
        </w:rPr>
        <w:t>万元，支出决算为</w:t>
      </w:r>
      <w:r>
        <w:rPr>
          <w:rFonts w:ascii="仿宋_GB2312" w:eastAsia="仿宋_GB2312"/>
          <w:bCs/>
          <w:kern w:val="0"/>
          <w:sz w:val="32"/>
          <w:szCs w:val="32"/>
        </w:rPr>
        <w:t>3.47</w:t>
      </w:r>
      <w:r>
        <w:rPr>
          <w:rFonts w:hint="eastAsia" w:ascii="仿宋_GB2312" w:eastAsia="仿宋_GB2312"/>
          <w:bCs/>
          <w:kern w:val="0"/>
          <w:sz w:val="32"/>
          <w:szCs w:val="32"/>
        </w:rPr>
        <w:t>万元，完成年初预算的100.</w:t>
      </w:r>
      <w:r>
        <w:rPr>
          <w:rFonts w:ascii="仿宋_GB2312" w:eastAsia="仿宋_GB2312"/>
          <w:bCs/>
          <w:kern w:val="0"/>
          <w:sz w:val="32"/>
          <w:szCs w:val="32"/>
        </w:rPr>
        <w:t>00</w:t>
      </w:r>
      <w:r>
        <w:rPr>
          <w:rFonts w:hint="eastAsia" w:ascii="仿宋_GB2312" w:eastAsia="仿宋_GB2312"/>
          <w:bCs/>
          <w:kern w:val="0"/>
          <w:sz w:val="32"/>
          <w:szCs w:val="32"/>
        </w:rPr>
        <w:t>%。无差异。</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bCs/>
          <w:kern w:val="0"/>
          <w:sz w:val="32"/>
          <w:szCs w:val="32"/>
        </w:rPr>
        <w:t>（四）住房保障支出（类）住房改革支出（款）住房公积金（项）年初预算为</w:t>
      </w:r>
      <w:r>
        <w:rPr>
          <w:rFonts w:ascii="仿宋_GB2312" w:eastAsia="仿宋_GB2312"/>
          <w:bCs/>
          <w:kern w:val="0"/>
          <w:sz w:val="32"/>
          <w:szCs w:val="32"/>
        </w:rPr>
        <w:t>5.62</w:t>
      </w:r>
      <w:r>
        <w:rPr>
          <w:rFonts w:hint="eastAsia" w:ascii="仿宋_GB2312" w:eastAsia="仿宋_GB2312"/>
          <w:bCs/>
          <w:kern w:val="0"/>
          <w:sz w:val="32"/>
          <w:szCs w:val="32"/>
        </w:rPr>
        <w:t>万元，支出决算为</w:t>
      </w:r>
      <w:r>
        <w:rPr>
          <w:rFonts w:ascii="仿宋_GB2312" w:eastAsia="仿宋_GB2312"/>
          <w:bCs/>
          <w:kern w:val="0"/>
          <w:sz w:val="32"/>
          <w:szCs w:val="32"/>
        </w:rPr>
        <w:t>5.62</w:t>
      </w:r>
      <w:r>
        <w:rPr>
          <w:rFonts w:hint="eastAsia" w:ascii="仿宋_GB2312" w:eastAsia="仿宋_GB2312"/>
          <w:bCs/>
          <w:kern w:val="0"/>
          <w:sz w:val="32"/>
          <w:szCs w:val="32"/>
        </w:rPr>
        <w:t>万元，完成年初预算的10</w:t>
      </w:r>
      <w:r>
        <w:rPr>
          <w:rFonts w:ascii="仿宋_GB2312" w:eastAsia="仿宋_GB2312"/>
          <w:bCs/>
          <w:kern w:val="0"/>
          <w:sz w:val="32"/>
          <w:szCs w:val="32"/>
        </w:rPr>
        <w:t>0.00</w:t>
      </w:r>
      <w:r>
        <w:rPr>
          <w:rFonts w:hint="eastAsia" w:ascii="仿宋_GB2312" w:eastAsia="仿宋_GB2312"/>
          <w:bCs/>
          <w:kern w:val="0"/>
          <w:sz w:val="32"/>
          <w:szCs w:val="32"/>
        </w:rPr>
        <w:t>%。无差异。</w:t>
      </w: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三、2022年度一般公共预算财政拨款基本支出决算情况说明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2022年度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公共预算财政拨款基本支出1</w:t>
      </w:r>
      <w:r>
        <w:rPr>
          <w:rFonts w:ascii="仿宋_GB2312" w:eastAsia="仿宋_GB2312" w:cs="仿宋_GB2312"/>
          <w:kern w:val="0"/>
          <w:sz w:val="32"/>
          <w:szCs w:val="32"/>
        </w:rPr>
        <w:t>03.03</w:t>
      </w:r>
      <w:r>
        <w:rPr>
          <w:rFonts w:hint="eastAsia" w:ascii="仿宋_GB2312" w:eastAsia="仿宋_GB2312" w:cs="仿宋_GB2312"/>
          <w:kern w:val="0"/>
          <w:sz w:val="32"/>
          <w:szCs w:val="32"/>
        </w:rPr>
        <w:t>万元，支出具体情况如下：</w:t>
      </w:r>
    </w:p>
    <w:p>
      <w:pPr>
        <w:pStyle w:val="10"/>
        <w:rPr>
          <w:bCs/>
          <w:kern w:val="0"/>
          <w:szCs w:val="32"/>
        </w:rPr>
      </w:pPr>
      <w:r>
        <w:rPr>
          <w:rFonts w:hint="eastAsia"/>
          <w:bCs/>
          <w:kern w:val="0"/>
          <w:szCs w:val="32"/>
        </w:rPr>
        <w:t>（一）工资福利支出</w:t>
      </w:r>
      <w:r>
        <w:rPr>
          <w:bCs/>
          <w:kern w:val="0"/>
          <w:szCs w:val="32"/>
        </w:rPr>
        <w:t>70.33</w:t>
      </w:r>
      <w:r>
        <w:rPr>
          <w:rFonts w:hint="eastAsia"/>
          <w:bCs/>
          <w:kern w:val="0"/>
          <w:szCs w:val="32"/>
        </w:rPr>
        <w:t>万元，完成年初预算的</w:t>
      </w:r>
      <w:r>
        <w:rPr>
          <w:bCs/>
          <w:kern w:val="0"/>
          <w:szCs w:val="32"/>
        </w:rPr>
        <w:t>110.32</w:t>
      </w:r>
      <w:r>
        <w:rPr>
          <w:rFonts w:hint="eastAsia"/>
          <w:bCs/>
          <w:kern w:val="0"/>
          <w:szCs w:val="32"/>
        </w:rPr>
        <w:t>%。差异的原因是</w:t>
      </w:r>
      <w:r>
        <w:rPr>
          <w:rFonts w:hint="eastAsia"/>
          <w:bCs/>
          <w:kern w:val="0"/>
          <w:szCs w:val="32"/>
          <w:highlight w:val="none"/>
        </w:rPr>
        <w:t>追加工资性支出预算</w:t>
      </w:r>
      <w:r>
        <w:rPr>
          <w:rFonts w:hint="eastAsia"/>
          <w:bCs/>
          <w:kern w:val="0"/>
          <w:szCs w:val="32"/>
        </w:rPr>
        <w:t>。</w:t>
      </w:r>
    </w:p>
    <w:p>
      <w:pPr>
        <w:pStyle w:val="10"/>
      </w:pPr>
      <w:r>
        <w:rPr>
          <w:rFonts w:hint="eastAsia"/>
        </w:rPr>
        <w:t>1.工资福利支出（类）基本工资（款）支出</w:t>
      </w:r>
      <w:r>
        <w:t>53.42</w:t>
      </w:r>
      <w:r>
        <w:rPr>
          <w:rFonts w:hint="eastAsia"/>
        </w:rPr>
        <w:t>万元，完成年初预算的</w:t>
      </w:r>
      <w:r>
        <w:t>114.05</w:t>
      </w:r>
      <w:r>
        <w:rPr>
          <w:rFonts w:hint="eastAsia"/>
        </w:rPr>
        <w:t>%。</w:t>
      </w:r>
      <w:r>
        <w:rPr>
          <w:rFonts w:hint="eastAsia"/>
          <w:bCs/>
          <w:kern w:val="0"/>
          <w:szCs w:val="32"/>
          <w:highlight w:val="none"/>
        </w:rPr>
        <w:t>差异的原因是追加工资性支出预算</w:t>
      </w:r>
      <w:r>
        <w:rPr>
          <w:rFonts w:hint="eastAsia"/>
        </w:rPr>
        <w:t>。</w:t>
      </w:r>
    </w:p>
    <w:p>
      <w:pPr>
        <w:pStyle w:val="10"/>
      </w:pPr>
      <w:r>
        <w:rPr>
          <w:rFonts w:hint="eastAsia"/>
        </w:rPr>
        <w:t>2.工资福利支出（类）机关事业单位基本养老保险缴费（款）支出</w:t>
      </w:r>
      <w:r>
        <w:t>7.49</w:t>
      </w:r>
      <w:r>
        <w:rPr>
          <w:rFonts w:hint="eastAsia"/>
        </w:rPr>
        <w:t>万元，完成年初预算的100%。无差异。</w:t>
      </w:r>
    </w:p>
    <w:p>
      <w:pPr>
        <w:pStyle w:val="10"/>
      </w:pPr>
      <w:r>
        <w:rPr>
          <w:rFonts w:hint="eastAsia"/>
        </w:rPr>
        <w:t>3.工资福利支出（类）城镇职工基本医疗保险缴费（款）支出</w:t>
      </w:r>
      <w:r>
        <w:t>3.47</w:t>
      </w:r>
      <w:r>
        <w:rPr>
          <w:rFonts w:hint="eastAsia"/>
        </w:rPr>
        <w:t>万元，完成年初预算的100</w:t>
      </w:r>
      <w:r>
        <w:t>.00</w:t>
      </w:r>
      <w:r>
        <w:rPr>
          <w:rFonts w:hint="eastAsia"/>
        </w:rPr>
        <w:t>%。无差异。</w:t>
      </w:r>
    </w:p>
    <w:p>
      <w:pPr>
        <w:pStyle w:val="10"/>
      </w:pPr>
      <w:r>
        <w:rPr>
          <w:rFonts w:hint="eastAsia"/>
        </w:rPr>
        <w:t>4.工资福利支出（类）其他社会保障缴费（款）支出0.</w:t>
      </w:r>
      <w:r>
        <w:t>3</w:t>
      </w:r>
      <w:r>
        <w:rPr>
          <w:rFonts w:hint="eastAsia"/>
        </w:rPr>
        <w:t>3万元，完成年初预算的10</w:t>
      </w:r>
      <w:r>
        <w:t>0.00</w:t>
      </w:r>
      <w:r>
        <w:rPr>
          <w:rFonts w:hint="eastAsia"/>
        </w:rPr>
        <w:t>%。无差异。</w:t>
      </w:r>
    </w:p>
    <w:p>
      <w:pPr>
        <w:pStyle w:val="10"/>
      </w:pPr>
      <w:r>
        <w:rPr>
          <w:rFonts w:hint="eastAsia"/>
        </w:rPr>
        <w:t>5.工资福利支出（类）住房公积金（款）支出</w:t>
      </w:r>
      <w:r>
        <w:t>5.62</w:t>
      </w:r>
      <w:r>
        <w:rPr>
          <w:rFonts w:hint="eastAsia"/>
        </w:rPr>
        <w:t>万元，完成年初预算的10</w:t>
      </w:r>
      <w:r>
        <w:t>0.00</w:t>
      </w:r>
      <w:r>
        <w:rPr>
          <w:rFonts w:hint="eastAsia"/>
        </w:rPr>
        <w:t>%。无差异。</w:t>
      </w:r>
    </w:p>
    <w:p>
      <w:pPr>
        <w:pStyle w:val="10"/>
      </w:pPr>
      <w:r>
        <w:rPr>
          <w:rFonts w:hint="eastAsia"/>
        </w:rPr>
        <w:t>（二）商品和服务支出</w:t>
      </w:r>
      <w:r>
        <w:t>19.62</w:t>
      </w:r>
      <w:r>
        <w:rPr>
          <w:rFonts w:hint="eastAsia"/>
        </w:rPr>
        <w:t>万元，完成年初预算的</w:t>
      </w:r>
      <w:r>
        <w:t>86.43%</w:t>
      </w:r>
      <w:r>
        <w:rPr>
          <w:rFonts w:hint="eastAsia"/>
        </w:rPr>
        <w:t>。差异的原因是</w:t>
      </w:r>
      <w:r>
        <w:rPr>
          <w:rFonts w:hint="eastAsia"/>
          <w:bCs/>
          <w:kern w:val="0"/>
          <w:szCs w:val="32"/>
          <w:highlight w:val="none"/>
        </w:rPr>
        <w:t>“三公”经费未完全使用</w:t>
      </w:r>
      <w:r>
        <w:rPr>
          <w:rFonts w:hint="eastAsia"/>
        </w:rPr>
        <w:t>。</w:t>
      </w:r>
    </w:p>
    <w:p>
      <w:pPr>
        <w:pStyle w:val="10"/>
      </w:pPr>
      <w:r>
        <w:rPr>
          <w:rFonts w:hint="eastAsia"/>
        </w:rPr>
        <w:t>1.商品和服务支出（类）办公费（款）支出</w:t>
      </w:r>
      <w:r>
        <w:t>4.10</w:t>
      </w:r>
      <w:r>
        <w:rPr>
          <w:rFonts w:hint="eastAsia"/>
        </w:rPr>
        <w:t>万元，完成年初预算的</w:t>
      </w:r>
      <w:r>
        <w:t>36.94</w:t>
      </w:r>
      <w:r>
        <w:rPr>
          <w:rFonts w:hint="eastAsia"/>
        </w:rPr>
        <w:t>%。</w:t>
      </w:r>
      <w:r>
        <w:rPr>
          <w:rFonts w:hint="eastAsia"/>
          <w:highlight w:val="none"/>
        </w:rPr>
        <w:t>差异的原因是办公费指标调剂至差旅费使用</w:t>
      </w:r>
      <w:r>
        <w:rPr>
          <w:rFonts w:hint="eastAsia"/>
        </w:rPr>
        <w:t>。</w:t>
      </w:r>
    </w:p>
    <w:p>
      <w:pPr>
        <w:pStyle w:val="10"/>
      </w:pPr>
      <w:r>
        <w:rPr>
          <w:rFonts w:hint="eastAsia"/>
        </w:rPr>
        <w:t>2.商品和服务支出（类）差旅费（款）支出</w:t>
      </w:r>
      <w:r>
        <w:t>8.10</w:t>
      </w:r>
      <w:r>
        <w:rPr>
          <w:rFonts w:hint="eastAsia"/>
        </w:rPr>
        <w:t>万元，完成年初预算的</w:t>
      </w:r>
      <w:r>
        <w:t>100.00</w:t>
      </w:r>
      <w:r>
        <w:rPr>
          <w:rFonts w:hint="eastAsia"/>
        </w:rPr>
        <w:t>%。</w:t>
      </w:r>
      <w:r>
        <w:rPr>
          <w:rFonts w:hint="eastAsia"/>
          <w:highlight w:val="none"/>
        </w:rPr>
        <w:t>差异的原因是</w:t>
      </w:r>
      <w:r>
        <w:rPr>
          <w:rFonts w:hint="eastAsia"/>
        </w:rPr>
        <w:t>办公费指标调剂至差旅费使用。</w:t>
      </w:r>
    </w:p>
    <w:p>
      <w:pPr>
        <w:pStyle w:val="10"/>
      </w:pPr>
      <w:r>
        <w:t>3</w:t>
      </w:r>
      <w:r>
        <w:rPr>
          <w:rFonts w:hint="eastAsia"/>
        </w:rPr>
        <w:t>.商品和服务支出（类）会议费（款）支出</w:t>
      </w:r>
      <w:r>
        <w:t>1.05</w:t>
      </w:r>
      <w:r>
        <w:rPr>
          <w:rFonts w:hint="eastAsia"/>
        </w:rPr>
        <w:t>万元，完成年初预算的</w:t>
      </w:r>
      <w:r>
        <w:t>83.33</w:t>
      </w:r>
      <w:r>
        <w:rPr>
          <w:rFonts w:hint="eastAsia"/>
        </w:rPr>
        <w:t>%。差异的原因是</w:t>
      </w:r>
      <w:r>
        <w:rPr>
          <w:rFonts w:hint="eastAsia"/>
          <w:highlight w:val="none"/>
        </w:rPr>
        <w:t>会议费经费未完全使用</w:t>
      </w:r>
      <w:r>
        <w:rPr>
          <w:rFonts w:hint="eastAsia"/>
        </w:rPr>
        <w:t>。</w:t>
      </w:r>
    </w:p>
    <w:p>
      <w:pPr>
        <w:pStyle w:val="10"/>
      </w:pPr>
      <w:r>
        <w:rPr>
          <w:rFonts w:hint="eastAsia"/>
        </w:rPr>
        <w:t>8.商品和服务支出（类）培训费（款）支出0.</w:t>
      </w:r>
      <w:r>
        <w:t>43</w:t>
      </w:r>
      <w:r>
        <w:rPr>
          <w:rFonts w:hint="eastAsia"/>
        </w:rPr>
        <w:t>万元，完成年初预算的</w:t>
      </w:r>
      <w:r>
        <w:t>100</w:t>
      </w:r>
      <w:r>
        <w:rPr>
          <w:rFonts w:hint="eastAsia"/>
        </w:rPr>
        <w:t>%。无差异。</w:t>
      </w:r>
    </w:p>
    <w:p>
      <w:pPr>
        <w:pStyle w:val="10"/>
      </w:pPr>
      <w:r>
        <w:rPr>
          <w:rFonts w:hint="eastAsia"/>
        </w:rPr>
        <w:t>9.商品和服务支出（类）公务接待费（款）支出0万元，完成年初预算的1</w:t>
      </w:r>
      <w:r>
        <w:t>0</w:t>
      </w:r>
      <w:r>
        <w:rPr>
          <w:rFonts w:hint="eastAsia"/>
        </w:rPr>
        <w:t>0%。无差异。</w:t>
      </w:r>
    </w:p>
    <w:p>
      <w:pPr>
        <w:pStyle w:val="10"/>
      </w:pPr>
      <w:r>
        <w:rPr>
          <w:rFonts w:hint="eastAsia"/>
        </w:rPr>
        <w:t>10.商品和服务支出（类）工会经费（款）支出</w:t>
      </w:r>
      <w:r>
        <w:t>0.94</w:t>
      </w:r>
      <w:r>
        <w:rPr>
          <w:rFonts w:hint="eastAsia"/>
        </w:rPr>
        <w:t>万元，完成年初预算的100%。无差异。</w:t>
      </w:r>
    </w:p>
    <w:p>
      <w:pPr>
        <w:pStyle w:val="10"/>
      </w:pPr>
      <w:r>
        <w:rPr>
          <w:rFonts w:hint="eastAsia"/>
        </w:rPr>
        <w:t>11.商品和服务支出（类）公务用车运行维护费（款）支出</w:t>
      </w:r>
      <w:r>
        <w:t>0.78</w:t>
      </w:r>
      <w:r>
        <w:rPr>
          <w:rFonts w:hint="eastAsia"/>
        </w:rPr>
        <w:t>万元，完成年初预算的</w:t>
      </w:r>
      <w:r>
        <w:t>22.35</w:t>
      </w:r>
      <w:r>
        <w:rPr>
          <w:rFonts w:hint="eastAsia"/>
        </w:rPr>
        <w:t>%。差异的原因是公务用车运行维护费</w:t>
      </w:r>
      <w:r>
        <w:rPr>
          <w:rFonts w:hint="eastAsia"/>
          <w:highlight w:val="none"/>
        </w:rPr>
        <w:t>经费未完全使用</w:t>
      </w:r>
      <w:r>
        <w:rPr>
          <w:rFonts w:hint="eastAsia"/>
        </w:rPr>
        <w:t>。</w:t>
      </w:r>
    </w:p>
    <w:p>
      <w:pPr>
        <w:pStyle w:val="10"/>
      </w:pPr>
      <w:r>
        <w:rPr>
          <w:rFonts w:hint="eastAsia"/>
        </w:rPr>
        <w:t>12.商品和服务支出（类）其他商品和服务支出（款）支出</w:t>
      </w:r>
      <w:r>
        <w:t>4.22</w:t>
      </w:r>
      <w:r>
        <w:rPr>
          <w:rFonts w:hint="eastAsia"/>
        </w:rPr>
        <w:t>万元，完成年初预算的100%。无差异。</w:t>
      </w:r>
    </w:p>
    <w:p>
      <w:pPr>
        <w:pStyle w:val="10"/>
      </w:pPr>
      <w:r>
        <w:rPr>
          <w:rFonts w:hint="eastAsia"/>
        </w:rPr>
        <w:t>（三）对个人和家庭的补助</w:t>
      </w:r>
      <w:r>
        <w:t>13.08</w:t>
      </w:r>
      <w:r>
        <w:rPr>
          <w:rFonts w:hint="eastAsia"/>
        </w:rPr>
        <w:t>万元，完成年初预算的</w:t>
      </w:r>
      <w:r>
        <w:t>383.58%</w:t>
      </w:r>
      <w:r>
        <w:rPr>
          <w:rFonts w:hint="eastAsia"/>
        </w:rPr>
        <w:t>，</w:t>
      </w:r>
      <w:r>
        <w:rPr>
          <w:rFonts w:hint="eastAsia"/>
          <w:highlight w:val="none"/>
        </w:rPr>
        <w:t>差异的原因是</w:t>
      </w:r>
      <w:r>
        <w:rPr>
          <w:rFonts w:hint="eastAsia"/>
        </w:rPr>
        <w:t>2</w:t>
      </w:r>
      <w:r>
        <w:t>022</w:t>
      </w:r>
      <w:r>
        <w:rPr>
          <w:rFonts w:hint="eastAsia"/>
        </w:rPr>
        <w:t>年追加退休抚恤金预算。</w:t>
      </w:r>
    </w:p>
    <w:p>
      <w:pPr>
        <w:pStyle w:val="10"/>
      </w:pPr>
      <w:r>
        <w:rPr>
          <w:rFonts w:hint="eastAsia"/>
        </w:rPr>
        <w:t>1.对个人和家庭的补助（类）退休费（款）支出</w:t>
      </w:r>
      <w:r>
        <w:t>1.06</w:t>
      </w:r>
      <w:r>
        <w:rPr>
          <w:rFonts w:hint="eastAsia"/>
        </w:rPr>
        <w:t>万元，完成年初预算的</w:t>
      </w:r>
      <w:r>
        <w:t>100.00</w:t>
      </w:r>
      <w:r>
        <w:rPr>
          <w:rFonts w:hint="eastAsia"/>
        </w:rPr>
        <w:t>%。无差异。</w:t>
      </w:r>
    </w:p>
    <w:p>
      <w:pPr>
        <w:pStyle w:val="10"/>
      </w:pPr>
      <w:r>
        <w:rPr>
          <w:rFonts w:hint="eastAsia"/>
        </w:rPr>
        <w:t>2</w:t>
      </w:r>
      <w:r>
        <w:t>.</w:t>
      </w:r>
      <w:r>
        <w:rPr>
          <w:rFonts w:hint="eastAsia"/>
        </w:rPr>
        <w:t>对个人和家庭的补助（类）抚恤金（款）支出9</w:t>
      </w:r>
      <w:r>
        <w:t>.68</w:t>
      </w:r>
      <w:r>
        <w:rPr>
          <w:rFonts w:hint="eastAsia"/>
        </w:rPr>
        <w:t>，完成年初预算的</w:t>
      </w:r>
      <w:r>
        <w:t>100.00%</w:t>
      </w:r>
      <w:r>
        <w:rPr>
          <w:rFonts w:hint="eastAsia"/>
        </w:rPr>
        <w:t>，</w:t>
      </w:r>
      <w:r>
        <w:rPr>
          <w:rFonts w:hint="eastAsia"/>
          <w:highlight w:val="none"/>
        </w:rPr>
        <w:t>差异的原因是</w:t>
      </w:r>
      <w:r>
        <w:rPr>
          <w:rFonts w:hint="eastAsia"/>
        </w:rPr>
        <w:t>2</w:t>
      </w:r>
      <w:r>
        <w:t>022</w:t>
      </w:r>
      <w:r>
        <w:rPr>
          <w:rFonts w:hint="eastAsia"/>
        </w:rPr>
        <w:t>年追加退休抚恤金预算。</w:t>
      </w:r>
    </w:p>
    <w:p>
      <w:pPr>
        <w:pStyle w:val="10"/>
      </w:pPr>
      <w:r>
        <w:t>3</w:t>
      </w:r>
      <w:r>
        <w:rPr>
          <w:rFonts w:hint="eastAsia"/>
        </w:rPr>
        <w:t>.对个人和家庭的补助（类）其他对个人和家庭的补助（款）支出</w:t>
      </w:r>
      <w:r>
        <w:t>2.34</w:t>
      </w:r>
      <w:r>
        <w:rPr>
          <w:rFonts w:hint="eastAsia"/>
        </w:rPr>
        <w:t>万元，完成年初预算的100%。无差异。</w:t>
      </w: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四、2022年度政府性基金支出决算情况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广西壮族自治区电子信息和网络安全测评研究院</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w:t>
      </w:r>
      <w:r>
        <w:rPr>
          <w:rFonts w:ascii="仿宋_GB2312" w:eastAsia="仿宋_GB2312"/>
          <w:kern w:val="0"/>
          <w:sz w:val="32"/>
          <w:szCs w:val="32"/>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较2021年度决算数增加0万元，增长0%。</w:t>
      </w:r>
      <w:r>
        <w:rPr>
          <w:rFonts w:hint="eastAsia" w:ascii="仿宋_GB2312" w:eastAsia="仿宋_GB2312" w:cs="仿宋_GB2312"/>
          <w:kern w:val="0"/>
          <w:sz w:val="32"/>
          <w:szCs w:val="32"/>
        </w:rPr>
        <w:t>其中：基本支出</w:t>
      </w:r>
      <w:r>
        <w:rPr>
          <w:rFonts w:ascii="仿宋_GB2312" w:eastAsia="仿宋_GB2312"/>
          <w:kern w:val="0"/>
          <w:sz w:val="32"/>
          <w:szCs w:val="32"/>
        </w:rPr>
        <w:t>0</w:t>
      </w:r>
      <w:r>
        <w:rPr>
          <w:rFonts w:hint="eastAsia" w:ascii="仿宋_GB2312" w:eastAsia="仿宋_GB2312" w:cs="仿宋_GB2312"/>
          <w:kern w:val="0"/>
          <w:sz w:val="32"/>
          <w:szCs w:val="32"/>
        </w:rPr>
        <w:t>万元，项目支出0万元。</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广西壮族自治区电子信息和网络安全测评研究院</w:t>
      </w:r>
      <w:r>
        <w:rPr>
          <w:rFonts w:hint="eastAsia" w:ascii="仿宋_GB2312" w:hAnsi="黑体" w:eastAsia="仿宋_GB2312"/>
          <w:kern w:val="0"/>
          <w:sz w:val="32"/>
          <w:szCs w:val="32"/>
        </w:rPr>
        <w:t>2022</w:t>
      </w:r>
      <w:r>
        <w:rPr>
          <w:rFonts w:hint="eastAsia" w:ascii="仿宋_GB2312" w:hAnsi="黑体" w:eastAsia="仿宋_GB2312" w:cs="仿宋_GB2312"/>
          <w:kern w:val="0"/>
          <w:sz w:val="32"/>
          <w:szCs w:val="32"/>
        </w:rPr>
        <w:t>年度政府性基金支出年初预算为0万元，支出决算为0万元，完成年初预算的</w:t>
      </w:r>
      <w:r>
        <w:rPr>
          <w:rFonts w:ascii="仿宋_GB2312" w:hAnsi="黑体" w:eastAsia="仿宋_GB2312" w:cs="仿宋_GB2312"/>
          <w:kern w:val="0"/>
          <w:sz w:val="32"/>
          <w:szCs w:val="32"/>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五、2022年度国有资本经营预算支出决算情况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广西壮族自治区电子信息和网络安全测评研究院</w:t>
      </w:r>
      <w:r>
        <w:rPr>
          <w:rFonts w:hint="eastAsia" w:ascii="仿宋_GB2312" w:eastAsia="仿宋_GB2312"/>
          <w:kern w:val="0"/>
          <w:sz w:val="32"/>
          <w:szCs w:val="32"/>
        </w:rPr>
        <w:t>2022</w:t>
      </w:r>
      <w:r>
        <w:rPr>
          <w:rFonts w:hint="eastAsia" w:ascii="仿宋_GB2312" w:eastAsia="仿宋_GB2312" w:cs="仿宋_GB2312"/>
          <w:kern w:val="0"/>
          <w:sz w:val="32"/>
          <w:szCs w:val="32"/>
        </w:rPr>
        <w:t>年度国有资本经营预算支出</w:t>
      </w:r>
      <w:r>
        <w:rPr>
          <w:rFonts w:ascii="仿宋_GB2312" w:eastAsia="仿宋_GB2312"/>
          <w:kern w:val="0"/>
          <w:sz w:val="32"/>
          <w:szCs w:val="32"/>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ascii="仿宋_GB2312" w:eastAsia="仿宋_GB2312"/>
          <w:kern w:val="0"/>
          <w:sz w:val="32"/>
          <w:szCs w:val="32"/>
        </w:rPr>
        <w:t>0</w:t>
      </w:r>
      <w:r>
        <w:rPr>
          <w:rFonts w:hint="eastAsia" w:ascii="仿宋_GB2312" w:eastAsia="仿宋_GB2312" w:cs="仿宋_GB2312"/>
          <w:kern w:val="0"/>
          <w:sz w:val="32"/>
          <w:szCs w:val="32"/>
        </w:rPr>
        <w:t>万元，项目支出0万元。</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广西壮族自治区电子信息和网络安全测评研究院</w:t>
      </w:r>
      <w:r>
        <w:rPr>
          <w:rFonts w:hint="eastAsia" w:ascii="仿宋_GB2312" w:hAnsi="黑体" w:eastAsia="仿宋_GB2312"/>
          <w:kern w:val="0"/>
          <w:sz w:val="32"/>
          <w:szCs w:val="32"/>
        </w:rPr>
        <w:t>2022</w:t>
      </w:r>
      <w:r>
        <w:rPr>
          <w:rFonts w:hint="eastAsia" w:ascii="仿宋_GB2312" w:hAnsi="黑体" w:eastAsia="仿宋_GB2312" w:cs="仿宋_GB2312"/>
          <w:kern w:val="0"/>
          <w:sz w:val="32"/>
          <w:szCs w:val="32"/>
        </w:rPr>
        <w:t>年度</w:t>
      </w:r>
      <w:r>
        <w:rPr>
          <w:rFonts w:hint="eastAsia" w:ascii="仿宋_GB2312" w:eastAsia="仿宋_GB2312" w:cs="仿宋_GB2312"/>
          <w:kern w:val="0"/>
          <w:sz w:val="32"/>
          <w:szCs w:val="32"/>
        </w:rPr>
        <w:t>国有资本经营预算</w:t>
      </w:r>
      <w:r>
        <w:rPr>
          <w:rFonts w:hint="eastAsia" w:ascii="仿宋_GB2312" w:hAnsi="黑体" w:eastAsia="仿宋_GB2312" w:cs="仿宋_GB2312"/>
          <w:kern w:val="0"/>
          <w:sz w:val="32"/>
          <w:szCs w:val="32"/>
        </w:rPr>
        <w:t>支出年初预算为0万元，支出决算为0万元，完成年初预算的</w:t>
      </w:r>
      <w:r>
        <w:rPr>
          <w:rFonts w:ascii="仿宋_GB2312" w:hAnsi="黑体" w:eastAsia="仿宋_GB2312" w:cs="仿宋_GB2312"/>
          <w:kern w:val="0"/>
          <w:sz w:val="32"/>
          <w:szCs w:val="32"/>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0" w:firstLineChars="0"/>
        <w:rPr>
          <w:rFonts w:ascii="黑体" w:hAnsi="黑体" w:eastAsia="黑体" w:cs="仿宋_GB2312"/>
          <w:kern w:val="0"/>
          <w:sz w:val="32"/>
          <w:szCs w:val="32"/>
        </w:rPr>
      </w:pPr>
      <w:r>
        <w:rPr>
          <w:rFonts w:hint="eastAsia" w:ascii="黑体" w:hAnsi="黑体" w:eastAsia="黑体" w:cs="仿宋_GB2312"/>
          <w:kern w:val="0"/>
          <w:sz w:val="32"/>
          <w:szCs w:val="32"/>
        </w:rPr>
        <w:t>六、财政拨款安排的“三公”经费支出决算情况说明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2022年度财政拨款安排的“三公”经费支出0</w:t>
      </w:r>
      <w:r>
        <w:rPr>
          <w:rFonts w:ascii="仿宋_GB2312" w:eastAsia="仿宋_GB2312" w:cs="仿宋_GB2312"/>
          <w:kern w:val="0"/>
          <w:sz w:val="32"/>
          <w:szCs w:val="32"/>
        </w:rPr>
        <w:t>.79</w:t>
      </w:r>
      <w:r>
        <w:rPr>
          <w:rFonts w:hint="eastAsia" w:ascii="仿宋_GB2312" w:eastAsia="仿宋_GB2312" w:cs="仿宋_GB2312"/>
          <w:kern w:val="0"/>
          <w:sz w:val="32"/>
          <w:szCs w:val="32"/>
        </w:rPr>
        <w:t>万元，完成年初预算的2</w:t>
      </w:r>
      <w:r>
        <w:rPr>
          <w:rFonts w:ascii="仿宋_GB2312" w:eastAsia="仿宋_GB2312" w:cs="仿宋_GB2312"/>
          <w:kern w:val="0"/>
          <w:sz w:val="32"/>
          <w:szCs w:val="32"/>
        </w:rPr>
        <w:t>1.58</w:t>
      </w:r>
      <w:r>
        <w:rPr>
          <w:rFonts w:hint="eastAsia" w:ascii="仿宋_GB2312" w:eastAsia="仿宋_GB2312" w:cs="仿宋_GB2312"/>
          <w:kern w:val="0"/>
          <w:sz w:val="32"/>
          <w:szCs w:val="32"/>
        </w:rPr>
        <w:t>%，比上年减少2</w:t>
      </w:r>
      <w:r>
        <w:rPr>
          <w:rFonts w:ascii="仿宋_GB2312" w:eastAsia="仿宋_GB2312" w:cs="仿宋_GB2312"/>
          <w:kern w:val="0"/>
          <w:sz w:val="32"/>
          <w:szCs w:val="32"/>
        </w:rPr>
        <w:t>.87</w:t>
      </w:r>
      <w:r>
        <w:rPr>
          <w:rFonts w:hint="eastAsia" w:ascii="仿宋_GB2312" w:eastAsia="仿宋_GB2312" w:cs="仿宋_GB2312"/>
          <w:kern w:val="0"/>
          <w:sz w:val="32"/>
          <w:szCs w:val="32"/>
        </w:rPr>
        <w:t>万元，主要原因是继续认真贯彻落实中央八项规定精神和“过紧日子”要求，压缩各项支出，有效减少“三公”经费支出。其中：因公出国（境）费支出决算0万元，公务用车购置及运行费支出决算0</w:t>
      </w:r>
      <w:r>
        <w:rPr>
          <w:rFonts w:ascii="仿宋_GB2312" w:eastAsia="仿宋_GB2312" w:cs="仿宋_GB2312"/>
          <w:kern w:val="0"/>
          <w:sz w:val="32"/>
          <w:szCs w:val="32"/>
        </w:rPr>
        <w:t>.79</w:t>
      </w:r>
      <w:r>
        <w:rPr>
          <w:rFonts w:hint="eastAsia" w:ascii="仿宋_GB2312" w:eastAsia="仿宋_GB2312" w:cs="仿宋_GB2312"/>
          <w:kern w:val="0"/>
          <w:sz w:val="32"/>
          <w:szCs w:val="32"/>
        </w:rPr>
        <w:t>万元，公务接待费支出决算0万元。</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（一）因公出国（境）费支出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100</w:t>
      </w:r>
      <w:r>
        <w:rPr>
          <w:rFonts w:hint="eastAsia" w:ascii="仿宋_GB2312" w:eastAsia="仿宋_GB2312" w:cs="仿宋_GB2312"/>
          <w:kern w:val="0"/>
          <w:sz w:val="32"/>
          <w:szCs w:val="32"/>
        </w:rPr>
        <w:t>%，比上年增减0万元，原因是无因公出国（境）费支出。全年使用财政拨款安排</w:t>
      </w:r>
      <w:r>
        <w:rPr>
          <w:rFonts w:hint="eastAsia" w:ascii="仿宋_GB2312" w:hAnsi="黑体" w:eastAsia="仿宋_GB2312"/>
          <w:bCs/>
          <w:color w:val="000000"/>
          <w:sz w:val="32"/>
          <w:szCs w:val="32"/>
        </w:rPr>
        <w:t>广西壮族自治区电子信息和网络安全测评研究院出国团组0个，参加其他单位组织的出国团组0个，全年因公出国（境）团组共计</w:t>
      </w:r>
      <w:r>
        <w:rPr>
          <w:rFonts w:ascii="仿宋_GB2312" w:hAnsi="黑体" w:eastAsia="仿宋_GB2312"/>
          <w:bCs/>
          <w:color w:val="000000"/>
          <w:sz w:val="32"/>
          <w:szCs w:val="32"/>
        </w:rPr>
        <w:t>0</w:t>
      </w:r>
      <w:r>
        <w:rPr>
          <w:rFonts w:hint="eastAsia" w:ascii="仿宋_GB2312" w:hAnsi="黑体" w:eastAsia="仿宋_GB2312"/>
          <w:bCs/>
          <w:color w:val="000000"/>
          <w:sz w:val="32"/>
          <w:szCs w:val="32"/>
        </w:rPr>
        <w:t>个，累计</w:t>
      </w:r>
      <w:r>
        <w:rPr>
          <w:rFonts w:ascii="仿宋_GB2312" w:hAnsi="黑体" w:eastAsia="仿宋_GB2312"/>
          <w:bCs/>
          <w:color w:val="000000"/>
          <w:sz w:val="32"/>
          <w:szCs w:val="32"/>
        </w:rPr>
        <w:t>0</w:t>
      </w:r>
      <w:r>
        <w:rPr>
          <w:rFonts w:hint="eastAsia" w:ascii="仿宋_GB2312" w:hAnsi="黑体" w:eastAsia="仿宋_GB2312"/>
          <w:bCs/>
          <w:color w:val="000000"/>
          <w:sz w:val="32"/>
          <w:szCs w:val="32"/>
        </w:rPr>
        <w:t>人次。</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ascii="仿宋_GB2312" w:eastAsia="仿宋_GB2312" w:cs="仿宋_GB2312"/>
          <w:kern w:val="0"/>
          <w:sz w:val="32"/>
          <w:szCs w:val="32"/>
        </w:rPr>
        <w:t>0.79</w:t>
      </w:r>
      <w:r>
        <w:rPr>
          <w:rFonts w:hint="eastAsia" w:ascii="仿宋_GB2312" w:eastAsia="仿宋_GB2312" w:cs="仿宋_GB2312"/>
          <w:kern w:val="0"/>
          <w:sz w:val="32"/>
          <w:szCs w:val="32"/>
        </w:rPr>
        <w:t>万元。其中：</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公务用车购置支出0万元，完成年初预算的</w:t>
      </w:r>
      <w:r>
        <w:rPr>
          <w:rFonts w:ascii="仿宋_GB2312" w:eastAsia="仿宋_GB2312" w:cs="仿宋_GB2312"/>
          <w:kern w:val="0"/>
          <w:sz w:val="32"/>
          <w:szCs w:val="32"/>
        </w:rPr>
        <w:t>100</w:t>
      </w:r>
      <w:r>
        <w:rPr>
          <w:rFonts w:hint="eastAsia" w:ascii="仿宋_GB2312" w:eastAsia="仿宋_GB2312" w:cs="仿宋_GB2312"/>
          <w:kern w:val="0"/>
          <w:sz w:val="32"/>
          <w:szCs w:val="32"/>
        </w:rPr>
        <w:t>%，比上年增减0万元，原因是无公务用车购置支出。</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公务用车运行维护费支出0</w:t>
      </w:r>
      <w:r>
        <w:rPr>
          <w:rFonts w:ascii="仿宋_GB2312" w:eastAsia="仿宋_GB2312" w:cs="仿宋_GB2312"/>
          <w:kern w:val="0"/>
          <w:sz w:val="32"/>
          <w:szCs w:val="32"/>
        </w:rPr>
        <w:t>.79</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21.58</w:t>
      </w:r>
      <w:r>
        <w:rPr>
          <w:rFonts w:hint="eastAsia" w:ascii="仿宋_GB2312" w:eastAsia="仿宋_GB2312" w:cs="仿宋_GB2312"/>
          <w:kern w:val="0"/>
          <w:sz w:val="32"/>
          <w:szCs w:val="32"/>
        </w:rPr>
        <w:t>%，比上年减少0</w:t>
      </w:r>
      <w:r>
        <w:rPr>
          <w:rFonts w:ascii="仿宋_GB2312" w:eastAsia="仿宋_GB2312" w:cs="仿宋_GB2312"/>
          <w:kern w:val="0"/>
          <w:sz w:val="32"/>
          <w:szCs w:val="32"/>
        </w:rPr>
        <w:t>.62</w:t>
      </w:r>
      <w:r>
        <w:rPr>
          <w:rFonts w:hint="eastAsia" w:ascii="仿宋_GB2312" w:eastAsia="仿宋_GB2312" w:cs="仿宋_GB2312"/>
          <w:kern w:val="0"/>
          <w:sz w:val="32"/>
          <w:szCs w:val="32"/>
        </w:rPr>
        <w:t>万元，原因是公务用车使用减少。主要用于开展单位检测活动业务所需车辆燃料费、维修费、过路过桥费、保险费等。2022年，</w:t>
      </w:r>
      <w:r>
        <w:rPr>
          <w:rFonts w:hint="eastAsia" w:ascii="仿宋_GB2312" w:hAnsi="黑体" w:eastAsia="仿宋_GB2312"/>
          <w:bCs/>
          <w:color w:val="000000"/>
          <w:sz w:val="32"/>
          <w:szCs w:val="32"/>
        </w:rPr>
        <w:t>广西壮族自治区电子信息和网络安全测评研究院开支财政拨款的公务用车保有量为</w:t>
      </w:r>
      <w:r>
        <w:rPr>
          <w:rFonts w:ascii="仿宋_GB2312" w:hAnsi="黑体" w:eastAsia="仿宋_GB2312"/>
          <w:bCs/>
          <w:color w:val="000000"/>
          <w:sz w:val="32"/>
          <w:szCs w:val="32"/>
        </w:rPr>
        <w:t>2</w:t>
      </w:r>
      <w:r>
        <w:rPr>
          <w:rFonts w:hint="eastAsia" w:ascii="仿宋_GB2312" w:hAnsi="黑体" w:eastAsia="仿宋_GB2312"/>
          <w:bCs/>
          <w:color w:val="000000"/>
          <w:sz w:val="32"/>
          <w:szCs w:val="32"/>
        </w:rPr>
        <w:t>辆，全年运行费支出</w:t>
      </w:r>
      <w:r>
        <w:rPr>
          <w:rFonts w:ascii="仿宋_GB2312" w:hAnsi="黑体" w:eastAsia="仿宋_GB2312"/>
          <w:bCs/>
          <w:color w:val="000000"/>
          <w:sz w:val="32"/>
          <w:szCs w:val="32"/>
        </w:rPr>
        <w:t>0.79</w:t>
      </w:r>
      <w:r>
        <w:rPr>
          <w:rFonts w:hint="eastAsia" w:ascii="仿宋_GB2312" w:hAnsi="黑体" w:eastAsia="仿宋_GB2312"/>
          <w:bCs/>
          <w:color w:val="000000"/>
          <w:sz w:val="32"/>
          <w:szCs w:val="32"/>
        </w:rPr>
        <w:t>万元，平均每辆</w:t>
      </w:r>
      <w:r>
        <w:rPr>
          <w:rFonts w:ascii="仿宋_GB2312" w:hAnsi="黑体" w:eastAsia="仿宋_GB2312"/>
          <w:bCs/>
          <w:color w:val="000000"/>
          <w:sz w:val="32"/>
          <w:szCs w:val="32"/>
        </w:rPr>
        <w:t>0.40</w:t>
      </w:r>
      <w:r>
        <w:rPr>
          <w:rFonts w:hint="eastAsia" w:ascii="仿宋_GB2312" w:hAnsi="黑体" w:eastAsia="仿宋_GB2312"/>
          <w:bCs/>
          <w:color w:val="000000"/>
          <w:sz w:val="32"/>
          <w:szCs w:val="32"/>
        </w:rPr>
        <w:t>万元。</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（三）公务接待费支出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100</w:t>
      </w:r>
      <w:r>
        <w:rPr>
          <w:rFonts w:hint="eastAsia" w:ascii="仿宋_GB2312" w:eastAsia="仿宋_GB2312" w:cs="仿宋_GB2312"/>
          <w:kern w:val="0"/>
          <w:sz w:val="32"/>
          <w:szCs w:val="32"/>
        </w:rPr>
        <w:t>%， 比上年增减0万元，原因是本年无公务接待费支出。国内公务接待批次</w:t>
      </w:r>
      <w:r>
        <w:rPr>
          <w:rFonts w:ascii="仿宋_GB2312" w:eastAsia="仿宋_GB2312" w:cs="仿宋_GB2312"/>
          <w:kern w:val="0"/>
          <w:sz w:val="32"/>
          <w:szCs w:val="32"/>
        </w:rPr>
        <w:t>0</w:t>
      </w:r>
      <w:r>
        <w:rPr>
          <w:rFonts w:hint="eastAsia" w:ascii="仿宋_GB2312" w:eastAsia="仿宋_GB2312" w:cs="仿宋_GB2312"/>
          <w:kern w:val="0"/>
          <w:sz w:val="32"/>
          <w:szCs w:val="32"/>
        </w:rPr>
        <w:t>次，人次</w:t>
      </w:r>
      <w:r>
        <w:rPr>
          <w:rFonts w:ascii="仿宋_GB2312" w:eastAsia="仿宋_GB2312" w:cs="仿宋_GB2312"/>
          <w:kern w:val="0"/>
          <w:sz w:val="32"/>
          <w:szCs w:val="32"/>
        </w:rPr>
        <w:t>0</w:t>
      </w:r>
      <w:r>
        <w:rPr>
          <w:rFonts w:hint="eastAsia" w:ascii="仿宋_GB2312" w:eastAsia="仿宋_GB2312" w:cs="仿宋_GB2312"/>
          <w:kern w:val="0"/>
          <w:sz w:val="32"/>
          <w:szCs w:val="32"/>
        </w:rPr>
        <w:t>次，国（境）外公务接待批次</w:t>
      </w:r>
      <w:r>
        <w:rPr>
          <w:rFonts w:ascii="仿宋_GB2312" w:eastAsia="仿宋_GB2312" w:cs="仿宋_GB2312"/>
          <w:kern w:val="0"/>
          <w:sz w:val="32"/>
          <w:szCs w:val="32"/>
        </w:rPr>
        <w:t>0</w:t>
      </w:r>
      <w:r>
        <w:rPr>
          <w:rFonts w:hint="eastAsia" w:ascii="仿宋_GB2312" w:eastAsia="仿宋_GB2312" w:cs="仿宋_GB2312"/>
          <w:kern w:val="0"/>
          <w:sz w:val="32"/>
          <w:szCs w:val="32"/>
        </w:rPr>
        <w:t>次，人次</w:t>
      </w:r>
      <w:r>
        <w:rPr>
          <w:rFonts w:ascii="仿宋_GB2312" w:eastAsia="仿宋_GB2312" w:cs="仿宋_GB2312"/>
          <w:kern w:val="0"/>
          <w:sz w:val="32"/>
          <w:szCs w:val="32"/>
        </w:rPr>
        <w:t>0</w:t>
      </w:r>
      <w:r>
        <w:rPr>
          <w:rFonts w:hint="eastAsia" w:ascii="仿宋_GB2312" w:eastAsia="仿宋_GB2312" w:cs="仿宋_GB2312"/>
          <w:kern w:val="0"/>
          <w:sz w:val="32"/>
          <w:szCs w:val="32"/>
        </w:rPr>
        <w:t>次。</w:t>
      </w:r>
    </w:p>
    <w:p>
      <w:pPr>
        <w:autoSpaceDE w:val="0"/>
        <w:autoSpaceDN w:val="0"/>
        <w:adjustRightInd w:val="0"/>
        <w:spacing w:line="560" w:lineRule="exact"/>
        <w:ind w:firstLine="0" w:firstLineChars="0"/>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rPr>
          <w:rFonts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本部门2022年度机关运行经费支出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万元，比年初预算数增加0万元，增长0%，比上年决算数增加0万元，增长0%。比202</w:t>
      </w:r>
      <w:r>
        <w:rPr>
          <w:rFonts w:ascii="仿宋_GB2312" w:eastAsia="仿宋_GB2312" w:cs="仿宋_GB2312"/>
          <w:kern w:val="0"/>
          <w:sz w:val="32"/>
          <w:szCs w:val="32"/>
        </w:rPr>
        <w:t>1</w:t>
      </w:r>
      <w:r>
        <w:rPr>
          <w:rFonts w:hint="eastAsia" w:ascii="仿宋_GB2312" w:eastAsia="仿宋_GB2312" w:cs="仿宋_GB2312"/>
          <w:kern w:val="0"/>
          <w:sz w:val="32"/>
          <w:szCs w:val="32"/>
        </w:rPr>
        <w:t>年增加0万元，增长0%。</w:t>
      </w:r>
    </w:p>
    <w:p>
      <w:pPr>
        <w:autoSpaceDE w:val="0"/>
        <w:autoSpaceDN w:val="0"/>
        <w:adjustRightInd w:val="0"/>
        <w:spacing w:line="560" w:lineRule="exact"/>
        <w:ind w:firstLine="640" w:firstLineChars="200"/>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本部门2022年度政府采购支出总额3</w:t>
      </w:r>
      <w:r>
        <w:rPr>
          <w:rFonts w:ascii="仿宋_GB2312" w:eastAsia="仿宋_GB2312" w:cs="仿宋_GB2312"/>
          <w:kern w:val="0"/>
          <w:sz w:val="32"/>
          <w:szCs w:val="32"/>
        </w:rPr>
        <w:t>8.07</w:t>
      </w:r>
      <w:r>
        <w:rPr>
          <w:rFonts w:hint="eastAsia" w:ascii="仿宋_GB2312" w:eastAsia="仿宋_GB2312" w:cs="仿宋_GB2312"/>
          <w:kern w:val="0"/>
          <w:sz w:val="32"/>
          <w:szCs w:val="32"/>
        </w:rPr>
        <w:t>万元，其中：政府采购货物支出</w:t>
      </w:r>
      <w:r>
        <w:rPr>
          <w:rFonts w:ascii="仿宋_GB2312" w:eastAsia="仿宋_GB2312" w:cs="仿宋_GB2312"/>
          <w:kern w:val="0"/>
          <w:sz w:val="32"/>
          <w:szCs w:val="32"/>
        </w:rPr>
        <w:t>19.12</w:t>
      </w:r>
      <w:r>
        <w:rPr>
          <w:rFonts w:hint="eastAsia" w:ascii="仿宋_GB2312" w:eastAsia="仿宋_GB2312" w:cs="仿宋_GB2312"/>
          <w:kern w:val="0"/>
          <w:sz w:val="32"/>
          <w:szCs w:val="32"/>
        </w:rPr>
        <w:t>万元、政府采购工程支出</w:t>
      </w:r>
      <w:r>
        <w:rPr>
          <w:rFonts w:ascii="仿宋_GB2312" w:eastAsia="仿宋_GB2312" w:cs="仿宋_GB2312"/>
          <w:kern w:val="0"/>
          <w:sz w:val="32"/>
          <w:szCs w:val="32"/>
        </w:rPr>
        <w:t>0</w:t>
      </w:r>
      <w:r>
        <w:rPr>
          <w:rFonts w:hint="eastAsia" w:ascii="仿宋_GB2312" w:eastAsia="仿宋_GB2312" w:cs="仿宋_GB2312"/>
          <w:kern w:val="0"/>
          <w:sz w:val="32"/>
          <w:szCs w:val="32"/>
        </w:rPr>
        <w:t>万元、政府采购服务支出</w:t>
      </w:r>
      <w:r>
        <w:rPr>
          <w:rFonts w:ascii="仿宋_GB2312" w:eastAsia="仿宋_GB2312" w:cs="仿宋_GB2312"/>
          <w:kern w:val="0"/>
          <w:sz w:val="32"/>
          <w:szCs w:val="32"/>
        </w:rPr>
        <w:t>18.95</w:t>
      </w:r>
      <w:r>
        <w:rPr>
          <w:rFonts w:hint="eastAsia" w:ascii="仿宋_GB2312" w:eastAsia="仿宋_GB2312" w:cs="仿宋_GB2312"/>
          <w:kern w:val="0"/>
          <w:sz w:val="32"/>
          <w:szCs w:val="32"/>
        </w:rPr>
        <w:t>万元。授予中小企业合同金额</w:t>
      </w:r>
      <w:r>
        <w:rPr>
          <w:rFonts w:ascii="仿宋_GB2312" w:eastAsia="仿宋_GB2312" w:cs="仿宋_GB2312"/>
          <w:kern w:val="0"/>
          <w:sz w:val="32"/>
          <w:szCs w:val="32"/>
        </w:rPr>
        <w:t>26.44</w:t>
      </w:r>
      <w:r>
        <w:rPr>
          <w:rFonts w:hint="eastAsia" w:ascii="仿宋_GB2312" w:eastAsia="仿宋_GB2312" w:cs="仿宋_GB2312"/>
          <w:kern w:val="0"/>
          <w:sz w:val="32"/>
          <w:szCs w:val="32"/>
        </w:rPr>
        <w:t>万元，占政府采购支出总额的</w:t>
      </w:r>
      <w:r>
        <w:rPr>
          <w:rFonts w:ascii="仿宋_GB2312" w:eastAsia="仿宋_GB2312" w:cs="仿宋_GB2312"/>
          <w:kern w:val="0"/>
          <w:sz w:val="32"/>
          <w:szCs w:val="32"/>
        </w:rPr>
        <w:t>69.45</w:t>
      </w:r>
      <w:r>
        <w:rPr>
          <w:rFonts w:hint="eastAsia" w:ascii="仿宋_GB2312" w:eastAsia="仿宋_GB2312" w:cs="仿宋_GB2312"/>
          <w:kern w:val="0"/>
          <w:sz w:val="32"/>
          <w:szCs w:val="32"/>
        </w:rPr>
        <w:t>%，其中：授予小微企业合同金额</w:t>
      </w:r>
      <w:r>
        <w:rPr>
          <w:rFonts w:ascii="仿宋_GB2312" w:eastAsia="仿宋_GB2312" w:cs="仿宋_GB2312"/>
          <w:kern w:val="0"/>
          <w:sz w:val="32"/>
          <w:szCs w:val="32"/>
        </w:rPr>
        <w:t>19.18</w:t>
      </w:r>
      <w:r>
        <w:rPr>
          <w:rFonts w:hint="eastAsia" w:ascii="仿宋_GB2312" w:eastAsia="仿宋_GB2312" w:cs="仿宋_GB2312"/>
          <w:kern w:val="0"/>
          <w:sz w:val="32"/>
          <w:szCs w:val="32"/>
        </w:rPr>
        <w:t>万元，占授予中小企业合同金额的</w:t>
      </w:r>
      <w:r>
        <w:rPr>
          <w:rFonts w:ascii="仿宋_GB2312" w:eastAsia="仿宋_GB2312" w:cs="仿宋_GB2312"/>
          <w:kern w:val="0"/>
          <w:sz w:val="32"/>
          <w:szCs w:val="32"/>
        </w:rPr>
        <w:t>72.54</w:t>
      </w:r>
      <w:r>
        <w:rPr>
          <w:rFonts w:hint="eastAsia" w:ascii="仿宋_GB2312" w:eastAsia="仿宋_GB2312" w:cs="仿宋_GB2312"/>
          <w:kern w:val="0"/>
          <w:sz w:val="32"/>
          <w:szCs w:val="32"/>
        </w:rPr>
        <w:t>%；</w:t>
      </w:r>
      <w:r>
        <w:rPr>
          <w:rFonts w:hint="eastAsia" w:ascii="仿宋_GB2312" w:eastAsia="仿宋_GB2312" w:cs="仿宋_GB2312"/>
          <w:kern w:val="0"/>
          <w:sz w:val="32"/>
          <w:szCs w:val="32"/>
          <w:highlight w:val="none"/>
        </w:rPr>
        <w:t>货物采购授予中小企业合同金额占货物支出金额</w:t>
      </w:r>
      <w:r>
        <w:rPr>
          <w:rFonts w:hint="eastAsia" w:ascii="仿宋_GB2312" w:eastAsia="仿宋_GB2312" w:cs="仿宋_GB2312"/>
          <w:kern w:val="0"/>
          <w:sz w:val="32"/>
          <w:szCs w:val="32"/>
          <w:highlight w:val="none"/>
        </w:rPr>
        <w:t>的</w:t>
      </w:r>
      <w:r>
        <w:rPr>
          <w:rFonts w:ascii="仿宋_GB2312" w:eastAsia="仿宋_GB2312" w:cs="仿宋_GB2312"/>
          <w:kern w:val="0"/>
          <w:sz w:val="32"/>
          <w:szCs w:val="32"/>
          <w:highlight w:val="none"/>
        </w:rPr>
        <w:t>100</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；工程采购授予中小企业合同金额占工程支出金额的</w:t>
      </w:r>
      <w:r>
        <w:rPr>
          <w:rFonts w:ascii="仿宋_GB2312" w:eastAsia="仿宋_GB2312" w:cs="仿宋_GB2312"/>
          <w:kern w:val="0"/>
          <w:sz w:val="32"/>
          <w:szCs w:val="32"/>
          <w:highlight w:val="none"/>
        </w:rPr>
        <w:t>0</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；服务采购授予中小企业合同金额占服务支出金额的</w:t>
      </w:r>
      <w:r>
        <w:rPr>
          <w:rFonts w:ascii="仿宋_GB2312" w:eastAsia="仿宋_GB2312" w:cs="仿宋_GB2312"/>
          <w:kern w:val="0"/>
          <w:sz w:val="32"/>
          <w:szCs w:val="32"/>
          <w:highlight w:val="none"/>
        </w:rPr>
        <w:t>38.63</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w:t>
      </w:r>
    </w:p>
    <w:p>
      <w:pPr>
        <w:autoSpaceDE w:val="0"/>
        <w:autoSpaceDN w:val="0"/>
        <w:adjustRightInd w:val="0"/>
        <w:spacing w:line="560" w:lineRule="exact"/>
        <w:ind w:firstLine="640" w:firstLineChars="200"/>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截至2022年12月31日，本部门共有车辆</w:t>
      </w:r>
      <w:r>
        <w:rPr>
          <w:rFonts w:ascii="仿宋_GB2312" w:eastAsia="仿宋_GB2312" w:cs="仿宋_GB2312"/>
          <w:kern w:val="0"/>
          <w:sz w:val="32"/>
          <w:szCs w:val="32"/>
        </w:rPr>
        <w:t>2</w:t>
      </w:r>
      <w:r>
        <w:rPr>
          <w:rFonts w:hint="eastAsia" w:ascii="仿宋_GB2312" w:eastAsia="仿宋_GB2312" w:cs="仿宋_GB2312"/>
          <w:kern w:val="0"/>
          <w:sz w:val="32"/>
          <w:szCs w:val="32"/>
        </w:rPr>
        <w:t>辆，其中：副部（省）级领导干部用车</w:t>
      </w:r>
      <w:r>
        <w:rPr>
          <w:rFonts w:ascii="仿宋_GB2312" w:eastAsia="仿宋_GB2312" w:cs="仿宋_GB2312"/>
          <w:kern w:val="0"/>
          <w:sz w:val="32"/>
          <w:szCs w:val="32"/>
        </w:rPr>
        <w:t>0</w:t>
      </w:r>
      <w:r>
        <w:rPr>
          <w:rFonts w:hint="eastAsia" w:ascii="仿宋_GB2312" w:eastAsia="仿宋_GB2312" w:cs="仿宋_GB2312"/>
          <w:kern w:val="0"/>
          <w:sz w:val="32"/>
          <w:szCs w:val="32"/>
        </w:rPr>
        <w:t>辆、机要通信用车</w:t>
      </w:r>
      <w:r>
        <w:rPr>
          <w:rFonts w:ascii="仿宋_GB2312" w:eastAsia="仿宋_GB2312" w:cs="仿宋_GB2312"/>
          <w:kern w:val="0"/>
          <w:sz w:val="32"/>
          <w:szCs w:val="32"/>
        </w:rPr>
        <w:t>0</w:t>
      </w:r>
      <w:r>
        <w:rPr>
          <w:rFonts w:hint="eastAsia" w:ascii="仿宋_GB2312" w:eastAsia="仿宋_GB2312" w:cs="仿宋_GB2312"/>
          <w:kern w:val="0"/>
          <w:sz w:val="32"/>
          <w:szCs w:val="32"/>
        </w:rPr>
        <w:t>辆、应急保障用车</w:t>
      </w:r>
      <w:r>
        <w:rPr>
          <w:rFonts w:ascii="仿宋_GB2312" w:eastAsia="仿宋_GB2312" w:cs="仿宋_GB2312"/>
          <w:kern w:val="0"/>
          <w:sz w:val="32"/>
          <w:szCs w:val="32"/>
        </w:rPr>
        <w:t>0</w:t>
      </w:r>
      <w:r>
        <w:rPr>
          <w:rFonts w:hint="eastAsia" w:ascii="仿宋_GB2312" w:eastAsia="仿宋_GB2312" w:cs="仿宋_GB2312"/>
          <w:kern w:val="0"/>
          <w:sz w:val="32"/>
          <w:szCs w:val="32"/>
        </w:rPr>
        <w:t>辆、执法执勤用车</w:t>
      </w:r>
      <w:r>
        <w:rPr>
          <w:rFonts w:ascii="仿宋_GB2312" w:eastAsia="仿宋_GB2312" w:cs="仿宋_GB2312"/>
          <w:kern w:val="0"/>
          <w:sz w:val="32"/>
          <w:szCs w:val="32"/>
        </w:rPr>
        <w:t>0</w:t>
      </w:r>
      <w:r>
        <w:rPr>
          <w:rFonts w:hint="eastAsia" w:ascii="仿宋_GB2312" w:eastAsia="仿宋_GB2312" w:cs="仿宋_GB2312"/>
          <w:kern w:val="0"/>
          <w:sz w:val="32"/>
          <w:szCs w:val="32"/>
        </w:rPr>
        <w:t>辆、特种专业技术用车</w:t>
      </w:r>
      <w:r>
        <w:rPr>
          <w:rFonts w:ascii="仿宋_GB2312" w:eastAsia="仿宋_GB2312" w:cs="仿宋_GB2312"/>
          <w:kern w:val="0"/>
          <w:sz w:val="32"/>
          <w:szCs w:val="32"/>
        </w:rPr>
        <w:t>0</w:t>
      </w:r>
      <w:r>
        <w:rPr>
          <w:rFonts w:hint="eastAsia" w:ascii="仿宋_GB2312" w:eastAsia="仿宋_GB2312" w:cs="仿宋_GB2312"/>
          <w:kern w:val="0"/>
          <w:sz w:val="32"/>
          <w:szCs w:val="32"/>
        </w:rPr>
        <w:t>辆、其他用车</w:t>
      </w:r>
      <w:r>
        <w:rPr>
          <w:rFonts w:ascii="仿宋_GB2312" w:eastAsia="仿宋_GB2312" w:cs="仿宋_GB2312"/>
          <w:kern w:val="0"/>
          <w:sz w:val="32"/>
          <w:szCs w:val="32"/>
        </w:rPr>
        <w:t>2</w:t>
      </w:r>
      <w:r>
        <w:rPr>
          <w:rFonts w:hint="eastAsia" w:ascii="仿宋_GB2312" w:eastAsia="仿宋_GB2312" w:cs="仿宋_GB2312"/>
          <w:kern w:val="0"/>
          <w:sz w:val="32"/>
          <w:szCs w:val="32"/>
        </w:rPr>
        <w:t>辆，其他用车主要是必要的业务保障用车，用于检验检测、应急处置、机要通信等工作；单位价值50万元以上通用设备</w:t>
      </w:r>
      <w:r>
        <w:rPr>
          <w:rFonts w:ascii="仿宋_GB2312" w:eastAsia="仿宋_GB2312" w:cs="仿宋_GB2312"/>
          <w:kern w:val="0"/>
          <w:sz w:val="32"/>
          <w:szCs w:val="32"/>
        </w:rPr>
        <w:t>0</w:t>
      </w:r>
      <w:r>
        <w:rPr>
          <w:rFonts w:hint="eastAsia" w:ascii="仿宋_GB2312" w:eastAsia="仿宋_GB2312" w:cs="仿宋_GB2312"/>
          <w:kern w:val="0"/>
          <w:sz w:val="32"/>
          <w:szCs w:val="32"/>
        </w:rPr>
        <w:t>台（套）；单位价值100万元以上专用设备0台（套）。</w:t>
      </w:r>
    </w:p>
    <w:p>
      <w:pPr>
        <w:autoSpaceDE w:val="0"/>
        <w:autoSpaceDN w:val="0"/>
        <w:adjustRightInd w:val="0"/>
        <w:spacing w:line="560" w:lineRule="exact"/>
        <w:ind w:firstLine="640" w:firstLineChars="200"/>
        <w:rPr>
          <w:rFonts w:ascii="楷体_GB2312" w:eastAsia="楷体_GB2312" w:cs="仿宋_GB2312"/>
          <w:kern w:val="0"/>
          <w:sz w:val="32"/>
          <w:szCs w:val="32"/>
        </w:rPr>
      </w:pPr>
      <w:r>
        <w:rPr>
          <w:rFonts w:hint="eastAsia" w:ascii="黑体" w:hAnsi="黑体" w:eastAsia="黑体" w:cs="黑体"/>
          <w:kern w:val="0"/>
          <w:sz w:val="32"/>
          <w:szCs w:val="32"/>
        </w:rPr>
        <w:t>八、预算绩效管理工作开展情况。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根据财政预算绩效管理要求，我部门组织对2022年度</w:t>
      </w:r>
      <w:r>
        <w:rPr>
          <w:rFonts w:ascii="仿宋_GB2312" w:eastAsia="仿宋_GB2312" w:cs="仿宋_GB2312"/>
          <w:kern w:val="0"/>
          <w:sz w:val="32"/>
          <w:szCs w:val="32"/>
        </w:rPr>
        <w:t>3</w:t>
      </w:r>
      <w:r>
        <w:rPr>
          <w:rFonts w:hint="eastAsia" w:ascii="仿宋_GB2312" w:eastAsia="仿宋_GB2312" w:cs="仿宋_GB2312"/>
          <w:kern w:val="0"/>
          <w:sz w:val="32"/>
          <w:szCs w:val="32"/>
        </w:rPr>
        <w:t>个一般公共预算项目支出开展绩效自评，共涉及资金</w:t>
      </w:r>
      <w:r>
        <w:rPr>
          <w:rFonts w:ascii="仿宋_GB2312" w:eastAsia="仿宋_GB2312" w:cs="仿宋_GB2312"/>
          <w:kern w:val="0"/>
          <w:sz w:val="32"/>
          <w:szCs w:val="32"/>
        </w:rPr>
        <w:t>17.35</w:t>
      </w:r>
      <w:r>
        <w:rPr>
          <w:rFonts w:hint="eastAsia" w:ascii="仿宋_GB2312" w:eastAsia="仿宋_GB2312" w:cs="仿宋_GB2312"/>
          <w:kern w:val="0"/>
          <w:sz w:val="32"/>
          <w:szCs w:val="32"/>
        </w:rPr>
        <w:t>万元，占一般公共预算项目支出总额的</w:t>
      </w:r>
      <w:r>
        <w:rPr>
          <w:rFonts w:ascii="仿宋_GB2312" w:eastAsia="仿宋_GB2312" w:cs="仿宋_GB2312"/>
          <w:kern w:val="0"/>
          <w:sz w:val="32"/>
          <w:szCs w:val="32"/>
        </w:rPr>
        <w:t>100</w:t>
      </w:r>
      <w:r>
        <w:rPr>
          <w:rFonts w:hint="eastAsia" w:ascii="仿宋_GB2312" w:eastAsia="仿宋_GB2312" w:cs="仿宋_GB2312"/>
          <w:kern w:val="0"/>
          <w:sz w:val="32"/>
          <w:szCs w:val="32"/>
        </w:rPr>
        <w:t>%。组织对2022年度</w:t>
      </w:r>
      <w:r>
        <w:rPr>
          <w:rFonts w:ascii="仿宋_GB2312" w:eastAsia="仿宋_GB2312" w:cs="仿宋_GB2312"/>
          <w:kern w:val="0"/>
          <w:sz w:val="32"/>
          <w:szCs w:val="32"/>
        </w:rPr>
        <w:t>0</w:t>
      </w:r>
      <w:r>
        <w:rPr>
          <w:rFonts w:hint="eastAsia" w:ascii="仿宋_GB2312" w:eastAsia="仿宋_GB2312" w:cs="仿宋_GB2312"/>
          <w:kern w:val="0"/>
          <w:sz w:val="32"/>
          <w:szCs w:val="32"/>
        </w:rPr>
        <w:t>个政府性基金预算项目支出开展绩效自评，共涉及资金</w:t>
      </w:r>
      <w:r>
        <w:rPr>
          <w:rFonts w:ascii="仿宋_GB2312" w:eastAsia="仿宋_GB2312" w:cs="仿宋_GB2312"/>
          <w:kern w:val="0"/>
          <w:sz w:val="32"/>
          <w:szCs w:val="32"/>
        </w:rPr>
        <w:t>0</w:t>
      </w:r>
      <w:r>
        <w:rPr>
          <w:rFonts w:hint="eastAsia" w:ascii="仿宋_GB2312" w:eastAsia="仿宋_GB2312" w:cs="仿宋_GB2312"/>
          <w:kern w:val="0"/>
          <w:sz w:val="32"/>
          <w:szCs w:val="32"/>
        </w:rPr>
        <w:t>万元，占政府性基金预算项目支出总额的</w:t>
      </w:r>
      <w:r>
        <w:rPr>
          <w:rFonts w:ascii="仿宋_GB2312" w:eastAsia="仿宋_GB2312" w:cs="仿宋_GB2312"/>
          <w:kern w:val="0"/>
          <w:sz w:val="32"/>
          <w:szCs w:val="32"/>
        </w:rPr>
        <w:t>0</w:t>
      </w:r>
      <w:r>
        <w:rPr>
          <w:rFonts w:hint="eastAsia" w:ascii="仿宋_GB2312" w:eastAsia="仿宋_GB2312" w:cs="仿宋_GB2312"/>
          <w:kern w:val="0"/>
          <w:sz w:val="32"/>
          <w:szCs w:val="32"/>
        </w:rPr>
        <w:t>%。组织对2022年度</w:t>
      </w:r>
      <w:r>
        <w:rPr>
          <w:rFonts w:ascii="仿宋_GB2312" w:eastAsia="仿宋_GB2312" w:cs="仿宋_GB2312"/>
          <w:kern w:val="0"/>
          <w:sz w:val="32"/>
          <w:szCs w:val="32"/>
        </w:rPr>
        <w:t>0</w:t>
      </w:r>
      <w:r>
        <w:rPr>
          <w:rFonts w:hint="eastAsia" w:ascii="仿宋_GB2312" w:eastAsia="仿宋_GB2312" w:cs="仿宋_GB2312"/>
          <w:kern w:val="0"/>
          <w:sz w:val="32"/>
          <w:szCs w:val="32"/>
        </w:rPr>
        <w:t>个国有资本经营预算项目支出开展绩效自评，共涉及资金</w:t>
      </w:r>
      <w:r>
        <w:rPr>
          <w:rFonts w:ascii="仿宋_GB2312" w:eastAsia="仿宋_GB2312" w:cs="仿宋_GB2312"/>
          <w:kern w:val="0"/>
          <w:sz w:val="32"/>
          <w:szCs w:val="32"/>
        </w:rPr>
        <w:t>0</w:t>
      </w:r>
      <w:r>
        <w:rPr>
          <w:rFonts w:hint="eastAsia" w:ascii="仿宋_GB2312" w:eastAsia="仿宋_GB2312" w:cs="仿宋_GB2312"/>
          <w:kern w:val="0"/>
          <w:sz w:val="32"/>
          <w:szCs w:val="32"/>
        </w:rPr>
        <w:t>万元，占国有资本经营预算项目支出总额的</w:t>
      </w:r>
      <w:r>
        <w:rPr>
          <w:rFonts w:ascii="仿宋_GB2312" w:eastAsia="仿宋_GB2312" w:cs="仿宋_GB2312"/>
          <w:kern w:val="0"/>
          <w:sz w:val="32"/>
          <w:szCs w:val="32"/>
        </w:rPr>
        <w:t>0</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组织对“物业管理费”等</w:t>
      </w:r>
      <w:r>
        <w:rPr>
          <w:rFonts w:ascii="仿宋_GB2312" w:eastAsia="仿宋_GB2312" w:cs="仿宋_GB2312"/>
          <w:kern w:val="0"/>
          <w:sz w:val="32"/>
          <w:szCs w:val="32"/>
        </w:rPr>
        <w:t>11</w:t>
      </w:r>
      <w:r>
        <w:rPr>
          <w:rFonts w:hint="eastAsia" w:ascii="仿宋_GB2312" w:eastAsia="仿宋_GB2312" w:cs="仿宋_GB2312"/>
          <w:kern w:val="0"/>
          <w:sz w:val="32"/>
          <w:szCs w:val="32"/>
        </w:rPr>
        <w:t>个项目进行了部门评价，涉及一般公共预算支出</w:t>
      </w:r>
      <w:r>
        <w:rPr>
          <w:rFonts w:ascii="仿宋_GB2312" w:eastAsia="仿宋_GB2312" w:cs="仿宋_GB2312"/>
          <w:kern w:val="0"/>
          <w:sz w:val="32"/>
          <w:szCs w:val="32"/>
        </w:rPr>
        <w:t>17.35</w:t>
      </w:r>
      <w:r>
        <w:rPr>
          <w:rFonts w:hint="eastAsia" w:ascii="仿宋_GB2312" w:eastAsia="仿宋_GB2312" w:cs="仿宋_GB2312"/>
          <w:kern w:val="0"/>
          <w:sz w:val="32"/>
          <w:szCs w:val="32"/>
        </w:rPr>
        <w:t>万元，政府性基金预算支出</w:t>
      </w:r>
      <w:r>
        <w:rPr>
          <w:rFonts w:ascii="仿宋_GB2312" w:eastAsia="仿宋_GB2312" w:cs="仿宋_GB2312"/>
          <w:kern w:val="0"/>
          <w:sz w:val="32"/>
          <w:szCs w:val="32"/>
        </w:rPr>
        <w:t>0</w:t>
      </w:r>
      <w:r>
        <w:rPr>
          <w:rFonts w:hint="eastAsia" w:ascii="仿宋_GB2312" w:eastAsia="仿宋_GB2312" w:cs="仿宋_GB2312"/>
          <w:kern w:val="0"/>
          <w:sz w:val="32"/>
          <w:szCs w:val="32"/>
        </w:rPr>
        <w:t>万元，国有资本经营预算支出</w:t>
      </w:r>
      <w:r>
        <w:rPr>
          <w:rFonts w:ascii="仿宋_GB2312" w:eastAsia="仿宋_GB2312" w:cs="仿宋_GB2312"/>
          <w:kern w:val="0"/>
          <w:sz w:val="32"/>
          <w:szCs w:val="32"/>
        </w:rPr>
        <w:t>0</w:t>
      </w:r>
      <w:r>
        <w:rPr>
          <w:rFonts w:hint="eastAsia" w:ascii="仿宋_GB2312" w:eastAsia="仿宋_GB2312" w:cs="仿宋_GB2312"/>
          <w:kern w:val="0"/>
          <w:sz w:val="32"/>
          <w:szCs w:val="32"/>
        </w:rPr>
        <w:t>万元。从评价情况来看，基本完成预期目标，9个项目评为一等，预算执行完成情况较好，2个项目受疫情影响，不能开展会议与组织人员聚集活动。</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2.部门决算中项目绩效自评结果。</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（1）项目绩效自评总体情况：经我部门对照年初设定的绩效目标自评，</w:t>
      </w:r>
      <w:r>
        <w:rPr>
          <w:rFonts w:ascii="仿宋_GB2312" w:eastAsia="仿宋_GB2312" w:cs="仿宋_GB2312"/>
          <w:kern w:val="0"/>
          <w:sz w:val="32"/>
          <w:szCs w:val="32"/>
        </w:rPr>
        <w:t>9</w:t>
      </w:r>
      <w:r>
        <w:rPr>
          <w:rFonts w:hint="eastAsia" w:ascii="仿宋_GB2312" w:eastAsia="仿宋_GB2312" w:cs="仿宋_GB2312"/>
          <w:kern w:val="0"/>
          <w:sz w:val="32"/>
          <w:szCs w:val="32"/>
        </w:rPr>
        <w:t>个项目评为一等，占项目总数比例</w:t>
      </w:r>
      <w:r>
        <w:rPr>
          <w:rFonts w:ascii="仿宋_GB2312" w:eastAsia="仿宋_GB2312" w:cs="仿宋_GB2312"/>
          <w:kern w:val="0"/>
          <w:sz w:val="32"/>
          <w:szCs w:val="32"/>
        </w:rPr>
        <w:t>84.62</w:t>
      </w:r>
      <w:r>
        <w:rPr>
          <w:rFonts w:hint="eastAsia" w:ascii="仿宋_GB2312" w:eastAsia="仿宋_GB2312" w:cs="仿宋_GB2312"/>
          <w:kern w:val="0"/>
          <w:sz w:val="32"/>
          <w:szCs w:val="32"/>
        </w:rPr>
        <w:t>%；</w:t>
      </w:r>
      <w:r>
        <w:rPr>
          <w:rFonts w:ascii="仿宋_GB2312" w:eastAsia="仿宋_GB2312" w:cs="仿宋_GB2312"/>
          <w:kern w:val="0"/>
          <w:sz w:val="32"/>
          <w:szCs w:val="32"/>
        </w:rPr>
        <w:t>0</w:t>
      </w:r>
      <w:r>
        <w:rPr>
          <w:rFonts w:hint="eastAsia" w:ascii="仿宋_GB2312" w:eastAsia="仿宋_GB2312" w:cs="仿宋_GB2312"/>
          <w:kern w:val="0"/>
          <w:sz w:val="32"/>
          <w:szCs w:val="32"/>
        </w:rPr>
        <w:t>个项目评为二等，占项目总数比例</w:t>
      </w:r>
      <w:r>
        <w:rPr>
          <w:rFonts w:ascii="仿宋_GB2312" w:eastAsia="仿宋_GB2312" w:cs="仿宋_GB2312"/>
          <w:kern w:val="0"/>
          <w:sz w:val="32"/>
          <w:szCs w:val="32"/>
        </w:rPr>
        <w:t>0</w:t>
      </w:r>
      <w:r>
        <w:rPr>
          <w:rFonts w:hint="eastAsia" w:ascii="仿宋_GB2312" w:eastAsia="仿宋_GB2312" w:cs="仿宋_GB2312"/>
          <w:kern w:val="0"/>
          <w:sz w:val="32"/>
          <w:szCs w:val="32"/>
        </w:rPr>
        <w:t>%；1个项目评为三等，占项目总数比例</w:t>
      </w:r>
      <w:r>
        <w:rPr>
          <w:rFonts w:ascii="仿宋_GB2312" w:eastAsia="仿宋_GB2312" w:cs="仿宋_GB2312"/>
          <w:kern w:val="0"/>
          <w:sz w:val="32"/>
          <w:szCs w:val="32"/>
        </w:rPr>
        <w:t>9.09</w:t>
      </w:r>
      <w:r>
        <w:rPr>
          <w:rFonts w:hint="eastAsia" w:ascii="仿宋_GB2312" w:eastAsia="仿宋_GB2312" w:cs="仿宋_GB2312"/>
          <w:kern w:val="0"/>
          <w:sz w:val="32"/>
          <w:szCs w:val="32"/>
        </w:rPr>
        <w:t>%；1个项目评为四等，占项目总数比例</w:t>
      </w:r>
      <w:r>
        <w:rPr>
          <w:rFonts w:ascii="仿宋_GB2312" w:eastAsia="仿宋_GB2312" w:cs="仿宋_GB2312"/>
          <w:kern w:val="0"/>
          <w:sz w:val="32"/>
          <w:szCs w:val="32"/>
        </w:rPr>
        <w:t>9.09</w:t>
      </w:r>
      <w:r>
        <w:rPr>
          <w:rFonts w:hint="eastAsia" w:ascii="仿宋_GB2312" w:eastAsia="仿宋_GB2312" w:cs="仿宋_GB2312"/>
          <w:kern w:val="0"/>
          <w:sz w:val="32"/>
          <w:szCs w:val="32"/>
        </w:rPr>
        <w:t>%；。自评发现的主要问题及原因：一是绩效指标设置不规范；二是误以为三类效果指标均需填列。下一步改进措施：一是通过关注预算绩效管理相关政策动态、与第三方评价机构进行咨询合作等方式进一步学习预算绩效管理相关知识，逐步建立起完整的预算绩效知识框架，在学习中建立预算绩效管理制度，构建完善的预算绩效管理体系，进一步提高单位的预算绩效管理水平；二是参加多种形式的培训宣传活动，促进单位相关人员对绩效管理有更深的认识和理解，树立正确的预算绩效管理理念，为推进预算绩效管理工作，确保更好地开展预算绩效工作奠定坚实的基础。</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（2）部分重点项目绩效自评情况：根据年初设定的绩效目标，物业管理费项目自评得分为</w:t>
      </w:r>
      <w:r>
        <w:rPr>
          <w:rFonts w:ascii="仿宋_GB2312" w:eastAsia="仿宋_GB2312" w:cs="仿宋_GB2312"/>
          <w:kern w:val="0"/>
          <w:sz w:val="32"/>
          <w:szCs w:val="32"/>
        </w:rPr>
        <w:t>99.28</w:t>
      </w:r>
      <w:r>
        <w:rPr>
          <w:rFonts w:hint="eastAsia" w:ascii="仿宋_GB2312" w:eastAsia="仿宋_GB2312" w:cs="仿宋_GB2312"/>
          <w:kern w:val="0"/>
          <w:sz w:val="32"/>
          <w:szCs w:val="32"/>
        </w:rPr>
        <w:t>分，一等，项目全年预算数为</w:t>
      </w:r>
      <w:r>
        <w:rPr>
          <w:rFonts w:ascii="仿宋_GB2312" w:eastAsia="仿宋_GB2312" w:cs="仿宋_GB2312"/>
          <w:kern w:val="0"/>
          <w:sz w:val="32"/>
          <w:szCs w:val="32"/>
        </w:rPr>
        <w:t>7.50</w:t>
      </w:r>
      <w:r>
        <w:rPr>
          <w:rFonts w:hint="eastAsia" w:ascii="仿宋_GB2312" w:eastAsia="仿宋_GB2312" w:cs="仿宋_GB2312"/>
          <w:kern w:val="0"/>
          <w:sz w:val="32"/>
          <w:szCs w:val="32"/>
        </w:rPr>
        <w:t>万元，执行数为</w:t>
      </w:r>
      <w:r>
        <w:rPr>
          <w:rFonts w:ascii="仿宋_GB2312" w:eastAsia="仿宋_GB2312" w:cs="仿宋_GB2312"/>
          <w:kern w:val="0"/>
          <w:sz w:val="32"/>
          <w:szCs w:val="32"/>
        </w:rPr>
        <w:t>6.96</w:t>
      </w:r>
      <w:r>
        <w:rPr>
          <w:rFonts w:hint="eastAsia" w:ascii="仿宋_GB2312" w:eastAsia="仿宋_GB2312" w:cs="仿宋_GB2312"/>
          <w:kern w:val="0"/>
          <w:sz w:val="32"/>
          <w:szCs w:val="32"/>
        </w:rPr>
        <w:t>万元，完成预算的</w:t>
      </w:r>
      <w:r>
        <w:rPr>
          <w:rFonts w:ascii="仿宋_GB2312" w:eastAsia="仿宋_GB2312" w:cs="仿宋_GB2312"/>
          <w:kern w:val="0"/>
          <w:sz w:val="32"/>
          <w:szCs w:val="32"/>
        </w:rPr>
        <w:t>92.75</w:t>
      </w:r>
      <w:r>
        <w:rPr>
          <w:rFonts w:hint="eastAsia" w:ascii="仿宋_GB2312" w:eastAsia="仿宋_GB2312" w:cs="仿宋_GB2312"/>
          <w:kern w:val="0"/>
          <w:sz w:val="32"/>
          <w:szCs w:val="32"/>
        </w:rPr>
        <w:t>%。项目绩效目标完成情况：2</w:t>
      </w:r>
      <w:r>
        <w:rPr>
          <w:rFonts w:ascii="仿宋_GB2312" w:eastAsia="仿宋_GB2312" w:cs="仿宋_GB2312"/>
          <w:kern w:val="0"/>
          <w:sz w:val="32"/>
          <w:szCs w:val="32"/>
        </w:rPr>
        <w:t>022</w:t>
      </w:r>
      <w:r>
        <w:rPr>
          <w:rFonts w:hint="eastAsia" w:ascii="仿宋_GB2312" w:eastAsia="仿宋_GB2312" w:cs="仿宋_GB2312"/>
          <w:kern w:val="0"/>
          <w:sz w:val="32"/>
          <w:szCs w:val="32"/>
        </w:rPr>
        <w:t>年我单位办公场所等责任区域共计5</w:t>
      </w:r>
      <w:r>
        <w:rPr>
          <w:rFonts w:ascii="仿宋_GB2312" w:eastAsia="仿宋_GB2312" w:cs="仿宋_GB2312"/>
          <w:kern w:val="0"/>
          <w:sz w:val="32"/>
          <w:szCs w:val="32"/>
        </w:rPr>
        <w:t>358</w:t>
      </w:r>
      <w:r>
        <w:rPr>
          <w:rFonts w:hint="eastAsia" w:ascii="仿宋_GB2312" w:eastAsia="仿宋_GB2312" w:cs="仿宋_GB2312"/>
          <w:kern w:val="0"/>
          <w:sz w:val="32"/>
          <w:szCs w:val="32"/>
        </w:rPr>
        <w:t>平方米，委托物业服务公司提供安保服务，维护治安秩序，排查安全隐患。自评发现的主要问题及原因：一是项目绩效目标衡量指标设置不够准确；二是物业服务内容仍有提升空间。下一步改进措施：一是积极组织办公室根据物业管理费项目特点，认真梳理代表性强、可操作性强的绩效指标，更新完善我单位绩效指标库，为明年度绩效目标申报工作提供更好地参考。二是办公室与物业管理公司沟通协商在物业服务内容上提升空间，如物业公司应从流程、技术、人员等多个方面进行改进和升级：1.加强对物业服务流程和服务标准的细化处理。从而,规范和优化物业服务流程,并严格执行物业服务标准,保障服务质量的稳定。2实施技术改进和信息化建设在提升物业服务方面,优化信息化建设也是一个需要重视的方面。通过建立系统化、智能化、数字化等优质服务的信息化平台,可以加速物业服务的反馈和处理速度。3.强化人员培训和管理物业服务团队是保障服务品质的重要组成部分。</w:t>
      </w:r>
    </w:p>
    <w:p>
      <w:pPr>
        <w:autoSpaceDE w:val="0"/>
        <w:autoSpaceDN w:val="0"/>
        <w:adjustRightInd w:val="0"/>
        <w:spacing w:line="560" w:lineRule="exact"/>
        <w:jc w:val="lef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r>
        <w:rPr>
          <w:rFonts w:ascii="仿宋_GB2312" w:eastAsia="仿宋_GB2312" w:cs="仿宋_GB2312"/>
          <w:b/>
          <w:kern w:val="0"/>
          <w:sz w:val="32"/>
          <w:szCs w:val="32"/>
        </w:rPr>
        <w:br w:type="page"/>
      </w: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jc w:val="center"/>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spacing w:line="560" w:lineRule="exact"/>
        <w:ind w:firstLine="640"/>
        <w:rPr>
          <w:rFonts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spacing w:line="560" w:lineRule="exact"/>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五、使用非财政拨款结余：指事业单位在当年的“财政拨款收入”“事业收入”“经营收入”“其他收入”不足以安排当年支出的情况下，使用非财政拨款结余、专用结余弥补本年度收支缺口的资金。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spacing w:line="560" w:lineRule="exact"/>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黑体" w:hAnsi="黑体" w:eastAsia="黑体" w:cs="仿宋_GB2312"/>
          <w:kern w:val="0"/>
          <w:sz w:val="32"/>
          <w:szCs w:val="32"/>
        </w:rPr>
      </w:pPr>
    </w:p>
    <w:sectPr>
      <w:pgSz w:w="11906" w:h="16838"/>
      <w:pgMar w:top="1701" w:right="1474" w:bottom="1247" w:left="158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firstLineChars="150"/>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3A"/>
    <w:rsid w:val="00000C19"/>
    <w:rsid w:val="000025D7"/>
    <w:rsid w:val="000029C9"/>
    <w:rsid w:val="00011970"/>
    <w:rsid w:val="00012A72"/>
    <w:rsid w:val="000132BE"/>
    <w:rsid w:val="0001353E"/>
    <w:rsid w:val="00014B7F"/>
    <w:rsid w:val="000157A9"/>
    <w:rsid w:val="00017F54"/>
    <w:rsid w:val="000206F8"/>
    <w:rsid w:val="0002142A"/>
    <w:rsid w:val="000222ED"/>
    <w:rsid w:val="000275C8"/>
    <w:rsid w:val="00030D95"/>
    <w:rsid w:val="00032D5F"/>
    <w:rsid w:val="000373C3"/>
    <w:rsid w:val="0004145E"/>
    <w:rsid w:val="000441F7"/>
    <w:rsid w:val="00046498"/>
    <w:rsid w:val="0004689D"/>
    <w:rsid w:val="00050F20"/>
    <w:rsid w:val="000534BF"/>
    <w:rsid w:val="00053DFF"/>
    <w:rsid w:val="000624C1"/>
    <w:rsid w:val="00062651"/>
    <w:rsid w:val="000731B4"/>
    <w:rsid w:val="00075941"/>
    <w:rsid w:val="000772EB"/>
    <w:rsid w:val="0008469B"/>
    <w:rsid w:val="00084D65"/>
    <w:rsid w:val="00084D7B"/>
    <w:rsid w:val="000855C8"/>
    <w:rsid w:val="00086800"/>
    <w:rsid w:val="00087056"/>
    <w:rsid w:val="00090B5D"/>
    <w:rsid w:val="000910E5"/>
    <w:rsid w:val="0009172A"/>
    <w:rsid w:val="00091768"/>
    <w:rsid w:val="00094416"/>
    <w:rsid w:val="00094BD1"/>
    <w:rsid w:val="0009684C"/>
    <w:rsid w:val="00096F23"/>
    <w:rsid w:val="0009722B"/>
    <w:rsid w:val="000A2AB8"/>
    <w:rsid w:val="000A6054"/>
    <w:rsid w:val="000A6C6F"/>
    <w:rsid w:val="000B28CB"/>
    <w:rsid w:val="000B3150"/>
    <w:rsid w:val="000B4991"/>
    <w:rsid w:val="000B50F0"/>
    <w:rsid w:val="000B6ADF"/>
    <w:rsid w:val="000C0E3B"/>
    <w:rsid w:val="000C5BEC"/>
    <w:rsid w:val="000C63B9"/>
    <w:rsid w:val="000C6D5F"/>
    <w:rsid w:val="000C6FCB"/>
    <w:rsid w:val="000D23D3"/>
    <w:rsid w:val="000D2E1E"/>
    <w:rsid w:val="000D3F04"/>
    <w:rsid w:val="000D4FEF"/>
    <w:rsid w:val="000D59C5"/>
    <w:rsid w:val="000E0EF2"/>
    <w:rsid w:val="000E46F0"/>
    <w:rsid w:val="000F1C31"/>
    <w:rsid w:val="000F2407"/>
    <w:rsid w:val="000F2C94"/>
    <w:rsid w:val="000F6708"/>
    <w:rsid w:val="000F7869"/>
    <w:rsid w:val="0010068C"/>
    <w:rsid w:val="00100C20"/>
    <w:rsid w:val="00100FAF"/>
    <w:rsid w:val="00102D27"/>
    <w:rsid w:val="00103347"/>
    <w:rsid w:val="0010639B"/>
    <w:rsid w:val="00107921"/>
    <w:rsid w:val="001112C5"/>
    <w:rsid w:val="00112FD8"/>
    <w:rsid w:val="001142CD"/>
    <w:rsid w:val="0011491B"/>
    <w:rsid w:val="00116A32"/>
    <w:rsid w:val="00116EA1"/>
    <w:rsid w:val="00122319"/>
    <w:rsid w:val="00123033"/>
    <w:rsid w:val="00124337"/>
    <w:rsid w:val="00124374"/>
    <w:rsid w:val="00124696"/>
    <w:rsid w:val="00127C35"/>
    <w:rsid w:val="00131E61"/>
    <w:rsid w:val="0013214F"/>
    <w:rsid w:val="00134300"/>
    <w:rsid w:val="0014054D"/>
    <w:rsid w:val="00140B11"/>
    <w:rsid w:val="00143E79"/>
    <w:rsid w:val="001452D0"/>
    <w:rsid w:val="00146528"/>
    <w:rsid w:val="00146943"/>
    <w:rsid w:val="00146A23"/>
    <w:rsid w:val="00152434"/>
    <w:rsid w:val="00154352"/>
    <w:rsid w:val="00154359"/>
    <w:rsid w:val="00155313"/>
    <w:rsid w:val="00160A4D"/>
    <w:rsid w:val="00166E1C"/>
    <w:rsid w:val="00170279"/>
    <w:rsid w:val="001718C7"/>
    <w:rsid w:val="0017498B"/>
    <w:rsid w:val="001847E1"/>
    <w:rsid w:val="00184C71"/>
    <w:rsid w:val="00184D07"/>
    <w:rsid w:val="00185888"/>
    <w:rsid w:val="00186585"/>
    <w:rsid w:val="001865E7"/>
    <w:rsid w:val="0018764F"/>
    <w:rsid w:val="00191280"/>
    <w:rsid w:val="001928A1"/>
    <w:rsid w:val="00194E59"/>
    <w:rsid w:val="00196A9B"/>
    <w:rsid w:val="001A0C25"/>
    <w:rsid w:val="001A1448"/>
    <w:rsid w:val="001A6FD4"/>
    <w:rsid w:val="001A7D11"/>
    <w:rsid w:val="001B0307"/>
    <w:rsid w:val="001B166A"/>
    <w:rsid w:val="001B4B53"/>
    <w:rsid w:val="001B5D25"/>
    <w:rsid w:val="001C104A"/>
    <w:rsid w:val="001D0189"/>
    <w:rsid w:val="001D3D99"/>
    <w:rsid w:val="001D676E"/>
    <w:rsid w:val="001D6B9B"/>
    <w:rsid w:val="001E1E8E"/>
    <w:rsid w:val="001E263B"/>
    <w:rsid w:val="001E5C0E"/>
    <w:rsid w:val="001F5DC2"/>
    <w:rsid w:val="002018A2"/>
    <w:rsid w:val="0020576C"/>
    <w:rsid w:val="00207EAA"/>
    <w:rsid w:val="002109FE"/>
    <w:rsid w:val="00215D56"/>
    <w:rsid w:val="002160E7"/>
    <w:rsid w:val="002208D1"/>
    <w:rsid w:val="00220F16"/>
    <w:rsid w:val="00221229"/>
    <w:rsid w:val="00222800"/>
    <w:rsid w:val="00224936"/>
    <w:rsid w:val="00226542"/>
    <w:rsid w:val="00232489"/>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3683"/>
    <w:rsid w:val="0025461A"/>
    <w:rsid w:val="002603EE"/>
    <w:rsid w:val="0026094C"/>
    <w:rsid w:val="00260D24"/>
    <w:rsid w:val="002633F3"/>
    <w:rsid w:val="002641A4"/>
    <w:rsid w:val="00266617"/>
    <w:rsid w:val="002675C3"/>
    <w:rsid w:val="00267C5B"/>
    <w:rsid w:val="00267CC9"/>
    <w:rsid w:val="00274E01"/>
    <w:rsid w:val="002752E2"/>
    <w:rsid w:val="002803AA"/>
    <w:rsid w:val="002804E0"/>
    <w:rsid w:val="00291736"/>
    <w:rsid w:val="002954D5"/>
    <w:rsid w:val="00295BC0"/>
    <w:rsid w:val="002A02D0"/>
    <w:rsid w:val="002A368F"/>
    <w:rsid w:val="002A3928"/>
    <w:rsid w:val="002A3E37"/>
    <w:rsid w:val="002A555C"/>
    <w:rsid w:val="002A6A9A"/>
    <w:rsid w:val="002B11CF"/>
    <w:rsid w:val="002B1412"/>
    <w:rsid w:val="002B2E03"/>
    <w:rsid w:val="002B6EA5"/>
    <w:rsid w:val="002C0E9F"/>
    <w:rsid w:val="002C281F"/>
    <w:rsid w:val="002C5A6A"/>
    <w:rsid w:val="002D4A30"/>
    <w:rsid w:val="002E03AA"/>
    <w:rsid w:val="002E3BED"/>
    <w:rsid w:val="002E7A82"/>
    <w:rsid w:val="002F3061"/>
    <w:rsid w:val="002F3CF8"/>
    <w:rsid w:val="002F497A"/>
    <w:rsid w:val="002F7B1D"/>
    <w:rsid w:val="0030059F"/>
    <w:rsid w:val="00300BB4"/>
    <w:rsid w:val="00300FD9"/>
    <w:rsid w:val="00301C94"/>
    <w:rsid w:val="00306668"/>
    <w:rsid w:val="003103DF"/>
    <w:rsid w:val="00311100"/>
    <w:rsid w:val="00311ABD"/>
    <w:rsid w:val="003122D0"/>
    <w:rsid w:val="003127B5"/>
    <w:rsid w:val="00312A3F"/>
    <w:rsid w:val="003130DD"/>
    <w:rsid w:val="0031372E"/>
    <w:rsid w:val="00315574"/>
    <w:rsid w:val="00320B55"/>
    <w:rsid w:val="003232EB"/>
    <w:rsid w:val="00323399"/>
    <w:rsid w:val="0032366E"/>
    <w:rsid w:val="00323731"/>
    <w:rsid w:val="00326265"/>
    <w:rsid w:val="00332392"/>
    <w:rsid w:val="003369A6"/>
    <w:rsid w:val="00336E24"/>
    <w:rsid w:val="0033707D"/>
    <w:rsid w:val="00337891"/>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7236"/>
    <w:rsid w:val="00370055"/>
    <w:rsid w:val="003706FD"/>
    <w:rsid w:val="00370E78"/>
    <w:rsid w:val="00370F52"/>
    <w:rsid w:val="003720EC"/>
    <w:rsid w:val="0037296A"/>
    <w:rsid w:val="00372DDA"/>
    <w:rsid w:val="00373228"/>
    <w:rsid w:val="003733D5"/>
    <w:rsid w:val="00375904"/>
    <w:rsid w:val="00376419"/>
    <w:rsid w:val="0037657B"/>
    <w:rsid w:val="003813FB"/>
    <w:rsid w:val="00381DD6"/>
    <w:rsid w:val="003847D5"/>
    <w:rsid w:val="003851D3"/>
    <w:rsid w:val="00386927"/>
    <w:rsid w:val="00390BD6"/>
    <w:rsid w:val="00390E35"/>
    <w:rsid w:val="0039174F"/>
    <w:rsid w:val="003925EC"/>
    <w:rsid w:val="003925FB"/>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26AA"/>
    <w:rsid w:val="003C291D"/>
    <w:rsid w:val="003C2C33"/>
    <w:rsid w:val="003C48C5"/>
    <w:rsid w:val="003C66E5"/>
    <w:rsid w:val="003D1E99"/>
    <w:rsid w:val="003D3A37"/>
    <w:rsid w:val="003D3CAA"/>
    <w:rsid w:val="003D4E96"/>
    <w:rsid w:val="003D527F"/>
    <w:rsid w:val="003D6F8F"/>
    <w:rsid w:val="003E183B"/>
    <w:rsid w:val="003E2626"/>
    <w:rsid w:val="003E39C8"/>
    <w:rsid w:val="003E39E1"/>
    <w:rsid w:val="003E4405"/>
    <w:rsid w:val="003E46F0"/>
    <w:rsid w:val="003E50BC"/>
    <w:rsid w:val="003E50FC"/>
    <w:rsid w:val="003E56AB"/>
    <w:rsid w:val="003F3841"/>
    <w:rsid w:val="003F3DC3"/>
    <w:rsid w:val="003F6785"/>
    <w:rsid w:val="003F6E50"/>
    <w:rsid w:val="00401CB5"/>
    <w:rsid w:val="00403F6E"/>
    <w:rsid w:val="004109A2"/>
    <w:rsid w:val="004113DD"/>
    <w:rsid w:val="0041229B"/>
    <w:rsid w:val="0041459A"/>
    <w:rsid w:val="00417299"/>
    <w:rsid w:val="00417659"/>
    <w:rsid w:val="00420E37"/>
    <w:rsid w:val="00426330"/>
    <w:rsid w:val="00426EB7"/>
    <w:rsid w:val="00427CC4"/>
    <w:rsid w:val="004304AE"/>
    <w:rsid w:val="00430D18"/>
    <w:rsid w:val="004316FD"/>
    <w:rsid w:val="00435609"/>
    <w:rsid w:val="004357B3"/>
    <w:rsid w:val="00440293"/>
    <w:rsid w:val="00441648"/>
    <w:rsid w:val="00442330"/>
    <w:rsid w:val="00443145"/>
    <w:rsid w:val="00444696"/>
    <w:rsid w:val="0044603A"/>
    <w:rsid w:val="00446B3E"/>
    <w:rsid w:val="00447BF6"/>
    <w:rsid w:val="0045131C"/>
    <w:rsid w:val="00452149"/>
    <w:rsid w:val="004522B4"/>
    <w:rsid w:val="004522C8"/>
    <w:rsid w:val="00453ED8"/>
    <w:rsid w:val="00454BC7"/>
    <w:rsid w:val="00456362"/>
    <w:rsid w:val="004625E8"/>
    <w:rsid w:val="0046291E"/>
    <w:rsid w:val="00462EBD"/>
    <w:rsid w:val="0046358D"/>
    <w:rsid w:val="00465295"/>
    <w:rsid w:val="00465B78"/>
    <w:rsid w:val="004672EC"/>
    <w:rsid w:val="00471611"/>
    <w:rsid w:val="00477A2E"/>
    <w:rsid w:val="00480B7A"/>
    <w:rsid w:val="004827C4"/>
    <w:rsid w:val="00484FAE"/>
    <w:rsid w:val="00485E6F"/>
    <w:rsid w:val="00491C5B"/>
    <w:rsid w:val="00491D25"/>
    <w:rsid w:val="00493E03"/>
    <w:rsid w:val="0049716A"/>
    <w:rsid w:val="004972EC"/>
    <w:rsid w:val="00497630"/>
    <w:rsid w:val="004A0B63"/>
    <w:rsid w:val="004A3BC5"/>
    <w:rsid w:val="004A449E"/>
    <w:rsid w:val="004A61C9"/>
    <w:rsid w:val="004A6F76"/>
    <w:rsid w:val="004B1F34"/>
    <w:rsid w:val="004B289F"/>
    <w:rsid w:val="004B35CE"/>
    <w:rsid w:val="004B3DE6"/>
    <w:rsid w:val="004B4DC4"/>
    <w:rsid w:val="004B5DC9"/>
    <w:rsid w:val="004B6E81"/>
    <w:rsid w:val="004B7A7F"/>
    <w:rsid w:val="004B7A9E"/>
    <w:rsid w:val="004C04CD"/>
    <w:rsid w:val="004C1A22"/>
    <w:rsid w:val="004C4FBF"/>
    <w:rsid w:val="004C6064"/>
    <w:rsid w:val="004D055F"/>
    <w:rsid w:val="004E110C"/>
    <w:rsid w:val="004E1290"/>
    <w:rsid w:val="004E5456"/>
    <w:rsid w:val="004E7C99"/>
    <w:rsid w:val="004F1C3E"/>
    <w:rsid w:val="004F3226"/>
    <w:rsid w:val="004F349C"/>
    <w:rsid w:val="004F3E39"/>
    <w:rsid w:val="004F4F61"/>
    <w:rsid w:val="004F7674"/>
    <w:rsid w:val="004F7C61"/>
    <w:rsid w:val="00500122"/>
    <w:rsid w:val="00500DA6"/>
    <w:rsid w:val="00501090"/>
    <w:rsid w:val="00503EA9"/>
    <w:rsid w:val="00506308"/>
    <w:rsid w:val="00506B9A"/>
    <w:rsid w:val="00507786"/>
    <w:rsid w:val="00507C93"/>
    <w:rsid w:val="00514372"/>
    <w:rsid w:val="005174CF"/>
    <w:rsid w:val="00521420"/>
    <w:rsid w:val="00522008"/>
    <w:rsid w:val="0052243C"/>
    <w:rsid w:val="00522B92"/>
    <w:rsid w:val="00523BBE"/>
    <w:rsid w:val="00523CDA"/>
    <w:rsid w:val="00524715"/>
    <w:rsid w:val="00526411"/>
    <w:rsid w:val="00531804"/>
    <w:rsid w:val="00540964"/>
    <w:rsid w:val="00543475"/>
    <w:rsid w:val="005443D6"/>
    <w:rsid w:val="005457A3"/>
    <w:rsid w:val="00546759"/>
    <w:rsid w:val="005504ED"/>
    <w:rsid w:val="00550503"/>
    <w:rsid w:val="00550B77"/>
    <w:rsid w:val="0055168C"/>
    <w:rsid w:val="00552861"/>
    <w:rsid w:val="005531C0"/>
    <w:rsid w:val="00564A10"/>
    <w:rsid w:val="005658EF"/>
    <w:rsid w:val="00565E23"/>
    <w:rsid w:val="00570EC7"/>
    <w:rsid w:val="0057447A"/>
    <w:rsid w:val="00575BF2"/>
    <w:rsid w:val="00575D10"/>
    <w:rsid w:val="0057611D"/>
    <w:rsid w:val="00577A85"/>
    <w:rsid w:val="00581BAC"/>
    <w:rsid w:val="005854E8"/>
    <w:rsid w:val="005868CC"/>
    <w:rsid w:val="00590AD9"/>
    <w:rsid w:val="00592E5F"/>
    <w:rsid w:val="0059378D"/>
    <w:rsid w:val="00593DBF"/>
    <w:rsid w:val="005949F2"/>
    <w:rsid w:val="00596282"/>
    <w:rsid w:val="00597357"/>
    <w:rsid w:val="00597F5E"/>
    <w:rsid w:val="005A0856"/>
    <w:rsid w:val="005A12C2"/>
    <w:rsid w:val="005A52FA"/>
    <w:rsid w:val="005A5EE0"/>
    <w:rsid w:val="005A5FFF"/>
    <w:rsid w:val="005A6470"/>
    <w:rsid w:val="005B2A50"/>
    <w:rsid w:val="005B3181"/>
    <w:rsid w:val="005B3A4E"/>
    <w:rsid w:val="005B6953"/>
    <w:rsid w:val="005B6ABE"/>
    <w:rsid w:val="005C2BB0"/>
    <w:rsid w:val="005C76A1"/>
    <w:rsid w:val="005C7829"/>
    <w:rsid w:val="005C7882"/>
    <w:rsid w:val="005D0A2C"/>
    <w:rsid w:val="005D5516"/>
    <w:rsid w:val="005D6B9C"/>
    <w:rsid w:val="005D7580"/>
    <w:rsid w:val="005E1010"/>
    <w:rsid w:val="005E26E1"/>
    <w:rsid w:val="005E5A8E"/>
    <w:rsid w:val="005E6D25"/>
    <w:rsid w:val="005E6D82"/>
    <w:rsid w:val="005F01E6"/>
    <w:rsid w:val="005F0A65"/>
    <w:rsid w:val="005F0F32"/>
    <w:rsid w:val="005F4A57"/>
    <w:rsid w:val="005F6265"/>
    <w:rsid w:val="005F6BF4"/>
    <w:rsid w:val="00601671"/>
    <w:rsid w:val="00602CE4"/>
    <w:rsid w:val="00605CAA"/>
    <w:rsid w:val="006070EA"/>
    <w:rsid w:val="00614F8D"/>
    <w:rsid w:val="0061500F"/>
    <w:rsid w:val="0061640E"/>
    <w:rsid w:val="0062137B"/>
    <w:rsid w:val="0062163E"/>
    <w:rsid w:val="00624986"/>
    <w:rsid w:val="00625F0E"/>
    <w:rsid w:val="006270F9"/>
    <w:rsid w:val="00632761"/>
    <w:rsid w:val="00634652"/>
    <w:rsid w:val="006356AA"/>
    <w:rsid w:val="00635CE7"/>
    <w:rsid w:val="006366ED"/>
    <w:rsid w:val="00640685"/>
    <w:rsid w:val="0064164F"/>
    <w:rsid w:val="00641757"/>
    <w:rsid w:val="00642FE1"/>
    <w:rsid w:val="00644441"/>
    <w:rsid w:val="00651B6B"/>
    <w:rsid w:val="00651EB1"/>
    <w:rsid w:val="006526A9"/>
    <w:rsid w:val="00653A13"/>
    <w:rsid w:val="00653A30"/>
    <w:rsid w:val="006544A0"/>
    <w:rsid w:val="00654CF0"/>
    <w:rsid w:val="00655F33"/>
    <w:rsid w:val="0065654E"/>
    <w:rsid w:val="00656982"/>
    <w:rsid w:val="00657E7C"/>
    <w:rsid w:val="00660939"/>
    <w:rsid w:val="00661C0A"/>
    <w:rsid w:val="0066336F"/>
    <w:rsid w:val="00663DF2"/>
    <w:rsid w:val="006656D4"/>
    <w:rsid w:val="00666497"/>
    <w:rsid w:val="00667ECC"/>
    <w:rsid w:val="00671767"/>
    <w:rsid w:val="0067481E"/>
    <w:rsid w:val="00674CF3"/>
    <w:rsid w:val="006770F0"/>
    <w:rsid w:val="006803BC"/>
    <w:rsid w:val="00681F9C"/>
    <w:rsid w:val="00682A95"/>
    <w:rsid w:val="00682B38"/>
    <w:rsid w:val="006851F9"/>
    <w:rsid w:val="00687BA6"/>
    <w:rsid w:val="0069307B"/>
    <w:rsid w:val="00695FEF"/>
    <w:rsid w:val="006972ED"/>
    <w:rsid w:val="006A2761"/>
    <w:rsid w:val="006A3A31"/>
    <w:rsid w:val="006A7174"/>
    <w:rsid w:val="006A7688"/>
    <w:rsid w:val="006B1881"/>
    <w:rsid w:val="006B1E13"/>
    <w:rsid w:val="006B2177"/>
    <w:rsid w:val="006B22C2"/>
    <w:rsid w:val="006B5F57"/>
    <w:rsid w:val="006B65CA"/>
    <w:rsid w:val="006B6F5F"/>
    <w:rsid w:val="006C3C3A"/>
    <w:rsid w:val="006C4FA3"/>
    <w:rsid w:val="006C4FE5"/>
    <w:rsid w:val="006C588F"/>
    <w:rsid w:val="006C6837"/>
    <w:rsid w:val="006C7E2F"/>
    <w:rsid w:val="006D4111"/>
    <w:rsid w:val="006F0B05"/>
    <w:rsid w:val="006F3EAD"/>
    <w:rsid w:val="006F40FC"/>
    <w:rsid w:val="00700C01"/>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4AAB"/>
    <w:rsid w:val="00745B18"/>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87600"/>
    <w:rsid w:val="0079081E"/>
    <w:rsid w:val="00794153"/>
    <w:rsid w:val="007A2083"/>
    <w:rsid w:val="007A239C"/>
    <w:rsid w:val="007A3A19"/>
    <w:rsid w:val="007A43ED"/>
    <w:rsid w:val="007A46F8"/>
    <w:rsid w:val="007A5846"/>
    <w:rsid w:val="007A7EBA"/>
    <w:rsid w:val="007B17C6"/>
    <w:rsid w:val="007B6945"/>
    <w:rsid w:val="007B6D8F"/>
    <w:rsid w:val="007C0CB7"/>
    <w:rsid w:val="007C15E9"/>
    <w:rsid w:val="007C17DC"/>
    <w:rsid w:val="007C32B7"/>
    <w:rsid w:val="007C44FE"/>
    <w:rsid w:val="007C586A"/>
    <w:rsid w:val="007C59A6"/>
    <w:rsid w:val="007C5EE5"/>
    <w:rsid w:val="007C623B"/>
    <w:rsid w:val="007C640A"/>
    <w:rsid w:val="007D15F0"/>
    <w:rsid w:val="007D7589"/>
    <w:rsid w:val="007E168C"/>
    <w:rsid w:val="007E2F28"/>
    <w:rsid w:val="007E3268"/>
    <w:rsid w:val="007E3960"/>
    <w:rsid w:val="007E6BB9"/>
    <w:rsid w:val="007E6FB3"/>
    <w:rsid w:val="007F0DD1"/>
    <w:rsid w:val="007F3565"/>
    <w:rsid w:val="007F42C7"/>
    <w:rsid w:val="007F4A6E"/>
    <w:rsid w:val="00804325"/>
    <w:rsid w:val="00805F4E"/>
    <w:rsid w:val="008073D4"/>
    <w:rsid w:val="00807404"/>
    <w:rsid w:val="0080788D"/>
    <w:rsid w:val="00810BA1"/>
    <w:rsid w:val="00811874"/>
    <w:rsid w:val="00811CE7"/>
    <w:rsid w:val="008132BB"/>
    <w:rsid w:val="00815C03"/>
    <w:rsid w:val="0081731A"/>
    <w:rsid w:val="008177E7"/>
    <w:rsid w:val="00823CDD"/>
    <w:rsid w:val="00823F17"/>
    <w:rsid w:val="00823F5A"/>
    <w:rsid w:val="0082443D"/>
    <w:rsid w:val="0083153A"/>
    <w:rsid w:val="00831EC1"/>
    <w:rsid w:val="00836AAF"/>
    <w:rsid w:val="00837A84"/>
    <w:rsid w:val="00837AA7"/>
    <w:rsid w:val="00841433"/>
    <w:rsid w:val="0084343C"/>
    <w:rsid w:val="008440D4"/>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4C9C"/>
    <w:rsid w:val="00896FB6"/>
    <w:rsid w:val="008A1C93"/>
    <w:rsid w:val="008A500A"/>
    <w:rsid w:val="008B364B"/>
    <w:rsid w:val="008B5042"/>
    <w:rsid w:val="008B5FCB"/>
    <w:rsid w:val="008B61C2"/>
    <w:rsid w:val="008B7339"/>
    <w:rsid w:val="008B7ADF"/>
    <w:rsid w:val="008C3643"/>
    <w:rsid w:val="008C4AE5"/>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03A"/>
    <w:rsid w:val="009144AC"/>
    <w:rsid w:val="00914E39"/>
    <w:rsid w:val="0091557F"/>
    <w:rsid w:val="00915ED0"/>
    <w:rsid w:val="00916BD0"/>
    <w:rsid w:val="0092058F"/>
    <w:rsid w:val="00920E28"/>
    <w:rsid w:val="0092109F"/>
    <w:rsid w:val="009231E6"/>
    <w:rsid w:val="0092579F"/>
    <w:rsid w:val="009271EC"/>
    <w:rsid w:val="00931760"/>
    <w:rsid w:val="009331C5"/>
    <w:rsid w:val="00933389"/>
    <w:rsid w:val="009406C2"/>
    <w:rsid w:val="00941171"/>
    <w:rsid w:val="00941969"/>
    <w:rsid w:val="00942727"/>
    <w:rsid w:val="009469E5"/>
    <w:rsid w:val="0094717A"/>
    <w:rsid w:val="009479DB"/>
    <w:rsid w:val="009513E6"/>
    <w:rsid w:val="009521FE"/>
    <w:rsid w:val="00953686"/>
    <w:rsid w:val="009540C4"/>
    <w:rsid w:val="009629D4"/>
    <w:rsid w:val="00963C93"/>
    <w:rsid w:val="009640EC"/>
    <w:rsid w:val="00964A52"/>
    <w:rsid w:val="009670CB"/>
    <w:rsid w:val="009677CC"/>
    <w:rsid w:val="009711B2"/>
    <w:rsid w:val="00971623"/>
    <w:rsid w:val="009727A0"/>
    <w:rsid w:val="00972C86"/>
    <w:rsid w:val="009732B4"/>
    <w:rsid w:val="00974A81"/>
    <w:rsid w:val="00974FC9"/>
    <w:rsid w:val="0097570A"/>
    <w:rsid w:val="009828A4"/>
    <w:rsid w:val="00983D49"/>
    <w:rsid w:val="00984CD6"/>
    <w:rsid w:val="009857B1"/>
    <w:rsid w:val="00985895"/>
    <w:rsid w:val="00987A53"/>
    <w:rsid w:val="00990B57"/>
    <w:rsid w:val="00992F4E"/>
    <w:rsid w:val="00993F99"/>
    <w:rsid w:val="009A0986"/>
    <w:rsid w:val="009A10BF"/>
    <w:rsid w:val="009A45C8"/>
    <w:rsid w:val="009A59C7"/>
    <w:rsid w:val="009A60B0"/>
    <w:rsid w:val="009A7E67"/>
    <w:rsid w:val="009B1F15"/>
    <w:rsid w:val="009B30CF"/>
    <w:rsid w:val="009B3782"/>
    <w:rsid w:val="009B6741"/>
    <w:rsid w:val="009C130B"/>
    <w:rsid w:val="009C1EA5"/>
    <w:rsid w:val="009C37C0"/>
    <w:rsid w:val="009C447C"/>
    <w:rsid w:val="009C5EF4"/>
    <w:rsid w:val="009D5762"/>
    <w:rsid w:val="009D5DAA"/>
    <w:rsid w:val="009D6899"/>
    <w:rsid w:val="009D7107"/>
    <w:rsid w:val="009D79C1"/>
    <w:rsid w:val="009D7FCC"/>
    <w:rsid w:val="009E08FB"/>
    <w:rsid w:val="009E10AB"/>
    <w:rsid w:val="009E18C4"/>
    <w:rsid w:val="009E26CF"/>
    <w:rsid w:val="009E2F21"/>
    <w:rsid w:val="009E59B0"/>
    <w:rsid w:val="009F394D"/>
    <w:rsid w:val="009F4063"/>
    <w:rsid w:val="009F4DC5"/>
    <w:rsid w:val="009F5FE7"/>
    <w:rsid w:val="009F63DE"/>
    <w:rsid w:val="009F7181"/>
    <w:rsid w:val="009F7A4D"/>
    <w:rsid w:val="00A01520"/>
    <w:rsid w:val="00A01CBE"/>
    <w:rsid w:val="00A02E22"/>
    <w:rsid w:val="00A11758"/>
    <w:rsid w:val="00A131E8"/>
    <w:rsid w:val="00A13C0D"/>
    <w:rsid w:val="00A14149"/>
    <w:rsid w:val="00A142C9"/>
    <w:rsid w:val="00A14979"/>
    <w:rsid w:val="00A15312"/>
    <w:rsid w:val="00A15DA7"/>
    <w:rsid w:val="00A20D26"/>
    <w:rsid w:val="00A20F48"/>
    <w:rsid w:val="00A22010"/>
    <w:rsid w:val="00A26FC1"/>
    <w:rsid w:val="00A3398D"/>
    <w:rsid w:val="00A34603"/>
    <w:rsid w:val="00A36862"/>
    <w:rsid w:val="00A432AF"/>
    <w:rsid w:val="00A43D57"/>
    <w:rsid w:val="00A44CF2"/>
    <w:rsid w:val="00A45A87"/>
    <w:rsid w:val="00A45E59"/>
    <w:rsid w:val="00A45E80"/>
    <w:rsid w:val="00A50A8E"/>
    <w:rsid w:val="00A56BA7"/>
    <w:rsid w:val="00A577F6"/>
    <w:rsid w:val="00A57AD0"/>
    <w:rsid w:val="00A676AA"/>
    <w:rsid w:val="00A679E5"/>
    <w:rsid w:val="00A7165E"/>
    <w:rsid w:val="00A718FE"/>
    <w:rsid w:val="00A7250A"/>
    <w:rsid w:val="00A73BCC"/>
    <w:rsid w:val="00A760C8"/>
    <w:rsid w:val="00A772F6"/>
    <w:rsid w:val="00A80298"/>
    <w:rsid w:val="00A806B7"/>
    <w:rsid w:val="00A80F6A"/>
    <w:rsid w:val="00A82A65"/>
    <w:rsid w:val="00A8503E"/>
    <w:rsid w:val="00A850E0"/>
    <w:rsid w:val="00A86014"/>
    <w:rsid w:val="00A910EE"/>
    <w:rsid w:val="00A94D03"/>
    <w:rsid w:val="00A96B89"/>
    <w:rsid w:val="00A96D19"/>
    <w:rsid w:val="00AA00C6"/>
    <w:rsid w:val="00AA0F15"/>
    <w:rsid w:val="00AA579D"/>
    <w:rsid w:val="00AA764D"/>
    <w:rsid w:val="00AA7BD6"/>
    <w:rsid w:val="00AB0FD7"/>
    <w:rsid w:val="00AB4560"/>
    <w:rsid w:val="00AC0DDC"/>
    <w:rsid w:val="00AC1625"/>
    <w:rsid w:val="00AC3648"/>
    <w:rsid w:val="00AC41A8"/>
    <w:rsid w:val="00AC6B2C"/>
    <w:rsid w:val="00AC747D"/>
    <w:rsid w:val="00AD0867"/>
    <w:rsid w:val="00AD1AEC"/>
    <w:rsid w:val="00AD2AF1"/>
    <w:rsid w:val="00AD67F5"/>
    <w:rsid w:val="00AE00E6"/>
    <w:rsid w:val="00AE18C7"/>
    <w:rsid w:val="00AE5A90"/>
    <w:rsid w:val="00AE5D22"/>
    <w:rsid w:val="00AE77C3"/>
    <w:rsid w:val="00AF2549"/>
    <w:rsid w:val="00B01A00"/>
    <w:rsid w:val="00B02F00"/>
    <w:rsid w:val="00B056E7"/>
    <w:rsid w:val="00B0580E"/>
    <w:rsid w:val="00B107A7"/>
    <w:rsid w:val="00B10EBE"/>
    <w:rsid w:val="00B11BB3"/>
    <w:rsid w:val="00B12AE7"/>
    <w:rsid w:val="00B139B3"/>
    <w:rsid w:val="00B14F49"/>
    <w:rsid w:val="00B16BC2"/>
    <w:rsid w:val="00B238D0"/>
    <w:rsid w:val="00B25422"/>
    <w:rsid w:val="00B25F02"/>
    <w:rsid w:val="00B2626E"/>
    <w:rsid w:val="00B30629"/>
    <w:rsid w:val="00B31F36"/>
    <w:rsid w:val="00B32FC4"/>
    <w:rsid w:val="00B3359F"/>
    <w:rsid w:val="00B3505D"/>
    <w:rsid w:val="00B35C26"/>
    <w:rsid w:val="00B3773E"/>
    <w:rsid w:val="00B42A1E"/>
    <w:rsid w:val="00B43D1D"/>
    <w:rsid w:val="00B518AD"/>
    <w:rsid w:val="00B52CDA"/>
    <w:rsid w:val="00B531DC"/>
    <w:rsid w:val="00B54A7E"/>
    <w:rsid w:val="00B5561B"/>
    <w:rsid w:val="00B60455"/>
    <w:rsid w:val="00B60787"/>
    <w:rsid w:val="00B62A17"/>
    <w:rsid w:val="00B63615"/>
    <w:rsid w:val="00B63739"/>
    <w:rsid w:val="00B6393B"/>
    <w:rsid w:val="00B63956"/>
    <w:rsid w:val="00B63ED0"/>
    <w:rsid w:val="00B64E02"/>
    <w:rsid w:val="00B655FB"/>
    <w:rsid w:val="00B65677"/>
    <w:rsid w:val="00B67893"/>
    <w:rsid w:val="00B766F9"/>
    <w:rsid w:val="00B76EDE"/>
    <w:rsid w:val="00B80114"/>
    <w:rsid w:val="00B8112B"/>
    <w:rsid w:val="00B82076"/>
    <w:rsid w:val="00B83F6C"/>
    <w:rsid w:val="00B84589"/>
    <w:rsid w:val="00B846A6"/>
    <w:rsid w:val="00B85222"/>
    <w:rsid w:val="00B8660A"/>
    <w:rsid w:val="00B866F0"/>
    <w:rsid w:val="00B90113"/>
    <w:rsid w:val="00B91F01"/>
    <w:rsid w:val="00B92A8C"/>
    <w:rsid w:val="00B936F7"/>
    <w:rsid w:val="00B93F45"/>
    <w:rsid w:val="00BA0F97"/>
    <w:rsid w:val="00BA211B"/>
    <w:rsid w:val="00BA4129"/>
    <w:rsid w:val="00BA5FF4"/>
    <w:rsid w:val="00BB0D14"/>
    <w:rsid w:val="00BB23DC"/>
    <w:rsid w:val="00BB2F83"/>
    <w:rsid w:val="00BB4A71"/>
    <w:rsid w:val="00BC1857"/>
    <w:rsid w:val="00BC1A4E"/>
    <w:rsid w:val="00BC20FD"/>
    <w:rsid w:val="00BC27C2"/>
    <w:rsid w:val="00BC42E8"/>
    <w:rsid w:val="00BC44A4"/>
    <w:rsid w:val="00BC5B88"/>
    <w:rsid w:val="00BD1990"/>
    <w:rsid w:val="00BD7C22"/>
    <w:rsid w:val="00BE4143"/>
    <w:rsid w:val="00BE7088"/>
    <w:rsid w:val="00BE7805"/>
    <w:rsid w:val="00BF149F"/>
    <w:rsid w:val="00BF3B1A"/>
    <w:rsid w:val="00BF6C43"/>
    <w:rsid w:val="00BF761E"/>
    <w:rsid w:val="00C01E04"/>
    <w:rsid w:val="00C02113"/>
    <w:rsid w:val="00C03996"/>
    <w:rsid w:val="00C06322"/>
    <w:rsid w:val="00C06B8E"/>
    <w:rsid w:val="00C07356"/>
    <w:rsid w:val="00C114E8"/>
    <w:rsid w:val="00C11E13"/>
    <w:rsid w:val="00C11FED"/>
    <w:rsid w:val="00C12287"/>
    <w:rsid w:val="00C12633"/>
    <w:rsid w:val="00C128D5"/>
    <w:rsid w:val="00C154ED"/>
    <w:rsid w:val="00C16273"/>
    <w:rsid w:val="00C16DDF"/>
    <w:rsid w:val="00C2086A"/>
    <w:rsid w:val="00C22E43"/>
    <w:rsid w:val="00C25036"/>
    <w:rsid w:val="00C25938"/>
    <w:rsid w:val="00C25F58"/>
    <w:rsid w:val="00C27807"/>
    <w:rsid w:val="00C30B8C"/>
    <w:rsid w:val="00C30BF2"/>
    <w:rsid w:val="00C325FC"/>
    <w:rsid w:val="00C32E97"/>
    <w:rsid w:val="00C33E59"/>
    <w:rsid w:val="00C33ED2"/>
    <w:rsid w:val="00C347F0"/>
    <w:rsid w:val="00C37DF9"/>
    <w:rsid w:val="00C40799"/>
    <w:rsid w:val="00C435D1"/>
    <w:rsid w:val="00C44FCE"/>
    <w:rsid w:val="00C45363"/>
    <w:rsid w:val="00C46B5A"/>
    <w:rsid w:val="00C50833"/>
    <w:rsid w:val="00C50DFF"/>
    <w:rsid w:val="00C52B92"/>
    <w:rsid w:val="00C535F9"/>
    <w:rsid w:val="00C55B5E"/>
    <w:rsid w:val="00C56A4E"/>
    <w:rsid w:val="00C6132B"/>
    <w:rsid w:val="00C61F6A"/>
    <w:rsid w:val="00C61F6E"/>
    <w:rsid w:val="00C62918"/>
    <w:rsid w:val="00C635D6"/>
    <w:rsid w:val="00C65972"/>
    <w:rsid w:val="00C663E4"/>
    <w:rsid w:val="00C6723F"/>
    <w:rsid w:val="00C67999"/>
    <w:rsid w:val="00C67A5E"/>
    <w:rsid w:val="00C70B45"/>
    <w:rsid w:val="00C72838"/>
    <w:rsid w:val="00C73A3E"/>
    <w:rsid w:val="00C73FE7"/>
    <w:rsid w:val="00C76A20"/>
    <w:rsid w:val="00C76F51"/>
    <w:rsid w:val="00C867FF"/>
    <w:rsid w:val="00C86A05"/>
    <w:rsid w:val="00C87CE6"/>
    <w:rsid w:val="00C91B33"/>
    <w:rsid w:val="00C921C8"/>
    <w:rsid w:val="00C9267A"/>
    <w:rsid w:val="00C92EBF"/>
    <w:rsid w:val="00C93C90"/>
    <w:rsid w:val="00C944DA"/>
    <w:rsid w:val="00CA3A40"/>
    <w:rsid w:val="00CA4630"/>
    <w:rsid w:val="00CA6595"/>
    <w:rsid w:val="00CA6682"/>
    <w:rsid w:val="00CB1C33"/>
    <w:rsid w:val="00CB40C4"/>
    <w:rsid w:val="00CB460B"/>
    <w:rsid w:val="00CB621C"/>
    <w:rsid w:val="00CC21B0"/>
    <w:rsid w:val="00CC2A3C"/>
    <w:rsid w:val="00CD2D1D"/>
    <w:rsid w:val="00CD5F94"/>
    <w:rsid w:val="00CE0255"/>
    <w:rsid w:val="00CE18D8"/>
    <w:rsid w:val="00CE2AA2"/>
    <w:rsid w:val="00CE33AE"/>
    <w:rsid w:val="00CE33F5"/>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785"/>
    <w:rsid w:val="00D02826"/>
    <w:rsid w:val="00D034DB"/>
    <w:rsid w:val="00D06B60"/>
    <w:rsid w:val="00D100A5"/>
    <w:rsid w:val="00D17AB6"/>
    <w:rsid w:val="00D200C6"/>
    <w:rsid w:val="00D2010A"/>
    <w:rsid w:val="00D20C37"/>
    <w:rsid w:val="00D23CD6"/>
    <w:rsid w:val="00D25BB2"/>
    <w:rsid w:val="00D32A39"/>
    <w:rsid w:val="00D3313C"/>
    <w:rsid w:val="00D35B35"/>
    <w:rsid w:val="00D3798F"/>
    <w:rsid w:val="00D431E8"/>
    <w:rsid w:val="00D46A7B"/>
    <w:rsid w:val="00D52703"/>
    <w:rsid w:val="00D542BA"/>
    <w:rsid w:val="00D54B76"/>
    <w:rsid w:val="00D5506F"/>
    <w:rsid w:val="00D564EE"/>
    <w:rsid w:val="00D60368"/>
    <w:rsid w:val="00D60ECE"/>
    <w:rsid w:val="00D64936"/>
    <w:rsid w:val="00D64F1A"/>
    <w:rsid w:val="00D66A72"/>
    <w:rsid w:val="00D713DC"/>
    <w:rsid w:val="00D72F4D"/>
    <w:rsid w:val="00D736AC"/>
    <w:rsid w:val="00D7671D"/>
    <w:rsid w:val="00D76C99"/>
    <w:rsid w:val="00D77A08"/>
    <w:rsid w:val="00D81413"/>
    <w:rsid w:val="00D8315A"/>
    <w:rsid w:val="00D85F8F"/>
    <w:rsid w:val="00D860A8"/>
    <w:rsid w:val="00D87E57"/>
    <w:rsid w:val="00D87EFA"/>
    <w:rsid w:val="00D954FC"/>
    <w:rsid w:val="00DA1BA5"/>
    <w:rsid w:val="00DA580C"/>
    <w:rsid w:val="00DA5C13"/>
    <w:rsid w:val="00DA5CAA"/>
    <w:rsid w:val="00DA5D90"/>
    <w:rsid w:val="00DA6C29"/>
    <w:rsid w:val="00DA6E8D"/>
    <w:rsid w:val="00DA7222"/>
    <w:rsid w:val="00DA761F"/>
    <w:rsid w:val="00DB0CD1"/>
    <w:rsid w:val="00DB15EA"/>
    <w:rsid w:val="00DB2FF6"/>
    <w:rsid w:val="00DB4343"/>
    <w:rsid w:val="00DB6260"/>
    <w:rsid w:val="00DC134B"/>
    <w:rsid w:val="00DC3BF6"/>
    <w:rsid w:val="00DC6DD2"/>
    <w:rsid w:val="00DD15D1"/>
    <w:rsid w:val="00DD2575"/>
    <w:rsid w:val="00DD3185"/>
    <w:rsid w:val="00DD7E12"/>
    <w:rsid w:val="00DE0CF4"/>
    <w:rsid w:val="00DE0E63"/>
    <w:rsid w:val="00DE3DC6"/>
    <w:rsid w:val="00DE41A9"/>
    <w:rsid w:val="00DE4819"/>
    <w:rsid w:val="00DE5F06"/>
    <w:rsid w:val="00DF594E"/>
    <w:rsid w:val="00DF5F8A"/>
    <w:rsid w:val="00DF6BA3"/>
    <w:rsid w:val="00DF7B1D"/>
    <w:rsid w:val="00E00756"/>
    <w:rsid w:val="00E043B5"/>
    <w:rsid w:val="00E04622"/>
    <w:rsid w:val="00E0553E"/>
    <w:rsid w:val="00E062DB"/>
    <w:rsid w:val="00E06486"/>
    <w:rsid w:val="00E101FB"/>
    <w:rsid w:val="00E2064E"/>
    <w:rsid w:val="00E22246"/>
    <w:rsid w:val="00E2359B"/>
    <w:rsid w:val="00E24230"/>
    <w:rsid w:val="00E26A69"/>
    <w:rsid w:val="00E27EBB"/>
    <w:rsid w:val="00E27EF4"/>
    <w:rsid w:val="00E3006E"/>
    <w:rsid w:val="00E3107A"/>
    <w:rsid w:val="00E32BC9"/>
    <w:rsid w:val="00E35388"/>
    <w:rsid w:val="00E35E58"/>
    <w:rsid w:val="00E366F4"/>
    <w:rsid w:val="00E40CE6"/>
    <w:rsid w:val="00E41662"/>
    <w:rsid w:val="00E41861"/>
    <w:rsid w:val="00E421D7"/>
    <w:rsid w:val="00E43757"/>
    <w:rsid w:val="00E43E07"/>
    <w:rsid w:val="00E454FE"/>
    <w:rsid w:val="00E46464"/>
    <w:rsid w:val="00E5259D"/>
    <w:rsid w:val="00E54AB4"/>
    <w:rsid w:val="00E572F8"/>
    <w:rsid w:val="00E57AFA"/>
    <w:rsid w:val="00E57DD3"/>
    <w:rsid w:val="00E63FB0"/>
    <w:rsid w:val="00E6479A"/>
    <w:rsid w:val="00E64E04"/>
    <w:rsid w:val="00E66D45"/>
    <w:rsid w:val="00E67748"/>
    <w:rsid w:val="00E67F27"/>
    <w:rsid w:val="00E7021D"/>
    <w:rsid w:val="00E703A1"/>
    <w:rsid w:val="00E747AB"/>
    <w:rsid w:val="00E74F4F"/>
    <w:rsid w:val="00E75E18"/>
    <w:rsid w:val="00E770AD"/>
    <w:rsid w:val="00E80717"/>
    <w:rsid w:val="00E84179"/>
    <w:rsid w:val="00E85410"/>
    <w:rsid w:val="00E86F20"/>
    <w:rsid w:val="00E913F3"/>
    <w:rsid w:val="00E95BDA"/>
    <w:rsid w:val="00EA05E3"/>
    <w:rsid w:val="00EA4368"/>
    <w:rsid w:val="00EA5AD9"/>
    <w:rsid w:val="00EB0E7A"/>
    <w:rsid w:val="00EB1658"/>
    <w:rsid w:val="00EB38C5"/>
    <w:rsid w:val="00EB395C"/>
    <w:rsid w:val="00EB4A9B"/>
    <w:rsid w:val="00EB60BD"/>
    <w:rsid w:val="00EB6F95"/>
    <w:rsid w:val="00EC4E95"/>
    <w:rsid w:val="00EC582D"/>
    <w:rsid w:val="00EC6E2F"/>
    <w:rsid w:val="00EC7B03"/>
    <w:rsid w:val="00ED2066"/>
    <w:rsid w:val="00ED2DC6"/>
    <w:rsid w:val="00ED34E5"/>
    <w:rsid w:val="00ED623D"/>
    <w:rsid w:val="00ED6426"/>
    <w:rsid w:val="00ED76B8"/>
    <w:rsid w:val="00EE2099"/>
    <w:rsid w:val="00EF07FE"/>
    <w:rsid w:val="00EF0A7A"/>
    <w:rsid w:val="00EF100A"/>
    <w:rsid w:val="00EF164D"/>
    <w:rsid w:val="00EF19EA"/>
    <w:rsid w:val="00EF1F0F"/>
    <w:rsid w:val="00EF1F97"/>
    <w:rsid w:val="00EF74A8"/>
    <w:rsid w:val="00F003FB"/>
    <w:rsid w:val="00F00A7A"/>
    <w:rsid w:val="00F04F30"/>
    <w:rsid w:val="00F139D7"/>
    <w:rsid w:val="00F161F4"/>
    <w:rsid w:val="00F16CC1"/>
    <w:rsid w:val="00F224F9"/>
    <w:rsid w:val="00F2707F"/>
    <w:rsid w:val="00F32283"/>
    <w:rsid w:val="00F32B1D"/>
    <w:rsid w:val="00F32FB0"/>
    <w:rsid w:val="00F330A3"/>
    <w:rsid w:val="00F34C75"/>
    <w:rsid w:val="00F35690"/>
    <w:rsid w:val="00F4033D"/>
    <w:rsid w:val="00F4500D"/>
    <w:rsid w:val="00F45CDA"/>
    <w:rsid w:val="00F512BD"/>
    <w:rsid w:val="00F536D1"/>
    <w:rsid w:val="00F55D95"/>
    <w:rsid w:val="00F60CF8"/>
    <w:rsid w:val="00F6102B"/>
    <w:rsid w:val="00F65542"/>
    <w:rsid w:val="00F670CB"/>
    <w:rsid w:val="00F67573"/>
    <w:rsid w:val="00F717BE"/>
    <w:rsid w:val="00F76DBA"/>
    <w:rsid w:val="00F77EA7"/>
    <w:rsid w:val="00F81B51"/>
    <w:rsid w:val="00F845ED"/>
    <w:rsid w:val="00F85878"/>
    <w:rsid w:val="00F85B3B"/>
    <w:rsid w:val="00F86C5D"/>
    <w:rsid w:val="00F87147"/>
    <w:rsid w:val="00F874A7"/>
    <w:rsid w:val="00F906FA"/>
    <w:rsid w:val="00F90735"/>
    <w:rsid w:val="00F908C7"/>
    <w:rsid w:val="00F92E09"/>
    <w:rsid w:val="00F95494"/>
    <w:rsid w:val="00FA0CC0"/>
    <w:rsid w:val="00FA3248"/>
    <w:rsid w:val="00FA35CA"/>
    <w:rsid w:val="00FB2E39"/>
    <w:rsid w:val="00FB4013"/>
    <w:rsid w:val="00FB43FD"/>
    <w:rsid w:val="00FC2319"/>
    <w:rsid w:val="00FC4DCD"/>
    <w:rsid w:val="00FC530C"/>
    <w:rsid w:val="00FD1E83"/>
    <w:rsid w:val="00FD3110"/>
    <w:rsid w:val="00FD4814"/>
    <w:rsid w:val="00FE02B0"/>
    <w:rsid w:val="00FE0D9F"/>
    <w:rsid w:val="00FE1350"/>
    <w:rsid w:val="00FE20C9"/>
    <w:rsid w:val="00FE435A"/>
    <w:rsid w:val="00FE46A9"/>
    <w:rsid w:val="00FE53B2"/>
    <w:rsid w:val="00FE59C3"/>
    <w:rsid w:val="00FE697B"/>
    <w:rsid w:val="00FE73A4"/>
    <w:rsid w:val="00FF073E"/>
    <w:rsid w:val="00FF202F"/>
    <w:rsid w:val="00FF413A"/>
    <w:rsid w:val="00FF4434"/>
    <w:rsid w:val="0A841DB2"/>
    <w:rsid w:val="10666EAE"/>
    <w:rsid w:val="16BF55F7"/>
    <w:rsid w:val="1F9C9F9E"/>
    <w:rsid w:val="2B072AED"/>
    <w:rsid w:val="2BFB704C"/>
    <w:rsid w:val="2C2F78A3"/>
    <w:rsid w:val="2EC83CFF"/>
    <w:rsid w:val="319646F3"/>
    <w:rsid w:val="32331333"/>
    <w:rsid w:val="353D4121"/>
    <w:rsid w:val="37EFBB03"/>
    <w:rsid w:val="3BAF6936"/>
    <w:rsid w:val="3D637C35"/>
    <w:rsid w:val="4AEF01BB"/>
    <w:rsid w:val="5FF1A997"/>
    <w:rsid w:val="5FFF5719"/>
    <w:rsid w:val="63C02B07"/>
    <w:rsid w:val="646B7F93"/>
    <w:rsid w:val="6ABEAD59"/>
    <w:rsid w:val="75D67D85"/>
    <w:rsid w:val="77B76D4E"/>
    <w:rsid w:val="7B6F2545"/>
    <w:rsid w:val="7BAF350D"/>
    <w:rsid w:val="7CBF5D43"/>
    <w:rsid w:val="8FEB5697"/>
    <w:rsid w:val="A3D4AE9A"/>
    <w:rsid w:val="A77F1C6A"/>
    <w:rsid w:val="B5BF8820"/>
    <w:rsid w:val="BF56FE8C"/>
    <w:rsid w:val="BFFFAC87"/>
    <w:rsid w:val="CDD6F552"/>
    <w:rsid w:val="CE7B310F"/>
    <w:rsid w:val="DAFF5ABD"/>
    <w:rsid w:val="DDDFBC85"/>
    <w:rsid w:val="DEF7FB5C"/>
    <w:rsid w:val="DF5C86C8"/>
    <w:rsid w:val="DFFFAD1D"/>
    <w:rsid w:val="EBFCAE59"/>
    <w:rsid w:val="ECEB8A85"/>
    <w:rsid w:val="EFE75D81"/>
    <w:rsid w:val="EFFB9B5B"/>
    <w:rsid w:val="FB6B97A0"/>
    <w:rsid w:val="FBF5C9C2"/>
    <w:rsid w:val="FDDBC0F6"/>
    <w:rsid w:val="FDF59213"/>
    <w:rsid w:val="FEBBFCEF"/>
    <w:rsid w:val="FEE75FEC"/>
    <w:rsid w:val="FFAB5FD1"/>
    <w:rsid w:val="FFBF9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customStyle="1" w:styleId="8">
    <w:name w:val="页脚 字符"/>
    <w:link w:val="3"/>
    <w:qFormat/>
    <w:uiPriority w:val="99"/>
    <w:rPr>
      <w:rFonts w:eastAsia="宋体"/>
      <w:kern w:val="2"/>
      <w:sz w:val="18"/>
      <w:szCs w:val="18"/>
      <w:lang w:val="en-US" w:eastAsia="zh-CN" w:bidi="ar-SA"/>
    </w:rPr>
  </w:style>
  <w:style w:type="paragraph" w:styleId="9">
    <w:name w:val="List Paragraph"/>
    <w:basedOn w:val="1"/>
    <w:qFormat/>
    <w:uiPriority w:val="99"/>
    <w:pPr>
      <w:ind w:firstLine="420" w:firstLineChars="200"/>
    </w:pPr>
  </w:style>
  <w:style w:type="paragraph" w:customStyle="1" w:styleId="10">
    <w:name w:val="正文-决算公开"/>
    <w:basedOn w:val="1"/>
    <w:qFormat/>
    <w:uiPriority w:val="0"/>
    <w:pPr>
      <w:spacing w:line="560" w:lineRule="exact"/>
      <w:ind w:firstLine="640" w:firstLineChars="200"/>
    </w:pPr>
    <w:rPr>
      <w:rFonts w:ascii="仿宋_GB2312" w:hAnsi="仿宋_GB2312" w:eastAsia="仿宋_GB2312"/>
      <w:sz w:val="32"/>
      <w:szCs w:val="2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327E46-3984-4E74-86C8-9D11ED02871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1689</Words>
  <Characters>9631</Characters>
  <Lines>80</Lines>
  <Paragraphs>22</Paragraphs>
  <TotalTime>16</TotalTime>
  <ScaleCrop>false</ScaleCrop>
  <LinksUpToDate>false</LinksUpToDate>
  <CharactersWithSpaces>11298</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2023-08-29T02:35:00Z</dcterms:created>
  <dc:creator>莫先孔</dc:creator>
  <cp:lastModifiedBy>周洁洁</cp:lastModifiedBy>
  <cp:lastPrinted>2012-08-17T00:16:00Z</cp:lastPrinted>
  <dcterms:modified xsi:type="dcterms:W3CDTF">2023-08-30T02:16:39Z</dcterms:modified>
  <dc:title>附件：（部门决算公开格式）</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8E0DCE04D06B4243B2401B167A89638B</vt:lpwstr>
  </property>
</Properties>
</file>