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7C82" w:rsidRDefault="00D27C82">
      <w:pPr>
        <w:adjustRightInd w:val="0"/>
        <w:snapToGrid w:val="0"/>
        <w:ind w:firstLine="640"/>
        <w:rPr>
          <w:rFonts w:ascii="仿宋_GB2312" w:eastAsia="仿宋_GB2312" w:hAnsi="仿宋"/>
          <w:sz w:val="32"/>
          <w:szCs w:val="32"/>
        </w:rPr>
      </w:pPr>
    </w:p>
    <w:p w:rsidR="00D27C82" w:rsidRDefault="00D27C82">
      <w:pPr>
        <w:tabs>
          <w:tab w:val="left" w:pos="2030"/>
        </w:tabs>
        <w:adjustRightInd w:val="0"/>
        <w:snapToGrid w:val="0"/>
        <w:ind w:firstLine="1440"/>
        <w:rPr>
          <w:rFonts w:ascii="黑体" w:eastAsia="黑体" w:hAnsi="黑体"/>
          <w:sz w:val="72"/>
          <w:szCs w:val="72"/>
        </w:rPr>
      </w:pPr>
    </w:p>
    <w:p w:rsidR="00D27C82" w:rsidRDefault="00D27C82">
      <w:pPr>
        <w:adjustRightInd w:val="0"/>
        <w:snapToGrid w:val="0"/>
        <w:ind w:firstLine="1440"/>
        <w:rPr>
          <w:rFonts w:ascii="黑体" w:eastAsia="黑体" w:hAnsi="黑体"/>
          <w:sz w:val="72"/>
          <w:szCs w:val="72"/>
        </w:rPr>
      </w:pPr>
    </w:p>
    <w:p w:rsidR="00D27C82" w:rsidRDefault="00000000">
      <w:pPr>
        <w:jc w:val="center"/>
        <w:rPr>
          <w:rFonts w:ascii="方正小标宋简体" w:eastAsia="方正小标宋简体" w:cs="ArialUnicodeMS"/>
          <w:kern w:val="0"/>
          <w:sz w:val="52"/>
          <w:szCs w:val="52"/>
        </w:rPr>
      </w:pPr>
      <w:r>
        <w:rPr>
          <w:rFonts w:ascii="方正小标宋简体" w:eastAsia="方正小标宋简体" w:cs="ArialUnicodeMS" w:hint="eastAsia"/>
          <w:kern w:val="0"/>
          <w:sz w:val="52"/>
          <w:szCs w:val="52"/>
        </w:rPr>
        <w:t>广西壮族自治区信息安全测评中心</w:t>
      </w:r>
    </w:p>
    <w:p w:rsidR="00D27C82" w:rsidRDefault="00000000">
      <w:pPr>
        <w:jc w:val="center"/>
        <w:rPr>
          <w:rFonts w:ascii="方正小标宋简体" w:eastAsia="方正小标宋简体" w:cs="ArialUnicodeMS"/>
          <w:kern w:val="0"/>
          <w:sz w:val="52"/>
          <w:szCs w:val="52"/>
        </w:rPr>
      </w:pPr>
      <w:r>
        <w:rPr>
          <w:rFonts w:ascii="方正小标宋简体" w:eastAsia="方正小标宋简体" w:cs="ArialUnicodeMS" w:hint="eastAsia"/>
          <w:kern w:val="0"/>
          <w:sz w:val="52"/>
          <w:szCs w:val="52"/>
        </w:rPr>
        <w:t>2021年度部门决算</w:t>
      </w:r>
    </w:p>
    <w:p w:rsidR="00D27C82" w:rsidRDefault="00D27C82">
      <w:pPr>
        <w:adjustRightInd w:val="0"/>
        <w:snapToGrid w:val="0"/>
        <w:spacing w:line="600" w:lineRule="exact"/>
        <w:ind w:rightChars="-104" w:right="-218" w:firstLine="1044"/>
        <w:jc w:val="center"/>
        <w:rPr>
          <w:rFonts w:ascii="仿宋" w:eastAsia="仿宋" w:hAnsi="仿宋"/>
          <w:b/>
          <w:sz w:val="52"/>
          <w:szCs w:val="52"/>
        </w:rPr>
      </w:pPr>
    </w:p>
    <w:p w:rsidR="00D27C82" w:rsidRDefault="00D27C82">
      <w:pPr>
        <w:adjustRightInd w:val="0"/>
        <w:snapToGrid w:val="0"/>
        <w:spacing w:line="600" w:lineRule="exact"/>
        <w:ind w:rightChars="-104" w:right="-218" w:firstLine="1044"/>
        <w:jc w:val="center"/>
        <w:rPr>
          <w:rFonts w:ascii="仿宋" w:eastAsia="仿宋" w:hAnsi="仿宋"/>
          <w:b/>
          <w:sz w:val="52"/>
          <w:szCs w:val="52"/>
        </w:rPr>
      </w:pPr>
    </w:p>
    <w:p w:rsidR="00D27C82" w:rsidRDefault="00D27C82">
      <w:pPr>
        <w:adjustRightInd w:val="0"/>
        <w:snapToGrid w:val="0"/>
        <w:spacing w:line="600" w:lineRule="exact"/>
        <w:ind w:rightChars="-104" w:right="-218" w:firstLine="1044"/>
        <w:jc w:val="center"/>
        <w:rPr>
          <w:rFonts w:ascii="仿宋" w:eastAsia="仿宋" w:hAnsi="仿宋"/>
          <w:b/>
          <w:sz w:val="52"/>
          <w:szCs w:val="52"/>
        </w:rPr>
      </w:pPr>
    </w:p>
    <w:p w:rsidR="00D27C82" w:rsidRDefault="00D27C82">
      <w:pPr>
        <w:adjustRightInd w:val="0"/>
        <w:snapToGrid w:val="0"/>
        <w:spacing w:line="600" w:lineRule="exact"/>
        <w:ind w:rightChars="-104" w:right="-218" w:firstLine="1044"/>
        <w:jc w:val="center"/>
        <w:rPr>
          <w:rFonts w:ascii="仿宋" w:eastAsia="仿宋" w:hAnsi="仿宋"/>
          <w:b/>
          <w:sz w:val="52"/>
          <w:szCs w:val="52"/>
        </w:rPr>
      </w:pPr>
    </w:p>
    <w:p w:rsidR="00D27C82" w:rsidRDefault="00D27C82">
      <w:pPr>
        <w:adjustRightInd w:val="0"/>
        <w:snapToGrid w:val="0"/>
        <w:spacing w:line="600" w:lineRule="exact"/>
        <w:ind w:rightChars="-104" w:right="-218" w:firstLine="1044"/>
        <w:jc w:val="center"/>
        <w:rPr>
          <w:rFonts w:ascii="仿宋" w:eastAsia="仿宋" w:hAnsi="仿宋"/>
          <w:b/>
          <w:sz w:val="52"/>
          <w:szCs w:val="52"/>
        </w:rPr>
      </w:pPr>
    </w:p>
    <w:p w:rsidR="00D27C82" w:rsidRDefault="00D27C82">
      <w:pPr>
        <w:adjustRightInd w:val="0"/>
        <w:snapToGrid w:val="0"/>
        <w:spacing w:line="600" w:lineRule="exact"/>
        <w:ind w:rightChars="-104" w:right="-218" w:firstLine="1044"/>
        <w:jc w:val="center"/>
        <w:rPr>
          <w:rFonts w:ascii="仿宋" w:eastAsia="仿宋" w:hAnsi="仿宋"/>
          <w:b/>
          <w:sz w:val="52"/>
          <w:szCs w:val="52"/>
        </w:rPr>
      </w:pPr>
    </w:p>
    <w:p w:rsidR="00D27C82" w:rsidRDefault="00D27C82">
      <w:pPr>
        <w:adjustRightInd w:val="0"/>
        <w:snapToGrid w:val="0"/>
        <w:spacing w:line="600" w:lineRule="exact"/>
        <w:ind w:rightChars="-104" w:right="-218" w:firstLine="1044"/>
        <w:jc w:val="center"/>
        <w:rPr>
          <w:rFonts w:ascii="仿宋" w:eastAsia="仿宋" w:hAnsi="仿宋"/>
          <w:b/>
          <w:sz w:val="52"/>
          <w:szCs w:val="52"/>
        </w:rPr>
      </w:pPr>
    </w:p>
    <w:p w:rsidR="00D27C82" w:rsidRDefault="00D27C82">
      <w:pPr>
        <w:adjustRightInd w:val="0"/>
        <w:snapToGrid w:val="0"/>
        <w:spacing w:line="600" w:lineRule="exact"/>
        <w:ind w:rightChars="-104" w:right="-218" w:firstLine="1044"/>
        <w:jc w:val="center"/>
        <w:rPr>
          <w:rFonts w:ascii="仿宋" w:eastAsia="仿宋" w:hAnsi="仿宋"/>
          <w:b/>
          <w:sz w:val="52"/>
          <w:szCs w:val="52"/>
        </w:rPr>
      </w:pPr>
    </w:p>
    <w:p w:rsidR="00D27C82" w:rsidRDefault="00D27C82">
      <w:pPr>
        <w:adjustRightInd w:val="0"/>
        <w:snapToGrid w:val="0"/>
        <w:spacing w:line="600" w:lineRule="exact"/>
        <w:ind w:rightChars="-104" w:right="-218" w:firstLine="1044"/>
        <w:jc w:val="center"/>
        <w:rPr>
          <w:rFonts w:ascii="仿宋" w:eastAsia="仿宋" w:hAnsi="仿宋"/>
          <w:b/>
          <w:sz w:val="52"/>
          <w:szCs w:val="52"/>
        </w:rPr>
      </w:pPr>
    </w:p>
    <w:p w:rsidR="00D27C82" w:rsidRDefault="00D27C82">
      <w:pPr>
        <w:adjustRightInd w:val="0"/>
        <w:snapToGrid w:val="0"/>
        <w:spacing w:line="600" w:lineRule="exact"/>
        <w:ind w:rightChars="-104" w:right="-218" w:firstLine="1044"/>
        <w:jc w:val="center"/>
        <w:rPr>
          <w:rFonts w:ascii="仿宋" w:eastAsia="仿宋" w:hAnsi="仿宋"/>
          <w:b/>
          <w:sz w:val="52"/>
          <w:szCs w:val="52"/>
        </w:rPr>
      </w:pPr>
    </w:p>
    <w:p w:rsidR="00D27C82" w:rsidRDefault="00D27C82">
      <w:pPr>
        <w:adjustRightInd w:val="0"/>
        <w:snapToGrid w:val="0"/>
        <w:spacing w:line="600" w:lineRule="exact"/>
        <w:ind w:rightChars="-104" w:right="-218" w:firstLine="1040"/>
        <w:jc w:val="center"/>
        <w:rPr>
          <w:rFonts w:ascii="仿宋" w:eastAsia="仿宋" w:hAnsi="仿宋"/>
          <w:sz w:val="52"/>
          <w:szCs w:val="52"/>
        </w:rPr>
      </w:pPr>
    </w:p>
    <w:p w:rsidR="00D27C82" w:rsidRDefault="00D27C82">
      <w:pPr>
        <w:adjustRightInd w:val="0"/>
        <w:snapToGrid w:val="0"/>
        <w:spacing w:line="600" w:lineRule="exact"/>
        <w:ind w:rightChars="-104" w:right="-218" w:firstLine="1040"/>
        <w:jc w:val="center"/>
        <w:rPr>
          <w:rFonts w:ascii="仿宋" w:eastAsia="仿宋" w:hAnsi="仿宋"/>
          <w:sz w:val="52"/>
          <w:szCs w:val="52"/>
        </w:rPr>
        <w:sectPr w:rsidR="00D27C82">
          <w:pgSz w:w="11906" w:h="16838"/>
          <w:pgMar w:top="1440" w:right="1797" w:bottom="1440" w:left="1797" w:header="851" w:footer="992" w:gutter="0"/>
          <w:pgNumType w:fmt="numberInDash"/>
          <w:cols w:space="720"/>
        </w:sectPr>
      </w:pPr>
    </w:p>
    <w:p w:rsidR="00D27C82" w:rsidRDefault="00000000">
      <w:pPr>
        <w:keepNext/>
        <w:keepLines/>
        <w:widowControl/>
        <w:spacing w:after="260"/>
        <w:jc w:val="center"/>
        <w:rPr>
          <w:rFonts w:ascii="方正小标宋简体" w:eastAsia="方正小标宋简体" w:hAnsi="Cambria"/>
          <w:b/>
          <w:bCs/>
          <w:kern w:val="0"/>
          <w:sz w:val="44"/>
          <w:szCs w:val="44"/>
        </w:rPr>
      </w:pPr>
      <w:r>
        <w:rPr>
          <w:rFonts w:ascii="方正小标宋简体" w:eastAsia="方正小标宋简体" w:hAnsi="Cambria" w:hint="eastAsia"/>
          <w:b/>
          <w:bCs/>
          <w:kern w:val="0"/>
          <w:sz w:val="44"/>
          <w:szCs w:val="44"/>
          <w:lang w:val="zh-CN"/>
        </w:rPr>
        <w:lastRenderedPageBreak/>
        <w:t xml:space="preserve">目 </w:t>
      </w:r>
      <w:r>
        <w:rPr>
          <w:rFonts w:ascii="方正小标宋简体" w:eastAsia="方正小标宋简体" w:hAnsi="Cambria"/>
          <w:b/>
          <w:bCs/>
          <w:kern w:val="0"/>
          <w:sz w:val="44"/>
          <w:szCs w:val="44"/>
          <w:lang w:val="zh-CN"/>
        </w:rPr>
        <w:t xml:space="preserve">   </w:t>
      </w:r>
      <w:r>
        <w:rPr>
          <w:rFonts w:ascii="方正小标宋简体" w:eastAsia="方正小标宋简体" w:hAnsi="Cambria" w:hint="eastAsia"/>
          <w:b/>
          <w:bCs/>
          <w:kern w:val="0"/>
          <w:sz w:val="44"/>
          <w:szCs w:val="44"/>
          <w:lang w:val="zh-CN"/>
        </w:rPr>
        <w:t>录</w:t>
      </w:r>
    </w:p>
    <w:p w:rsidR="00D27C82" w:rsidRDefault="00000000">
      <w:pPr>
        <w:pStyle w:val="TOC1"/>
        <w:tabs>
          <w:tab w:val="right" w:leader="dot" w:pos="9016"/>
        </w:tabs>
        <w:rPr>
          <w:rFonts w:ascii="黑体" w:eastAsia="黑体" w:hAnsi="黑体" w:cstheme="minorBidi"/>
          <w:sz w:val="30"/>
          <w:szCs w:val="30"/>
        </w:rPr>
      </w:pPr>
      <w:r>
        <w:rPr>
          <w:rFonts w:ascii="黑体" w:eastAsia="黑体" w:hAnsi="黑体" w:hint="eastAsia"/>
          <w:kern w:val="0"/>
          <w:sz w:val="30"/>
          <w:szCs w:val="30"/>
        </w:rPr>
        <w:fldChar w:fldCharType="begin"/>
      </w:r>
      <w:r>
        <w:rPr>
          <w:rFonts w:ascii="黑体" w:eastAsia="黑体" w:hAnsi="黑体" w:hint="eastAsia"/>
          <w:kern w:val="0"/>
          <w:sz w:val="30"/>
          <w:szCs w:val="30"/>
        </w:rPr>
        <w:instrText xml:space="preserve"> TOC \o "1-3" \h \z \u </w:instrText>
      </w:r>
      <w:r>
        <w:rPr>
          <w:rFonts w:ascii="黑体" w:eastAsia="黑体" w:hAnsi="黑体" w:hint="eastAsia"/>
          <w:kern w:val="0"/>
          <w:sz w:val="30"/>
          <w:szCs w:val="30"/>
        </w:rPr>
        <w:fldChar w:fldCharType="separate"/>
      </w:r>
      <w:hyperlink w:anchor="_Toc118207994" w:history="1">
        <w:r>
          <w:rPr>
            <w:rStyle w:val="aa"/>
            <w:rFonts w:ascii="黑体" w:eastAsia="黑体" w:hAnsi="黑体"/>
            <w:sz w:val="30"/>
            <w:szCs w:val="30"/>
          </w:rPr>
          <w:t>第一部分：广西壮族自治区信息安全测评中心概况</w:t>
        </w:r>
        <w:r>
          <w:rPr>
            <w:rFonts w:ascii="黑体" w:eastAsia="黑体" w:hAnsi="黑体"/>
            <w:sz w:val="30"/>
            <w:szCs w:val="30"/>
          </w:rPr>
          <w:tab/>
        </w:r>
        <w:r>
          <w:rPr>
            <w:rFonts w:ascii="黑体" w:eastAsia="黑体" w:hAnsi="黑体"/>
            <w:sz w:val="30"/>
            <w:szCs w:val="30"/>
          </w:rPr>
          <w:fldChar w:fldCharType="begin"/>
        </w:r>
        <w:r>
          <w:rPr>
            <w:rFonts w:ascii="黑体" w:eastAsia="黑体" w:hAnsi="黑体"/>
            <w:sz w:val="30"/>
            <w:szCs w:val="30"/>
          </w:rPr>
          <w:instrText xml:space="preserve"> PAGEREF _Toc118207994 \h </w:instrText>
        </w:r>
        <w:r>
          <w:rPr>
            <w:rFonts w:ascii="黑体" w:eastAsia="黑体" w:hAnsi="黑体"/>
            <w:sz w:val="30"/>
            <w:szCs w:val="30"/>
          </w:rPr>
        </w:r>
        <w:r>
          <w:rPr>
            <w:rFonts w:ascii="黑体" w:eastAsia="黑体" w:hAnsi="黑体"/>
            <w:sz w:val="30"/>
            <w:szCs w:val="30"/>
          </w:rPr>
          <w:fldChar w:fldCharType="separate"/>
        </w:r>
        <w:r>
          <w:rPr>
            <w:rFonts w:ascii="黑体" w:eastAsia="黑体" w:hAnsi="黑体"/>
            <w:sz w:val="30"/>
            <w:szCs w:val="30"/>
          </w:rPr>
          <w:t>- 1 -</w:t>
        </w:r>
        <w:r>
          <w:rPr>
            <w:rFonts w:ascii="黑体" w:eastAsia="黑体" w:hAnsi="黑体"/>
            <w:sz w:val="30"/>
            <w:szCs w:val="30"/>
          </w:rPr>
          <w:fldChar w:fldCharType="end"/>
        </w:r>
      </w:hyperlink>
    </w:p>
    <w:p w:rsidR="00D27C82" w:rsidRDefault="00000000">
      <w:pPr>
        <w:pStyle w:val="TOC2"/>
        <w:tabs>
          <w:tab w:val="right" w:leader="dot" w:pos="9016"/>
        </w:tabs>
        <w:rPr>
          <w:rFonts w:ascii="黑体" w:eastAsia="黑体" w:hAnsi="黑体" w:cstheme="minorBidi"/>
          <w:sz w:val="30"/>
          <w:szCs w:val="30"/>
        </w:rPr>
      </w:pPr>
      <w:hyperlink w:anchor="_Toc118207995" w:history="1">
        <w:r>
          <w:rPr>
            <w:rStyle w:val="aa"/>
            <w:rFonts w:ascii="黑体" w:eastAsia="黑体" w:hAnsi="黑体"/>
            <w:sz w:val="30"/>
            <w:szCs w:val="30"/>
          </w:rPr>
          <w:t>一、主要职能</w:t>
        </w:r>
        <w:r>
          <w:rPr>
            <w:rFonts w:ascii="黑体" w:eastAsia="黑体" w:hAnsi="黑体"/>
            <w:sz w:val="30"/>
            <w:szCs w:val="30"/>
          </w:rPr>
          <w:tab/>
        </w:r>
        <w:r>
          <w:rPr>
            <w:rFonts w:ascii="黑体" w:eastAsia="黑体" w:hAnsi="黑体"/>
            <w:sz w:val="30"/>
            <w:szCs w:val="30"/>
          </w:rPr>
          <w:fldChar w:fldCharType="begin"/>
        </w:r>
        <w:r>
          <w:rPr>
            <w:rFonts w:ascii="黑体" w:eastAsia="黑体" w:hAnsi="黑体"/>
            <w:sz w:val="30"/>
            <w:szCs w:val="30"/>
          </w:rPr>
          <w:instrText xml:space="preserve"> PAGEREF _Toc118207995 \h </w:instrText>
        </w:r>
        <w:r>
          <w:rPr>
            <w:rFonts w:ascii="黑体" w:eastAsia="黑体" w:hAnsi="黑体"/>
            <w:sz w:val="30"/>
            <w:szCs w:val="30"/>
          </w:rPr>
        </w:r>
        <w:r>
          <w:rPr>
            <w:rFonts w:ascii="黑体" w:eastAsia="黑体" w:hAnsi="黑体"/>
            <w:sz w:val="30"/>
            <w:szCs w:val="30"/>
          </w:rPr>
          <w:fldChar w:fldCharType="separate"/>
        </w:r>
        <w:r>
          <w:rPr>
            <w:rFonts w:ascii="黑体" w:eastAsia="黑体" w:hAnsi="黑体"/>
            <w:sz w:val="30"/>
            <w:szCs w:val="30"/>
          </w:rPr>
          <w:t>- 1 -</w:t>
        </w:r>
        <w:r>
          <w:rPr>
            <w:rFonts w:ascii="黑体" w:eastAsia="黑体" w:hAnsi="黑体"/>
            <w:sz w:val="30"/>
            <w:szCs w:val="30"/>
          </w:rPr>
          <w:fldChar w:fldCharType="end"/>
        </w:r>
      </w:hyperlink>
    </w:p>
    <w:p w:rsidR="00D27C82" w:rsidRDefault="00000000">
      <w:pPr>
        <w:pStyle w:val="TOC2"/>
        <w:tabs>
          <w:tab w:val="right" w:leader="dot" w:pos="9016"/>
        </w:tabs>
        <w:rPr>
          <w:rFonts w:ascii="黑体" w:eastAsia="黑体" w:hAnsi="黑体" w:cstheme="minorBidi"/>
          <w:sz w:val="30"/>
          <w:szCs w:val="30"/>
        </w:rPr>
      </w:pPr>
      <w:hyperlink w:anchor="_Toc118207996" w:history="1">
        <w:r>
          <w:rPr>
            <w:rStyle w:val="aa"/>
            <w:rFonts w:ascii="黑体" w:eastAsia="黑体" w:hAnsi="黑体"/>
            <w:sz w:val="30"/>
            <w:szCs w:val="30"/>
          </w:rPr>
          <w:t>二、决算单位构成</w:t>
        </w:r>
        <w:r>
          <w:rPr>
            <w:rFonts w:ascii="黑体" w:eastAsia="黑体" w:hAnsi="黑体"/>
            <w:sz w:val="30"/>
            <w:szCs w:val="30"/>
          </w:rPr>
          <w:tab/>
        </w:r>
        <w:r>
          <w:rPr>
            <w:rFonts w:ascii="黑体" w:eastAsia="黑体" w:hAnsi="黑体"/>
            <w:sz w:val="30"/>
            <w:szCs w:val="30"/>
          </w:rPr>
          <w:fldChar w:fldCharType="begin"/>
        </w:r>
        <w:r>
          <w:rPr>
            <w:rFonts w:ascii="黑体" w:eastAsia="黑体" w:hAnsi="黑体"/>
            <w:sz w:val="30"/>
            <w:szCs w:val="30"/>
          </w:rPr>
          <w:instrText xml:space="preserve"> PAGEREF _Toc118207996 \h </w:instrText>
        </w:r>
        <w:r>
          <w:rPr>
            <w:rFonts w:ascii="黑体" w:eastAsia="黑体" w:hAnsi="黑体"/>
            <w:sz w:val="30"/>
            <w:szCs w:val="30"/>
          </w:rPr>
        </w:r>
        <w:r>
          <w:rPr>
            <w:rFonts w:ascii="黑体" w:eastAsia="黑体" w:hAnsi="黑体"/>
            <w:sz w:val="30"/>
            <w:szCs w:val="30"/>
          </w:rPr>
          <w:fldChar w:fldCharType="separate"/>
        </w:r>
        <w:r>
          <w:rPr>
            <w:rFonts w:ascii="黑体" w:eastAsia="黑体" w:hAnsi="黑体"/>
            <w:sz w:val="30"/>
            <w:szCs w:val="30"/>
          </w:rPr>
          <w:t>- 1 -</w:t>
        </w:r>
        <w:r>
          <w:rPr>
            <w:rFonts w:ascii="黑体" w:eastAsia="黑体" w:hAnsi="黑体"/>
            <w:sz w:val="30"/>
            <w:szCs w:val="30"/>
          </w:rPr>
          <w:fldChar w:fldCharType="end"/>
        </w:r>
      </w:hyperlink>
    </w:p>
    <w:p w:rsidR="00D27C82" w:rsidRDefault="00000000">
      <w:pPr>
        <w:pStyle w:val="TOC1"/>
        <w:tabs>
          <w:tab w:val="right" w:leader="dot" w:pos="9016"/>
        </w:tabs>
        <w:rPr>
          <w:rFonts w:ascii="黑体" w:eastAsia="黑体" w:hAnsi="黑体" w:cstheme="minorBidi"/>
          <w:sz w:val="30"/>
          <w:szCs w:val="30"/>
        </w:rPr>
      </w:pPr>
      <w:hyperlink w:anchor="_Toc118207997" w:history="1">
        <w:r>
          <w:rPr>
            <w:rStyle w:val="aa"/>
            <w:rFonts w:ascii="黑体" w:eastAsia="黑体" w:hAnsi="黑体"/>
            <w:sz w:val="30"/>
            <w:szCs w:val="30"/>
          </w:rPr>
          <w:t>第二部分：广西壮族自治区信息安全测评中心2021年度部门决算报表</w:t>
        </w:r>
        <w:r>
          <w:rPr>
            <w:rFonts w:ascii="黑体" w:eastAsia="黑体" w:hAnsi="黑体"/>
            <w:sz w:val="30"/>
            <w:szCs w:val="30"/>
          </w:rPr>
          <w:tab/>
        </w:r>
        <w:r>
          <w:rPr>
            <w:rFonts w:ascii="黑体" w:eastAsia="黑体" w:hAnsi="黑体"/>
            <w:sz w:val="30"/>
            <w:szCs w:val="30"/>
          </w:rPr>
          <w:fldChar w:fldCharType="begin"/>
        </w:r>
        <w:r>
          <w:rPr>
            <w:rFonts w:ascii="黑体" w:eastAsia="黑体" w:hAnsi="黑体"/>
            <w:sz w:val="30"/>
            <w:szCs w:val="30"/>
          </w:rPr>
          <w:instrText xml:space="preserve"> PAGEREF _Toc118207997 \h </w:instrText>
        </w:r>
        <w:r>
          <w:rPr>
            <w:rFonts w:ascii="黑体" w:eastAsia="黑体" w:hAnsi="黑体"/>
            <w:sz w:val="30"/>
            <w:szCs w:val="30"/>
          </w:rPr>
        </w:r>
        <w:r>
          <w:rPr>
            <w:rFonts w:ascii="黑体" w:eastAsia="黑体" w:hAnsi="黑体"/>
            <w:sz w:val="30"/>
            <w:szCs w:val="30"/>
          </w:rPr>
          <w:fldChar w:fldCharType="separate"/>
        </w:r>
        <w:r>
          <w:rPr>
            <w:rFonts w:ascii="黑体" w:eastAsia="黑体" w:hAnsi="黑体"/>
            <w:sz w:val="30"/>
            <w:szCs w:val="30"/>
          </w:rPr>
          <w:t>- 2 -</w:t>
        </w:r>
        <w:r>
          <w:rPr>
            <w:rFonts w:ascii="黑体" w:eastAsia="黑体" w:hAnsi="黑体"/>
            <w:sz w:val="30"/>
            <w:szCs w:val="30"/>
          </w:rPr>
          <w:fldChar w:fldCharType="end"/>
        </w:r>
      </w:hyperlink>
    </w:p>
    <w:p w:rsidR="00D27C82" w:rsidRDefault="00000000">
      <w:pPr>
        <w:pStyle w:val="TOC2"/>
        <w:tabs>
          <w:tab w:val="right" w:leader="dot" w:pos="9016"/>
        </w:tabs>
        <w:rPr>
          <w:rFonts w:ascii="黑体" w:eastAsia="黑体" w:hAnsi="黑体" w:cstheme="minorBidi"/>
          <w:sz w:val="30"/>
          <w:szCs w:val="30"/>
        </w:rPr>
      </w:pPr>
      <w:hyperlink w:anchor="_Toc118207998" w:history="1">
        <w:r>
          <w:rPr>
            <w:rStyle w:val="aa"/>
            <w:rFonts w:ascii="黑体" w:eastAsia="黑体" w:hAnsi="黑体"/>
            <w:sz w:val="30"/>
            <w:szCs w:val="30"/>
          </w:rPr>
          <w:t>表一：收入支出决算总表</w:t>
        </w:r>
        <w:r>
          <w:rPr>
            <w:rFonts w:ascii="黑体" w:eastAsia="黑体" w:hAnsi="黑体"/>
            <w:sz w:val="30"/>
            <w:szCs w:val="30"/>
          </w:rPr>
          <w:tab/>
        </w:r>
        <w:r>
          <w:rPr>
            <w:rFonts w:ascii="黑体" w:eastAsia="黑体" w:hAnsi="黑体"/>
            <w:sz w:val="30"/>
            <w:szCs w:val="30"/>
          </w:rPr>
          <w:fldChar w:fldCharType="begin"/>
        </w:r>
        <w:r>
          <w:rPr>
            <w:rFonts w:ascii="黑体" w:eastAsia="黑体" w:hAnsi="黑体"/>
            <w:sz w:val="30"/>
            <w:szCs w:val="30"/>
          </w:rPr>
          <w:instrText xml:space="preserve"> PAGEREF _Toc118207998 \h </w:instrText>
        </w:r>
        <w:r>
          <w:rPr>
            <w:rFonts w:ascii="黑体" w:eastAsia="黑体" w:hAnsi="黑体"/>
            <w:sz w:val="30"/>
            <w:szCs w:val="30"/>
          </w:rPr>
        </w:r>
        <w:r>
          <w:rPr>
            <w:rFonts w:ascii="黑体" w:eastAsia="黑体" w:hAnsi="黑体"/>
            <w:sz w:val="30"/>
            <w:szCs w:val="30"/>
          </w:rPr>
          <w:fldChar w:fldCharType="separate"/>
        </w:r>
        <w:r>
          <w:rPr>
            <w:rFonts w:ascii="黑体" w:eastAsia="黑体" w:hAnsi="黑体"/>
            <w:sz w:val="30"/>
            <w:szCs w:val="30"/>
          </w:rPr>
          <w:t>- 2 -</w:t>
        </w:r>
        <w:r>
          <w:rPr>
            <w:rFonts w:ascii="黑体" w:eastAsia="黑体" w:hAnsi="黑体"/>
            <w:sz w:val="30"/>
            <w:szCs w:val="30"/>
          </w:rPr>
          <w:fldChar w:fldCharType="end"/>
        </w:r>
      </w:hyperlink>
    </w:p>
    <w:p w:rsidR="00D27C82" w:rsidRDefault="00000000">
      <w:pPr>
        <w:pStyle w:val="TOC2"/>
        <w:tabs>
          <w:tab w:val="right" w:leader="dot" w:pos="9016"/>
        </w:tabs>
        <w:rPr>
          <w:rFonts w:ascii="黑体" w:eastAsia="黑体" w:hAnsi="黑体" w:cstheme="minorBidi"/>
          <w:sz w:val="30"/>
          <w:szCs w:val="30"/>
        </w:rPr>
      </w:pPr>
      <w:hyperlink w:anchor="_Toc118207999" w:history="1">
        <w:r>
          <w:rPr>
            <w:rStyle w:val="aa"/>
            <w:rFonts w:ascii="黑体" w:eastAsia="黑体" w:hAnsi="黑体"/>
            <w:sz w:val="30"/>
            <w:szCs w:val="30"/>
          </w:rPr>
          <w:t>表二：收入决算表</w:t>
        </w:r>
        <w:r>
          <w:rPr>
            <w:rFonts w:ascii="黑体" w:eastAsia="黑体" w:hAnsi="黑体"/>
            <w:sz w:val="30"/>
            <w:szCs w:val="30"/>
          </w:rPr>
          <w:tab/>
        </w:r>
        <w:r>
          <w:rPr>
            <w:rFonts w:ascii="黑体" w:eastAsia="黑体" w:hAnsi="黑体"/>
            <w:sz w:val="30"/>
            <w:szCs w:val="30"/>
          </w:rPr>
          <w:fldChar w:fldCharType="begin"/>
        </w:r>
        <w:r>
          <w:rPr>
            <w:rFonts w:ascii="黑体" w:eastAsia="黑体" w:hAnsi="黑体"/>
            <w:sz w:val="30"/>
            <w:szCs w:val="30"/>
          </w:rPr>
          <w:instrText xml:space="preserve"> PAGEREF _Toc118207999 \h </w:instrText>
        </w:r>
        <w:r>
          <w:rPr>
            <w:rFonts w:ascii="黑体" w:eastAsia="黑体" w:hAnsi="黑体"/>
            <w:sz w:val="30"/>
            <w:szCs w:val="30"/>
          </w:rPr>
        </w:r>
        <w:r>
          <w:rPr>
            <w:rFonts w:ascii="黑体" w:eastAsia="黑体" w:hAnsi="黑体"/>
            <w:sz w:val="30"/>
            <w:szCs w:val="30"/>
          </w:rPr>
          <w:fldChar w:fldCharType="separate"/>
        </w:r>
        <w:r>
          <w:rPr>
            <w:rFonts w:ascii="黑体" w:eastAsia="黑体" w:hAnsi="黑体"/>
            <w:sz w:val="30"/>
            <w:szCs w:val="30"/>
          </w:rPr>
          <w:t>- 2 -</w:t>
        </w:r>
        <w:r>
          <w:rPr>
            <w:rFonts w:ascii="黑体" w:eastAsia="黑体" w:hAnsi="黑体"/>
            <w:sz w:val="30"/>
            <w:szCs w:val="30"/>
          </w:rPr>
          <w:fldChar w:fldCharType="end"/>
        </w:r>
      </w:hyperlink>
    </w:p>
    <w:p w:rsidR="00D27C82" w:rsidRDefault="00000000">
      <w:pPr>
        <w:pStyle w:val="TOC2"/>
        <w:tabs>
          <w:tab w:val="right" w:leader="dot" w:pos="9016"/>
        </w:tabs>
        <w:rPr>
          <w:rFonts w:ascii="黑体" w:eastAsia="黑体" w:hAnsi="黑体" w:cstheme="minorBidi"/>
          <w:sz w:val="30"/>
          <w:szCs w:val="30"/>
        </w:rPr>
      </w:pPr>
      <w:hyperlink w:anchor="_Toc118208000" w:history="1">
        <w:r>
          <w:rPr>
            <w:rStyle w:val="aa"/>
            <w:rFonts w:ascii="黑体" w:eastAsia="黑体" w:hAnsi="黑体"/>
            <w:sz w:val="30"/>
            <w:szCs w:val="30"/>
          </w:rPr>
          <w:t>表三：支出决算表</w:t>
        </w:r>
        <w:r>
          <w:rPr>
            <w:rFonts w:ascii="黑体" w:eastAsia="黑体" w:hAnsi="黑体"/>
            <w:sz w:val="30"/>
            <w:szCs w:val="30"/>
          </w:rPr>
          <w:tab/>
        </w:r>
        <w:r>
          <w:rPr>
            <w:rFonts w:ascii="黑体" w:eastAsia="黑体" w:hAnsi="黑体"/>
            <w:sz w:val="30"/>
            <w:szCs w:val="30"/>
          </w:rPr>
          <w:fldChar w:fldCharType="begin"/>
        </w:r>
        <w:r>
          <w:rPr>
            <w:rFonts w:ascii="黑体" w:eastAsia="黑体" w:hAnsi="黑体"/>
            <w:sz w:val="30"/>
            <w:szCs w:val="30"/>
          </w:rPr>
          <w:instrText xml:space="preserve"> PAGEREF _Toc118208000 \h </w:instrText>
        </w:r>
        <w:r>
          <w:rPr>
            <w:rFonts w:ascii="黑体" w:eastAsia="黑体" w:hAnsi="黑体"/>
            <w:sz w:val="30"/>
            <w:szCs w:val="30"/>
          </w:rPr>
        </w:r>
        <w:r>
          <w:rPr>
            <w:rFonts w:ascii="黑体" w:eastAsia="黑体" w:hAnsi="黑体"/>
            <w:sz w:val="30"/>
            <w:szCs w:val="30"/>
          </w:rPr>
          <w:fldChar w:fldCharType="separate"/>
        </w:r>
        <w:r>
          <w:rPr>
            <w:rFonts w:ascii="黑体" w:eastAsia="黑体" w:hAnsi="黑体"/>
            <w:sz w:val="30"/>
            <w:szCs w:val="30"/>
          </w:rPr>
          <w:t>- 2 -</w:t>
        </w:r>
        <w:r>
          <w:rPr>
            <w:rFonts w:ascii="黑体" w:eastAsia="黑体" w:hAnsi="黑体"/>
            <w:sz w:val="30"/>
            <w:szCs w:val="30"/>
          </w:rPr>
          <w:fldChar w:fldCharType="end"/>
        </w:r>
      </w:hyperlink>
    </w:p>
    <w:p w:rsidR="00D27C82" w:rsidRDefault="00000000">
      <w:pPr>
        <w:pStyle w:val="TOC2"/>
        <w:tabs>
          <w:tab w:val="right" w:leader="dot" w:pos="9016"/>
        </w:tabs>
        <w:rPr>
          <w:rFonts w:ascii="黑体" w:eastAsia="黑体" w:hAnsi="黑体" w:cstheme="minorBidi"/>
          <w:sz w:val="30"/>
          <w:szCs w:val="30"/>
        </w:rPr>
      </w:pPr>
      <w:hyperlink w:anchor="_Toc118208001" w:history="1">
        <w:r>
          <w:rPr>
            <w:rStyle w:val="aa"/>
            <w:rFonts w:ascii="黑体" w:eastAsia="黑体" w:hAnsi="黑体"/>
            <w:sz w:val="30"/>
            <w:szCs w:val="30"/>
          </w:rPr>
          <w:t>表四：财政拨款收入支出决算总表</w:t>
        </w:r>
        <w:r>
          <w:rPr>
            <w:rFonts w:ascii="黑体" w:eastAsia="黑体" w:hAnsi="黑体"/>
            <w:sz w:val="30"/>
            <w:szCs w:val="30"/>
          </w:rPr>
          <w:tab/>
        </w:r>
        <w:r>
          <w:rPr>
            <w:rFonts w:ascii="黑体" w:eastAsia="黑体" w:hAnsi="黑体"/>
            <w:sz w:val="30"/>
            <w:szCs w:val="30"/>
          </w:rPr>
          <w:fldChar w:fldCharType="begin"/>
        </w:r>
        <w:r>
          <w:rPr>
            <w:rFonts w:ascii="黑体" w:eastAsia="黑体" w:hAnsi="黑体"/>
            <w:sz w:val="30"/>
            <w:szCs w:val="30"/>
          </w:rPr>
          <w:instrText xml:space="preserve"> PAGEREF _Toc118208001 \h </w:instrText>
        </w:r>
        <w:r>
          <w:rPr>
            <w:rFonts w:ascii="黑体" w:eastAsia="黑体" w:hAnsi="黑体"/>
            <w:sz w:val="30"/>
            <w:szCs w:val="30"/>
          </w:rPr>
        </w:r>
        <w:r>
          <w:rPr>
            <w:rFonts w:ascii="黑体" w:eastAsia="黑体" w:hAnsi="黑体"/>
            <w:sz w:val="30"/>
            <w:szCs w:val="30"/>
          </w:rPr>
          <w:fldChar w:fldCharType="separate"/>
        </w:r>
        <w:r>
          <w:rPr>
            <w:rFonts w:ascii="黑体" w:eastAsia="黑体" w:hAnsi="黑体"/>
            <w:sz w:val="30"/>
            <w:szCs w:val="30"/>
          </w:rPr>
          <w:t>- 2 -</w:t>
        </w:r>
        <w:r>
          <w:rPr>
            <w:rFonts w:ascii="黑体" w:eastAsia="黑体" w:hAnsi="黑体"/>
            <w:sz w:val="30"/>
            <w:szCs w:val="30"/>
          </w:rPr>
          <w:fldChar w:fldCharType="end"/>
        </w:r>
      </w:hyperlink>
    </w:p>
    <w:p w:rsidR="00D27C82" w:rsidRDefault="00000000">
      <w:pPr>
        <w:pStyle w:val="TOC2"/>
        <w:tabs>
          <w:tab w:val="right" w:leader="dot" w:pos="9016"/>
        </w:tabs>
        <w:rPr>
          <w:rFonts w:ascii="黑体" w:eastAsia="黑体" w:hAnsi="黑体" w:cstheme="minorBidi"/>
          <w:sz w:val="30"/>
          <w:szCs w:val="30"/>
        </w:rPr>
      </w:pPr>
      <w:hyperlink w:anchor="_Toc118208002" w:history="1">
        <w:r>
          <w:rPr>
            <w:rStyle w:val="aa"/>
            <w:rFonts w:ascii="黑体" w:eastAsia="黑体" w:hAnsi="黑体"/>
            <w:sz w:val="30"/>
            <w:szCs w:val="30"/>
          </w:rPr>
          <w:t>表五：一般公共预算财政拨款支出决算表</w:t>
        </w:r>
        <w:r>
          <w:rPr>
            <w:rFonts w:ascii="黑体" w:eastAsia="黑体" w:hAnsi="黑体"/>
            <w:sz w:val="30"/>
            <w:szCs w:val="30"/>
          </w:rPr>
          <w:tab/>
        </w:r>
        <w:r>
          <w:rPr>
            <w:rFonts w:ascii="黑体" w:eastAsia="黑体" w:hAnsi="黑体"/>
            <w:sz w:val="30"/>
            <w:szCs w:val="30"/>
          </w:rPr>
          <w:fldChar w:fldCharType="begin"/>
        </w:r>
        <w:r>
          <w:rPr>
            <w:rFonts w:ascii="黑体" w:eastAsia="黑体" w:hAnsi="黑体"/>
            <w:sz w:val="30"/>
            <w:szCs w:val="30"/>
          </w:rPr>
          <w:instrText xml:space="preserve"> PAGEREF _Toc118208002 \h </w:instrText>
        </w:r>
        <w:r>
          <w:rPr>
            <w:rFonts w:ascii="黑体" w:eastAsia="黑体" w:hAnsi="黑体"/>
            <w:sz w:val="30"/>
            <w:szCs w:val="30"/>
          </w:rPr>
        </w:r>
        <w:r>
          <w:rPr>
            <w:rFonts w:ascii="黑体" w:eastAsia="黑体" w:hAnsi="黑体"/>
            <w:sz w:val="30"/>
            <w:szCs w:val="30"/>
          </w:rPr>
          <w:fldChar w:fldCharType="separate"/>
        </w:r>
        <w:r>
          <w:rPr>
            <w:rFonts w:ascii="黑体" w:eastAsia="黑体" w:hAnsi="黑体"/>
            <w:sz w:val="30"/>
            <w:szCs w:val="30"/>
          </w:rPr>
          <w:t>- 2 -</w:t>
        </w:r>
        <w:r>
          <w:rPr>
            <w:rFonts w:ascii="黑体" w:eastAsia="黑体" w:hAnsi="黑体"/>
            <w:sz w:val="30"/>
            <w:szCs w:val="30"/>
          </w:rPr>
          <w:fldChar w:fldCharType="end"/>
        </w:r>
      </w:hyperlink>
    </w:p>
    <w:p w:rsidR="00D27C82" w:rsidRDefault="00000000">
      <w:pPr>
        <w:pStyle w:val="TOC2"/>
        <w:tabs>
          <w:tab w:val="right" w:leader="dot" w:pos="9016"/>
        </w:tabs>
        <w:rPr>
          <w:rFonts w:ascii="黑体" w:eastAsia="黑体" w:hAnsi="黑体" w:cstheme="minorBidi"/>
          <w:sz w:val="30"/>
          <w:szCs w:val="30"/>
        </w:rPr>
      </w:pPr>
      <w:hyperlink w:anchor="_Toc118208003" w:history="1">
        <w:r>
          <w:rPr>
            <w:rStyle w:val="aa"/>
            <w:rFonts w:ascii="黑体" w:eastAsia="黑体" w:hAnsi="黑体"/>
            <w:sz w:val="30"/>
            <w:szCs w:val="30"/>
          </w:rPr>
          <w:t>表六：一般公共预算财政拨款基本支出决算明细表</w:t>
        </w:r>
        <w:r>
          <w:rPr>
            <w:rFonts w:ascii="黑体" w:eastAsia="黑体" w:hAnsi="黑体"/>
            <w:sz w:val="30"/>
            <w:szCs w:val="30"/>
          </w:rPr>
          <w:tab/>
        </w:r>
        <w:r>
          <w:rPr>
            <w:rFonts w:ascii="黑体" w:eastAsia="黑体" w:hAnsi="黑体"/>
            <w:sz w:val="30"/>
            <w:szCs w:val="30"/>
          </w:rPr>
          <w:fldChar w:fldCharType="begin"/>
        </w:r>
        <w:r>
          <w:rPr>
            <w:rFonts w:ascii="黑体" w:eastAsia="黑体" w:hAnsi="黑体"/>
            <w:sz w:val="30"/>
            <w:szCs w:val="30"/>
          </w:rPr>
          <w:instrText xml:space="preserve"> PAGEREF _Toc118208003 \h </w:instrText>
        </w:r>
        <w:r>
          <w:rPr>
            <w:rFonts w:ascii="黑体" w:eastAsia="黑体" w:hAnsi="黑体"/>
            <w:sz w:val="30"/>
            <w:szCs w:val="30"/>
          </w:rPr>
        </w:r>
        <w:r>
          <w:rPr>
            <w:rFonts w:ascii="黑体" w:eastAsia="黑体" w:hAnsi="黑体"/>
            <w:sz w:val="30"/>
            <w:szCs w:val="30"/>
          </w:rPr>
          <w:fldChar w:fldCharType="separate"/>
        </w:r>
        <w:r>
          <w:rPr>
            <w:rFonts w:ascii="黑体" w:eastAsia="黑体" w:hAnsi="黑体"/>
            <w:sz w:val="30"/>
            <w:szCs w:val="30"/>
          </w:rPr>
          <w:t>- 2 -</w:t>
        </w:r>
        <w:r>
          <w:rPr>
            <w:rFonts w:ascii="黑体" w:eastAsia="黑体" w:hAnsi="黑体"/>
            <w:sz w:val="30"/>
            <w:szCs w:val="30"/>
          </w:rPr>
          <w:fldChar w:fldCharType="end"/>
        </w:r>
      </w:hyperlink>
    </w:p>
    <w:p w:rsidR="00D27C82" w:rsidRDefault="00000000">
      <w:pPr>
        <w:pStyle w:val="TOC2"/>
        <w:tabs>
          <w:tab w:val="right" w:leader="dot" w:pos="9016"/>
        </w:tabs>
        <w:rPr>
          <w:rFonts w:ascii="黑体" w:eastAsia="黑体" w:hAnsi="黑体" w:cstheme="minorBidi"/>
          <w:sz w:val="30"/>
          <w:szCs w:val="30"/>
        </w:rPr>
      </w:pPr>
      <w:hyperlink w:anchor="_Toc118208004" w:history="1">
        <w:r>
          <w:rPr>
            <w:rStyle w:val="aa"/>
            <w:rFonts w:ascii="黑体" w:eastAsia="黑体" w:hAnsi="黑体"/>
            <w:sz w:val="30"/>
            <w:szCs w:val="30"/>
          </w:rPr>
          <w:t>表七：一般公共预算财政拨款安排的“三公”经费支出决算表</w:t>
        </w:r>
        <w:r>
          <w:rPr>
            <w:rFonts w:ascii="黑体" w:eastAsia="黑体" w:hAnsi="黑体"/>
            <w:sz w:val="30"/>
            <w:szCs w:val="30"/>
          </w:rPr>
          <w:tab/>
        </w:r>
        <w:r>
          <w:rPr>
            <w:rFonts w:ascii="黑体" w:eastAsia="黑体" w:hAnsi="黑体"/>
            <w:sz w:val="30"/>
            <w:szCs w:val="30"/>
          </w:rPr>
          <w:fldChar w:fldCharType="begin"/>
        </w:r>
        <w:r>
          <w:rPr>
            <w:rFonts w:ascii="黑体" w:eastAsia="黑体" w:hAnsi="黑体"/>
            <w:sz w:val="30"/>
            <w:szCs w:val="30"/>
          </w:rPr>
          <w:instrText xml:space="preserve"> PAGEREF _Toc118208004 \h </w:instrText>
        </w:r>
        <w:r>
          <w:rPr>
            <w:rFonts w:ascii="黑体" w:eastAsia="黑体" w:hAnsi="黑体"/>
            <w:sz w:val="30"/>
            <w:szCs w:val="30"/>
          </w:rPr>
        </w:r>
        <w:r>
          <w:rPr>
            <w:rFonts w:ascii="黑体" w:eastAsia="黑体" w:hAnsi="黑体"/>
            <w:sz w:val="30"/>
            <w:szCs w:val="30"/>
          </w:rPr>
          <w:fldChar w:fldCharType="separate"/>
        </w:r>
        <w:r>
          <w:rPr>
            <w:rFonts w:ascii="黑体" w:eastAsia="黑体" w:hAnsi="黑体"/>
            <w:sz w:val="30"/>
            <w:szCs w:val="30"/>
          </w:rPr>
          <w:t>- 2 -</w:t>
        </w:r>
        <w:r>
          <w:rPr>
            <w:rFonts w:ascii="黑体" w:eastAsia="黑体" w:hAnsi="黑体"/>
            <w:sz w:val="30"/>
            <w:szCs w:val="30"/>
          </w:rPr>
          <w:fldChar w:fldCharType="end"/>
        </w:r>
      </w:hyperlink>
    </w:p>
    <w:p w:rsidR="00D27C82" w:rsidRDefault="00000000">
      <w:pPr>
        <w:pStyle w:val="TOC2"/>
        <w:tabs>
          <w:tab w:val="right" w:leader="dot" w:pos="9016"/>
        </w:tabs>
        <w:rPr>
          <w:rFonts w:ascii="黑体" w:eastAsia="黑体" w:hAnsi="黑体" w:cstheme="minorBidi"/>
          <w:sz w:val="30"/>
          <w:szCs w:val="30"/>
        </w:rPr>
      </w:pPr>
      <w:hyperlink w:anchor="_Toc118208005" w:history="1">
        <w:r>
          <w:rPr>
            <w:rStyle w:val="aa"/>
            <w:rFonts w:ascii="黑体" w:eastAsia="黑体" w:hAnsi="黑体"/>
            <w:sz w:val="30"/>
            <w:szCs w:val="30"/>
          </w:rPr>
          <w:t>表八：政府性基金预算财政拨款收入支出决算表</w:t>
        </w:r>
        <w:r>
          <w:rPr>
            <w:rFonts w:ascii="黑体" w:eastAsia="黑体" w:hAnsi="黑体"/>
            <w:sz w:val="30"/>
            <w:szCs w:val="30"/>
          </w:rPr>
          <w:tab/>
        </w:r>
        <w:r>
          <w:rPr>
            <w:rFonts w:ascii="黑体" w:eastAsia="黑体" w:hAnsi="黑体"/>
            <w:sz w:val="30"/>
            <w:szCs w:val="30"/>
          </w:rPr>
          <w:fldChar w:fldCharType="begin"/>
        </w:r>
        <w:r>
          <w:rPr>
            <w:rFonts w:ascii="黑体" w:eastAsia="黑体" w:hAnsi="黑体"/>
            <w:sz w:val="30"/>
            <w:szCs w:val="30"/>
          </w:rPr>
          <w:instrText xml:space="preserve"> PAGEREF _Toc118208005 \h </w:instrText>
        </w:r>
        <w:r>
          <w:rPr>
            <w:rFonts w:ascii="黑体" w:eastAsia="黑体" w:hAnsi="黑体"/>
            <w:sz w:val="30"/>
            <w:szCs w:val="30"/>
          </w:rPr>
        </w:r>
        <w:r>
          <w:rPr>
            <w:rFonts w:ascii="黑体" w:eastAsia="黑体" w:hAnsi="黑体"/>
            <w:sz w:val="30"/>
            <w:szCs w:val="30"/>
          </w:rPr>
          <w:fldChar w:fldCharType="separate"/>
        </w:r>
        <w:r>
          <w:rPr>
            <w:rFonts w:ascii="黑体" w:eastAsia="黑体" w:hAnsi="黑体"/>
            <w:sz w:val="30"/>
            <w:szCs w:val="30"/>
          </w:rPr>
          <w:t>- 2 -</w:t>
        </w:r>
        <w:r>
          <w:rPr>
            <w:rFonts w:ascii="黑体" w:eastAsia="黑体" w:hAnsi="黑体"/>
            <w:sz w:val="30"/>
            <w:szCs w:val="30"/>
          </w:rPr>
          <w:fldChar w:fldCharType="end"/>
        </w:r>
      </w:hyperlink>
    </w:p>
    <w:p w:rsidR="00D27C82" w:rsidRDefault="00000000">
      <w:pPr>
        <w:pStyle w:val="TOC2"/>
        <w:tabs>
          <w:tab w:val="right" w:leader="dot" w:pos="9016"/>
        </w:tabs>
        <w:rPr>
          <w:rFonts w:ascii="黑体" w:eastAsia="黑体" w:hAnsi="黑体" w:cstheme="minorBidi"/>
          <w:sz w:val="30"/>
          <w:szCs w:val="30"/>
        </w:rPr>
      </w:pPr>
      <w:hyperlink w:anchor="_Toc118208006" w:history="1">
        <w:r>
          <w:rPr>
            <w:rStyle w:val="aa"/>
            <w:rFonts w:ascii="黑体" w:eastAsia="黑体" w:hAnsi="黑体"/>
            <w:sz w:val="30"/>
            <w:szCs w:val="30"/>
          </w:rPr>
          <w:t>表九：国有资本经营预算财政拨款支出决算表</w:t>
        </w:r>
        <w:r>
          <w:rPr>
            <w:rFonts w:ascii="黑体" w:eastAsia="黑体" w:hAnsi="黑体"/>
            <w:sz w:val="30"/>
            <w:szCs w:val="30"/>
          </w:rPr>
          <w:tab/>
        </w:r>
        <w:r>
          <w:rPr>
            <w:rFonts w:ascii="黑体" w:eastAsia="黑体" w:hAnsi="黑体"/>
            <w:sz w:val="30"/>
            <w:szCs w:val="30"/>
          </w:rPr>
          <w:fldChar w:fldCharType="begin"/>
        </w:r>
        <w:r>
          <w:rPr>
            <w:rFonts w:ascii="黑体" w:eastAsia="黑体" w:hAnsi="黑体"/>
            <w:sz w:val="30"/>
            <w:szCs w:val="30"/>
          </w:rPr>
          <w:instrText xml:space="preserve"> PAGEREF _Toc118208006 \h </w:instrText>
        </w:r>
        <w:r>
          <w:rPr>
            <w:rFonts w:ascii="黑体" w:eastAsia="黑体" w:hAnsi="黑体"/>
            <w:sz w:val="30"/>
            <w:szCs w:val="30"/>
          </w:rPr>
        </w:r>
        <w:r>
          <w:rPr>
            <w:rFonts w:ascii="黑体" w:eastAsia="黑体" w:hAnsi="黑体"/>
            <w:sz w:val="30"/>
            <w:szCs w:val="30"/>
          </w:rPr>
          <w:fldChar w:fldCharType="separate"/>
        </w:r>
        <w:r>
          <w:rPr>
            <w:rFonts w:ascii="黑体" w:eastAsia="黑体" w:hAnsi="黑体"/>
            <w:sz w:val="30"/>
            <w:szCs w:val="30"/>
          </w:rPr>
          <w:t>- 2 -</w:t>
        </w:r>
        <w:r>
          <w:rPr>
            <w:rFonts w:ascii="黑体" w:eastAsia="黑体" w:hAnsi="黑体"/>
            <w:sz w:val="30"/>
            <w:szCs w:val="30"/>
          </w:rPr>
          <w:fldChar w:fldCharType="end"/>
        </w:r>
      </w:hyperlink>
    </w:p>
    <w:p w:rsidR="00D27C82" w:rsidRDefault="00000000">
      <w:pPr>
        <w:pStyle w:val="TOC1"/>
        <w:tabs>
          <w:tab w:val="right" w:leader="dot" w:pos="9016"/>
        </w:tabs>
        <w:rPr>
          <w:rFonts w:ascii="黑体" w:eastAsia="黑体" w:hAnsi="黑体" w:cstheme="minorBidi"/>
          <w:sz w:val="30"/>
          <w:szCs w:val="30"/>
        </w:rPr>
      </w:pPr>
      <w:hyperlink w:anchor="_Toc118208007" w:history="1">
        <w:r>
          <w:rPr>
            <w:rStyle w:val="aa"/>
            <w:rFonts w:ascii="黑体" w:eastAsia="黑体" w:hAnsi="黑体"/>
            <w:sz w:val="30"/>
            <w:szCs w:val="30"/>
          </w:rPr>
          <w:t>第三部分：广西壮族自治区信息安全测评中心2021年部门决算情况说明</w:t>
        </w:r>
        <w:r>
          <w:rPr>
            <w:rFonts w:ascii="黑体" w:eastAsia="黑体" w:hAnsi="黑体"/>
            <w:sz w:val="30"/>
            <w:szCs w:val="30"/>
          </w:rPr>
          <w:tab/>
        </w:r>
        <w:r>
          <w:rPr>
            <w:rFonts w:ascii="黑体" w:eastAsia="黑体" w:hAnsi="黑体"/>
            <w:sz w:val="30"/>
            <w:szCs w:val="30"/>
          </w:rPr>
          <w:fldChar w:fldCharType="begin"/>
        </w:r>
        <w:r>
          <w:rPr>
            <w:rFonts w:ascii="黑体" w:eastAsia="黑体" w:hAnsi="黑体"/>
            <w:sz w:val="30"/>
            <w:szCs w:val="30"/>
          </w:rPr>
          <w:instrText xml:space="preserve"> PAGEREF _Toc118208007 \h </w:instrText>
        </w:r>
        <w:r>
          <w:rPr>
            <w:rFonts w:ascii="黑体" w:eastAsia="黑体" w:hAnsi="黑体"/>
            <w:sz w:val="30"/>
            <w:szCs w:val="30"/>
          </w:rPr>
        </w:r>
        <w:r>
          <w:rPr>
            <w:rFonts w:ascii="黑体" w:eastAsia="黑体" w:hAnsi="黑体"/>
            <w:sz w:val="30"/>
            <w:szCs w:val="30"/>
          </w:rPr>
          <w:fldChar w:fldCharType="separate"/>
        </w:r>
        <w:r>
          <w:rPr>
            <w:rFonts w:ascii="黑体" w:eastAsia="黑体" w:hAnsi="黑体"/>
            <w:sz w:val="30"/>
            <w:szCs w:val="30"/>
          </w:rPr>
          <w:t>- 3 -</w:t>
        </w:r>
        <w:r>
          <w:rPr>
            <w:rFonts w:ascii="黑体" w:eastAsia="黑体" w:hAnsi="黑体"/>
            <w:sz w:val="30"/>
            <w:szCs w:val="30"/>
          </w:rPr>
          <w:fldChar w:fldCharType="end"/>
        </w:r>
      </w:hyperlink>
    </w:p>
    <w:p w:rsidR="00D27C82" w:rsidRDefault="00000000">
      <w:pPr>
        <w:pStyle w:val="TOC2"/>
        <w:tabs>
          <w:tab w:val="right" w:leader="dot" w:pos="9016"/>
        </w:tabs>
        <w:rPr>
          <w:rFonts w:ascii="黑体" w:eastAsia="黑体" w:hAnsi="黑体" w:cstheme="minorBidi"/>
          <w:sz w:val="30"/>
          <w:szCs w:val="30"/>
        </w:rPr>
      </w:pPr>
      <w:hyperlink w:anchor="_Toc118208008" w:history="1">
        <w:r>
          <w:rPr>
            <w:rStyle w:val="aa"/>
            <w:rFonts w:ascii="黑体" w:eastAsia="黑体" w:hAnsi="黑体"/>
            <w:sz w:val="30"/>
            <w:szCs w:val="30"/>
          </w:rPr>
          <w:t>一、2021年度收入支出决算总体情况</w:t>
        </w:r>
        <w:r>
          <w:rPr>
            <w:rFonts w:ascii="黑体" w:eastAsia="黑体" w:hAnsi="黑体"/>
            <w:sz w:val="30"/>
            <w:szCs w:val="30"/>
          </w:rPr>
          <w:tab/>
        </w:r>
        <w:r>
          <w:rPr>
            <w:rFonts w:ascii="黑体" w:eastAsia="黑体" w:hAnsi="黑体"/>
            <w:sz w:val="30"/>
            <w:szCs w:val="30"/>
          </w:rPr>
          <w:fldChar w:fldCharType="begin"/>
        </w:r>
        <w:r>
          <w:rPr>
            <w:rFonts w:ascii="黑体" w:eastAsia="黑体" w:hAnsi="黑体"/>
            <w:sz w:val="30"/>
            <w:szCs w:val="30"/>
          </w:rPr>
          <w:instrText xml:space="preserve"> PAGEREF _Toc118208008 \h </w:instrText>
        </w:r>
        <w:r>
          <w:rPr>
            <w:rFonts w:ascii="黑体" w:eastAsia="黑体" w:hAnsi="黑体"/>
            <w:sz w:val="30"/>
            <w:szCs w:val="30"/>
          </w:rPr>
        </w:r>
        <w:r>
          <w:rPr>
            <w:rFonts w:ascii="黑体" w:eastAsia="黑体" w:hAnsi="黑体"/>
            <w:sz w:val="30"/>
            <w:szCs w:val="30"/>
          </w:rPr>
          <w:fldChar w:fldCharType="separate"/>
        </w:r>
        <w:r>
          <w:rPr>
            <w:rFonts w:ascii="黑体" w:eastAsia="黑体" w:hAnsi="黑体"/>
            <w:sz w:val="30"/>
            <w:szCs w:val="30"/>
          </w:rPr>
          <w:t>- 3 -</w:t>
        </w:r>
        <w:r>
          <w:rPr>
            <w:rFonts w:ascii="黑体" w:eastAsia="黑体" w:hAnsi="黑体"/>
            <w:sz w:val="30"/>
            <w:szCs w:val="30"/>
          </w:rPr>
          <w:fldChar w:fldCharType="end"/>
        </w:r>
      </w:hyperlink>
    </w:p>
    <w:p w:rsidR="00D27C82" w:rsidRDefault="00000000">
      <w:pPr>
        <w:pStyle w:val="TOC2"/>
        <w:tabs>
          <w:tab w:val="right" w:leader="dot" w:pos="9016"/>
        </w:tabs>
        <w:rPr>
          <w:rFonts w:ascii="黑体" w:eastAsia="黑体" w:hAnsi="黑体" w:cstheme="minorBidi"/>
          <w:sz w:val="30"/>
          <w:szCs w:val="30"/>
        </w:rPr>
      </w:pPr>
      <w:hyperlink w:anchor="_Toc118208009" w:history="1">
        <w:r>
          <w:rPr>
            <w:rStyle w:val="aa"/>
            <w:rFonts w:ascii="黑体" w:eastAsia="黑体" w:hAnsi="黑体"/>
            <w:sz w:val="30"/>
            <w:szCs w:val="30"/>
          </w:rPr>
          <w:t>二、2021 年度一般公共预算财政拨款支出决算情况</w:t>
        </w:r>
        <w:r>
          <w:rPr>
            <w:rFonts w:ascii="黑体" w:eastAsia="黑体" w:hAnsi="黑体"/>
            <w:sz w:val="30"/>
            <w:szCs w:val="30"/>
          </w:rPr>
          <w:tab/>
        </w:r>
        <w:r>
          <w:rPr>
            <w:rFonts w:ascii="黑体" w:eastAsia="黑体" w:hAnsi="黑体"/>
            <w:sz w:val="30"/>
            <w:szCs w:val="30"/>
          </w:rPr>
          <w:fldChar w:fldCharType="begin"/>
        </w:r>
        <w:r>
          <w:rPr>
            <w:rFonts w:ascii="黑体" w:eastAsia="黑体" w:hAnsi="黑体"/>
            <w:sz w:val="30"/>
            <w:szCs w:val="30"/>
          </w:rPr>
          <w:instrText xml:space="preserve"> PAGEREF _Toc118208009 \h </w:instrText>
        </w:r>
        <w:r>
          <w:rPr>
            <w:rFonts w:ascii="黑体" w:eastAsia="黑体" w:hAnsi="黑体"/>
            <w:sz w:val="30"/>
            <w:szCs w:val="30"/>
          </w:rPr>
        </w:r>
        <w:r>
          <w:rPr>
            <w:rFonts w:ascii="黑体" w:eastAsia="黑体" w:hAnsi="黑体"/>
            <w:sz w:val="30"/>
            <w:szCs w:val="30"/>
          </w:rPr>
          <w:fldChar w:fldCharType="separate"/>
        </w:r>
        <w:r>
          <w:rPr>
            <w:rFonts w:ascii="黑体" w:eastAsia="黑体" w:hAnsi="黑体"/>
            <w:sz w:val="30"/>
            <w:szCs w:val="30"/>
          </w:rPr>
          <w:t>- 5 -</w:t>
        </w:r>
        <w:r>
          <w:rPr>
            <w:rFonts w:ascii="黑体" w:eastAsia="黑体" w:hAnsi="黑体"/>
            <w:sz w:val="30"/>
            <w:szCs w:val="30"/>
          </w:rPr>
          <w:fldChar w:fldCharType="end"/>
        </w:r>
      </w:hyperlink>
    </w:p>
    <w:p w:rsidR="00D27C82" w:rsidRDefault="00000000">
      <w:pPr>
        <w:pStyle w:val="TOC2"/>
        <w:tabs>
          <w:tab w:val="right" w:leader="dot" w:pos="9016"/>
        </w:tabs>
        <w:rPr>
          <w:rFonts w:ascii="黑体" w:eastAsia="黑体" w:hAnsi="黑体" w:cstheme="minorBidi"/>
          <w:sz w:val="30"/>
          <w:szCs w:val="30"/>
        </w:rPr>
      </w:pPr>
      <w:hyperlink w:anchor="_Toc118208010" w:history="1">
        <w:r>
          <w:rPr>
            <w:rStyle w:val="aa"/>
            <w:rFonts w:ascii="黑体" w:eastAsia="黑体" w:hAnsi="黑体"/>
            <w:sz w:val="30"/>
            <w:szCs w:val="30"/>
          </w:rPr>
          <w:t>三、2021年度一般公共预算财政拨款基本支出决算情况说明</w:t>
        </w:r>
        <w:r>
          <w:rPr>
            <w:rFonts w:ascii="黑体" w:eastAsia="黑体" w:hAnsi="黑体"/>
            <w:sz w:val="30"/>
            <w:szCs w:val="30"/>
          </w:rPr>
          <w:tab/>
        </w:r>
        <w:r>
          <w:rPr>
            <w:rFonts w:ascii="黑体" w:eastAsia="黑体" w:hAnsi="黑体"/>
            <w:sz w:val="30"/>
            <w:szCs w:val="30"/>
          </w:rPr>
          <w:fldChar w:fldCharType="begin"/>
        </w:r>
        <w:r>
          <w:rPr>
            <w:rFonts w:ascii="黑体" w:eastAsia="黑体" w:hAnsi="黑体"/>
            <w:sz w:val="30"/>
            <w:szCs w:val="30"/>
          </w:rPr>
          <w:instrText xml:space="preserve"> PAGEREF _Toc118208010 \h </w:instrText>
        </w:r>
        <w:r>
          <w:rPr>
            <w:rFonts w:ascii="黑体" w:eastAsia="黑体" w:hAnsi="黑体"/>
            <w:sz w:val="30"/>
            <w:szCs w:val="30"/>
          </w:rPr>
        </w:r>
        <w:r>
          <w:rPr>
            <w:rFonts w:ascii="黑体" w:eastAsia="黑体" w:hAnsi="黑体"/>
            <w:sz w:val="30"/>
            <w:szCs w:val="30"/>
          </w:rPr>
          <w:fldChar w:fldCharType="separate"/>
        </w:r>
        <w:r>
          <w:rPr>
            <w:rFonts w:ascii="黑体" w:eastAsia="黑体" w:hAnsi="黑体"/>
            <w:sz w:val="30"/>
            <w:szCs w:val="30"/>
          </w:rPr>
          <w:t>- 7 -</w:t>
        </w:r>
        <w:r>
          <w:rPr>
            <w:rFonts w:ascii="黑体" w:eastAsia="黑体" w:hAnsi="黑体"/>
            <w:sz w:val="30"/>
            <w:szCs w:val="30"/>
          </w:rPr>
          <w:fldChar w:fldCharType="end"/>
        </w:r>
      </w:hyperlink>
    </w:p>
    <w:p w:rsidR="00D27C82" w:rsidRDefault="00000000">
      <w:pPr>
        <w:pStyle w:val="TOC2"/>
        <w:tabs>
          <w:tab w:val="right" w:leader="dot" w:pos="9016"/>
        </w:tabs>
        <w:rPr>
          <w:rFonts w:ascii="黑体" w:eastAsia="黑体" w:hAnsi="黑体" w:cstheme="minorBidi"/>
          <w:sz w:val="30"/>
          <w:szCs w:val="30"/>
        </w:rPr>
      </w:pPr>
      <w:hyperlink w:anchor="_Toc118208011" w:history="1">
        <w:r>
          <w:rPr>
            <w:rStyle w:val="aa"/>
            <w:rFonts w:ascii="黑体" w:eastAsia="黑体" w:hAnsi="黑体"/>
            <w:sz w:val="30"/>
            <w:szCs w:val="30"/>
          </w:rPr>
          <w:t>四、2021年度政府性基金支出决算情况</w:t>
        </w:r>
        <w:r>
          <w:rPr>
            <w:rFonts w:ascii="黑体" w:eastAsia="黑体" w:hAnsi="黑体"/>
            <w:sz w:val="30"/>
            <w:szCs w:val="30"/>
          </w:rPr>
          <w:tab/>
        </w:r>
        <w:r>
          <w:rPr>
            <w:rFonts w:ascii="黑体" w:eastAsia="黑体" w:hAnsi="黑体"/>
            <w:sz w:val="30"/>
            <w:szCs w:val="30"/>
          </w:rPr>
          <w:fldChar w:fldCharType="begin"/>
        </w:r>
        <w:r>
          <w:rPr>
            <w:rFonts w:ascii="黑体" w:eastAsia="黑体" w:hAnsi="黑体"/>
            <w:sz w:val="30"/>
            <w:szCs w:val="30"/>
          </w:rPr>
          <w:instrText xml:space="preserve"> PAGEREF _Toc118208011 \h </w:instrText>
        </w:r>
        <w:r>
          <w:rPr>
            <w:rFonts w:ascii="黑体" w:eastAsia="黑体" w:hAnsi="黑体"/>
            <w:sz w:val="30"/>
            <w:szCs w:val="30"/>
          </w:rPr>
        </w:r>
        <w:r>
          <w:rPr>
            <w:rFonts w:ascii="黑体" w:eastAsia="黑体" w:hAnsi="黑体"/>
            <w:sz w:val="30"/>
            <w:szCs w:val="30"/>
          </w:rPr>
          <w:fldChar w:fldCharType="separate"/>
        </w:r>
        <w:r>
          <w:rPr>
            <w:rFonts w:ascii="黑体" w:eastAsia="黑体" w:hAnsi="黑体"/>
            <w:sz w:val="30"/>
            <w:szCs w:val="30"/>
          </w:rPr>
          <w:t>- 9 -</w:t>
        </w:r>
        <w:r>
          <w:rPr>
            <w:rFonts w:ascii="黑体" w:eastAsia="黑体" w:hAnsi="黑体"/>
            <w:sz w:val="30"/>
            <w:szCs w:val="30"/>
          </w:rPr>
          <w:fldChar w:fldCharType="end"/>
        </w:r>
      </w:hyperlink>
    </w:p>
    <w:p w:rsidR="00D27C82" w:rsidRDefault="00000000">
      <w:pPr>
        <w:pStyle w:val="TOC2"/>
        <w:tabs>
          <w:tab w:val="right" w:leader="dot" w:pos="9016"/>
        </w:tabs>
        <w:rPr>
          <w:rFonts w:ascii="黑体" w:eastAsia="黑体" w:hAnsi="黑体" w:cstheme="minorBidi"/>
          <w:sz w:val="30"/>
          <w:szCs w:val="30"/>
        </w:rPr>
      </w:pPr>
      <w:hyperlink w:anchor="_Toc118208012" w:history="1">
        <w:r>
          <w:rPr>
            <w:rStyle w:val="aa"/>
            <w:rFonts w:ascii="黑体" w:eastAsia="黑体" w:hAnsi="黑体"/>
            <w:sz w:val="30"/>
            <w:szCs w:val="30"/>
          </w:rPr>
          <w:t>五、2021年度国有资本经营预算支出决算情况</w:t>
        </w:r>
        <w:r>
          <w:rPr>
            <w:rFonts w:ascii="黑体" w:eastAsia="黑体" w:hAnsi="黑体"/>
            <w:sz w:val="30"/>
            <w:szCs w:val="30"/>
          </w:rPr>
          <w:tab/>
        </w:r>
        <w:r>
          <w:rPr>
            <w:rFonts w:ascii="黑体" w:eastAsia="黑体" w:hAnsi="黑体"/>
            <w:sz w:val="30"/>
            <w:szCs w:val="30"/>
          </w:rPr>
          <w:fldChar w:fldCharType="begin"/>
        </w:r>
        <w:r>
          <w:rPr>
            <w:rFonts w:ascii="黑体" w:eastAsia="黑体" w:hAnsi="黑体"/>
            <w:sz w:val="30"/>
            <w:szCs w:val="30"/>
          </w:rPr>
          <w:instrText xml:space="preserve"> PAGEREF _Toc118208012 \h </w:instrText>
        </w:r>
        <w:r>
          <w:rPr>
            <w:rFonts w:ascii="黑体" w:eastAsia="黑体" w:hAnsi="黑体"/>
            <w:sz w:val="30"/>
            <w:szCs w:val="30"/>
          </w:rPr>
        </w:r>
        <w:r>
          <w:rPr>
            <w:rFonts w:ascii="黑体" w:eastAsia="黑体" w:hAnsi="黑体"/>
            <w:sz w:val="30"/>
            <w:szCs w:val="30"/>
          </w:rPr>
          <w:fldChar w:fldCharType="separate"/>
        </w:r>
        <w:r>
          <w:rPr>
            <w:rFonts w:ascii="黑体" w:eastAsia="黑体" w:hAnsi="黑体"/>
            <w:sz w:val="30"/>
            <w:szCs w:val="30"/>
          </w:rPr>
          <w:t>- 9 -</w:t>
        </w:r>
        <w:r>
          <w:rPr>
            <w:rFonts w:ascii="黑体" w:eastAsia="黑体" w:hAnsi="黑体"/>
            <w:sz w:val="30"/>
            <w:szCs w:val="30"/>
          </w:rPr>
          <w:fldChar w:fldCharType="end"/>
        </w:r>
      </w:hyperlink>
    </w:p>
    <w:p w:rsidR="00D27C82" w:rsidRDefault="00000000">
      <w:pPr>
        <w:pStyle w:val="TOC2"/>
        <w:tabs>
          <w:tab w:val="right" w:leader="dot" w:pos="9016"/>
        </w:tabs>
        <w:rPr>
          <w:rFonts w:ascii="黑体" w:eastAsia="黑体" w:hAnsi="黑体" w:cstheme="minorBidi"/>
          <w:sz w:val="30"/>
          <w:szCs w:val="30"/>
        </w:rPr>
      </w:pPr>
      <w:hyperlink w:anchor="_Toc118208013" w:history="1">
        <w:r>
          <w:rPr>
            <w:rStyle w:val="aa"/>
            <w:rFonts w:ascii="黑体" w:eastAsia="黑体" w:hAnsi="黑体"/>
            <w:sz w:val="30"/>
            <w:szCs w:val="30"/>
          </w:rPr>
          <w:t>六、一般公共预算财政拨款安排的“三公”经费支出决算情况说明</w:t>
        </w:r>
        <w:r>
          <w:rPr>
            <w:rFonts w:ascii="黑体" w:eastAsia="黑体" w:hAnsi="黑体"/>
            <w:sz w:val="30"/>
            <w:szCs w:val="30"/>
          </w:rPr>
          <w:tab/>
        </w:r>
        <w:r>
          <w:rPr>
            <w:rFonts w:ascii="黑体" w:eastAsia="黑体" w:hAnsi="黑体"/>
            <w:sz w:val="30"/>
            <w:szCs w:val="30"/>
          </w:rPr>
          <w:fldChar w:fldCharType="begin"/>
        </w:r>
        <w:r>
          <w:rPr>
            <w:rFonts w:ascii="黑体" w:eastAsia="黑体" w:hAnsi="黑体"/>
            <w:sz w:val="30"/>
            <w:szCs w:val="30"/>
          </w:rPr>
          <w:instrText xml:space="preserve"> PAGEREF _Toc118208013 \h </w:instrText>
        </w:r>
        <w:r>
          <w:rPr>
            <w:rFonts w:ascii="黑体" w:eastAsia="黑体" w:hAnsi="黑体"/>
            <w:sz w:val="30"/>
            <w:szCs w:val="30"/>
          </w:rPr>
        </w:r>
        <w:r>
          <w:rPr>
            <w:rFonts w:ascii="黑体" w:eastAsia="黑体" w:hAnsi="黑体"/>
            <w:sz w:val="30"/>
            <w:szCs w:val="30"/>
          </w:rPr>
          <w:fldChar w:fldCharType="separate"/>
        </w:r>
        <w:r>
          <w:rPr>
            <w:rFonts w:ascii="黑体" w:eastAsia="黑体" w:hAnsi="黑体"/>
            <w:sz w:val="30"/>
            <w:szCs w:val="30"/>
          </w:rPr>
          <w:t>- 9 -</w:t>
        </w:r>
        <w:r>
          <w:rPr>
            <w:rFonts w:ascii="黑体" w:eastAsia="黑体" w:hAnsi="黑体"/>
            <w:sz w:val="30"/>
            <w:szCs w:val="30"/>
          </w:rPr>
          <w:fldChar w:fldCharType="end"/>
        </w:r>
      </w:hyperlink>
    </w:p>
    <w:p w:rsidR="00D27C82" w:rsidRDefault="00000000">
      <w:pPr>
        <w:pStyle w:val="TOC2"/>
        <w:tabs>
          <w:tab w:val="right" w:leader="dot" w:pos="9016"/>
        </w:tabs>
        <w:rPr>
          <w:rFonts w:ascii="黑体" w:eastAsia="黑体" w:hAnsi="黑体" w:cstheme="minorBidi"/>
          <w:sz w:val="30"/>
          <w:szCs w:val="30"/>
        </w:rPr>
      </w:pPr>
      <w:hyperlink w:anchor="_Toc118208014" w:history="1">
        <w:r>
          <w:rPr>
            <w:rStyle w:val="aa"/>
            <w:rFonts w:ascii="黑体" w:eastAsia="黑体" w:hAnsi="黑体"/>
            <w:sz w:val="30"/>
            <w:szCs w:val="30"/>
          </w:rPr>
          <w:t>七、其他重要事项情况说明</w:t>
        </w:r>
        <w:r>
          <w:rPr>
            <w:rFonts w:ascii="黑体" w:eastAsia="黑体" w:hAnsi="黑体"/>
            <w:sz w:val="30"/>
            <w:szCs w:val="30"/>
          </w:rPr>
          <w:tab/>
        </w:r>
        <w:r>
          <w:rPr>
            <w:rFonts w:ascii="黑体" w:eastAsia="黑体" w:hAnsi="黑体"/>
            <w:sz w:val="30"/>
            <w:szCs w:val="30"/>
          </w:rPr>
          <w:fldChar w:fldCharType="begin"/>
        </w:r>
        <w:r>
          <w:rPr>
            <w:rFonts w:ascii="黑体" w:eastAsia="黑体" w:hAnsi="黑体"/>
            <w:sz w:val="30"/>
            <w:szCs w:val="30"/>
          </w:rPr>
          <w:instrText xml:space="preserve"> PAGEREF _Toc118208014 \h </w:instrText>
        </w:r>
        <w:r>
          <w:rPr>
            <w:rFonts w:ascii="黑体" w:eastAsia="黑体" w:hAnsi="黑体"/>
            <w:sz w:val="30"/>
            <w:szCs w:val="30"/>
          </w:rPr>
        </w:r>
        <w:r>
          <w:rPr>
            <w:rFonts w:ascii="黑体" w:eastAsia="黑体" w:hAnsi="黑体"/>
            <w:sz w:val="30"/>
            <w:szCs w:val="30"/>
          </w:rPr>
          <w:fldChar w:fldCharType="separate"/>
        </w:r>
        <w:r>
          <w:rPr>
            <w:rFonts w:ascii="黑体" w:eastAsia="黑体" w:hAnsi="黑体"/>
            <w:sz w:val="30"/>
            <w:szCs w:val="30"/>
          </w:rPr>
          <w:t>- 11 -</w:t>
        </w:r>
        <w:r>
          <w:rPr>
            <w:rFonts w:ascii="黑体" w:eastAsia="黑体" w:hAnsi="黑体"/>
            <w:sz w:val="30"/>
            <w:szCs w:val="30"/>
          </w:rPr>
          <w:fldChar w:fldCharType="end"/>
        </w:r>
      </w:hyperlink>
    </w:p>
    <w:p w:rsidR="00D27C82" w:rsidRDefault="00000000">
      <w:pPr>
        <w:pStyle w:val="TOC3"/>
        <w:tabs>
          <w:tab w:val="right" w:leader="dot" w:pos="9016"/>
        </w:tabs>
        <w:rPr>
          <w:rFonts w:ascii="黑体" w:eastAsia="黑体" w:hAnsi="黑体" w:cstheme="minorBidi"/>
          <w:sz w:val="30"/>
          <w:szCs w:val="30"/>
        </w:rPr>
      </w:pPr>
      <w:hyperlink w:anchor="_Toc118208015" w:history="1">
        <w:r>
          <w:rPr>
            <w:rStyle w:val="aa"/>
            <w:rFonts w:ascii="黑体" w:eastAsia="黑体" w:hAnsi="黑体"/>
            <w:sz w:val="30"/>
            <w:szCs w:val="30"/>
          </w:rPr>
          <w:t>（一）机关运行经费支出情况说明</w:t>
        </w:r>
        <w:r>
          <w:rPr>
            <w:rFonts w:ascii="黑体" w:eastAsia="黑体" w:hAnsi="黑体"/>
            <w:sz w:val="30"/>
            <w:szCs w:val="30"/>
          </w:rPr>
          <w:tab/>
        </w:r>
        <w:r>
          <w:rPr>
            <w:rFonts w:ascii="黑体" w:eastAsia="黑体" w:hAnsi="黑体"/>
            <w:sz w:val="30"/>
            <w:szCs w:val="30"/>
          </w:rPr>
          <w:fldChar w:fldCharType="begin"/>
        </w:r>
        <w:r>
          <w:rPr>
            <w:rFonts w:ascii="黑体" w:eastAsia="黑体" w:hAnsi="黑体"/>
            <w:sz w:val="30"/>
            <w:szCs w:val="30"/>
          </w:rPr>
          <w:instrText xml:space="preserve"> PAGEREF _Toc118208015 \h </w:instrText>
        </w:r>
        <w:r>
          <w:rPr>
            <w:rFonts w:ascii="黑体" w:eastAsia="黑体" w:hAnsi="黑体"/>
            <w:sz w:val="30"/>
            <w:szCs w:val="30"/>
          </w:rPr>
        </w:r>
        <w:r>
          <w:rPr>
            <w:rFonts w:ascii="黑体" w:eastAsia="黑体" w:hAnsi="黑体"/>
            <w:sz w:val="30"/>
            <w:szCs w:val="30"/>
          </w:rPr>
          <w:fldChar w:fldCharType="separate"/>
        </w:r>
        <w:r>
          <w:rPr>
            <w:rFonts w:ascii="黑体" w:eastAsia="黑体" w:hAnsi="黑体"/>
            <w:sz w:val="30"/>
            <w:szCs w:val="30"/>
          </w:rPr>
          <w:t>- 11 -</w:t>
        </w:r>
        <w:r>
          <w:rPr>
            <w:rFonts w:ascii="黑体" w:eastAsia="黑体" w:hAnsi="黑体"/>
            <w:sz w:val="30"/>
            <w:szCs w:val="30"/>
          </w:rPr>
          <w:fldChar w:fldCharType="end"/>
        </w:r>
      </w:hyperlink>
    </w:p>
    <w:p w:rsidR="00D27C82" w:rsidRDefault="00000000">
      <w:pPr>
        <w:pStyle w:val="TOC3"/>
        <w:tabs>
          <w:tab w:val="right" w:leader="dot" w:pos="9016"/>
        </w:tabs>
        <w:rPr>
          <w:rFonts w:ascii="黑体" w:eastAsia="黑体" w:hAnsi="黑体" w:cstheme="minorBidi"/>
          <w:sz w:val="30"/>
          <w:szCs w:val="30"/>
        </w:rPr>
      </w:pPr>
      <w:hyperlink w:anchor="_Toc118208016" w:history="1">
        <w:r>
          <w:rPr>
            <w:rStyle w:val="aa"/>
            <w:rFonts w:ascii="黑体" w:eastAsia="黑体" w:hAnsi="黑体"/>
            <w:sz w:val="30"/>
            <w:szCs w:val="30"/>
          </w:rPr>
          <w:t>（二）政府采购支出情况说明</w:t>
        </w:r>
        <w:r>
          <w:rPr>
            <w:rFonts w:ascii="黑体" w:eastAsia="黑体" w:hAnsi="黑体"/>
            <w:sz w:val="30"/>
            <w:szCs w:val="30"/>
          </w:rPr>
          <w:tab/>
        </w:r>
        <w:r>
          <w:rPr>
            <w:rFonts w:ascii="黑体" w:eastAsia="黑体" w:hAnsi="黑体"/>
            <w:sz w:val="30"/>
            <w:szCs w:val="30"/>
          </w:rPr>
          <w:fldChar w:fldCharType="begin"/>
        </w:r>
        <w:r>
          <w:rPr>
            <w:rFonts w:ascii="黑体" w:eastAsia="黑体" w:hAnsi="黑体"/>
            <w:sz w:val="30"/>
            <w:szCs w:val="30"/>
          </w:rPr>
          <w:instrText xml:space="preserve"> PAGEREF _Toc118208016 \h </w:instrText>
        </w:r>
        <w:r>
          <w:rPr>
            <w:rFonts w:ascii="黑体" w:eastAsia="黑体" w:hAnsi="黑体"/>
            <w:sz w:val="30"/>
            <w:szCs w:val="30"/>
          </w:rPr>
        </w:r>
        <w:r>
          <w:rPr>
            <w:rFonts w:ascii="黑体" w:eastAsia="黑体" w:hAnsi="黑体"/>
            <w:sz w:val="30"/>
            <w:szCs w:val="30"/>
          </w:rPr>
          <w:fldChar w:fldCharType="separate"/>
        </w:r>
        <w:r>
          <w:rPr>
            <w:rFonts w:ascii="黑体" w:eastAsia="黑体" w:hAnsi="黑体"/>
            <w:sz w:val="30"/>
            <w:szCs w:val="30"/>
          </w:rPr>
          <w:t>- 11 -</w:t>
        </w:r>
        <w:r>
          <w:rPr>
            <w:rFonts w:ascii="黑体" w:eastAsia="黑体" w:hAnsi="黑体"/>
            <w:sz w:val="30"/>
            <w:szCs w:val="30"/>
          </w:rPr>
          <w:fldChar w:fldCharType="end"/>
        </w:r>
      </w:hyperlink>
    </w:p>
    <w:p w:rsidR="00D27C82" w:rsidRDefault="00000000">
      <w:pPr>
        <w:pStyle w:val="TOC3"/>
        <w:tabs>
          <w:tab w:val="right" w:leader="dot" w:pos="9016"/>
        </w:tabs>
        <w:rPr>
          <w:rFonts w:ascii="黑体" w:eastAsia="黑体" w:hAnsi="黑体" w:cstheme="minorBidi"/>
          <w:sz w:val="30"/>
          <w:szCs w:val="30"/>
        </w:rPr>
      </w:pPr>
      <w:hyperlink w:anchor="_Toc118208017" w:history="1">
        <w:r>
          <w:rPr>
            <w:rStyle w:val="aa"/>
            <w:rFonts w:ascii="黑体" w:eastAsia="黑体" w:hAnsi="黑体"/>
            <w:sz w:val="30"/>
            <w:szCs w:val="30"/>
          </w:rPr>
          <w:t>（三）国有资产占用情况说明</w:t>
        </w:r>
        <w:r>
          <w:rPr>
            <w:rFonts w:ascii="黑体" w:eastAsia="黑体" w:hAnsi="黑体"/>
            <w:sz w:val="30"/>
            <w:szCs w:val="30"/>
          </w:rPr>
          <w:tab/>
        </w:r>
        <w:r>
          <w:rPr>
            <w:rFonts w:ascii="黑体" w:eastAsia="黑体" w:hAnsi="黑体"/>
            <w:sz w:val="30"/>
            <w:szCs w:val="30"/>
          </w:rPr>
          <w:fldChar w:fldCharType="begin"/>
        </w:r>
        <w:r>
          <w:rPr>
            <w:rFonts w:ascii="黑体" w:eastAsia="黑体" w:hAnsi="黑体"/>
            <w:sz w:val="30"/>
            <w:szCs w:val="30"/>
          </w:rPr>
          <w:instrText xml:space="preserve"> PAGEREF _Toc118208017 \h </w:instrText>
        </w:r>
        <w:r>
          <w:rPr>
            <w:rFonts w:ascii="黑体" w:eastAsia="黑体" w:hAnsi="黑体"/>
            <w:sz w:val="30"/>
            <w:szCs w:val="30"/>
          </w:rPr>
        </w:r>
        <w:r>
          <w:rPr>
            <w:rFonts w:ascii="黑体" w:eastAsia="黑体" w:hAnsi="黑体"/>
            <w:sz w:val="30"/>
            <w:szCs w:val="30"/>
          </w:rPr>
          <w:fldChar w:fldCharType="separate"/>
        </w:r>
        <w:r>
          <w:rPr>
            <w:rFonts w:ascii="黑体" w:eastAsia="黑体" w:hAnsi="黑体"/>
            <w:sz w:val="30"/>
            <w:szCs w:val="30"/>
          </w:rPr>
          <w:t>- 11 -</w:t>
        </w:r>
        <w:r>
          <w:rPr>
            <w:rFonts w:ascii="黑体" w:eastAsia="黑体" w:hAnsi="黑体"/>
            <w:sz w:val="30"/>
            <w:szCs w:val="30"/>
          </w:rPr>
          <w:fldChar w:fldCharType="end"/>
        </w:r>
      </w:hyperlink>
    </w:p>
    <w:p w:rsidR="00D27C82" w:rsidRDefault="00000000">
      <w:pPr>
        <w:pStyle w:val="TOC3"/>
        <w:tabs>
          <w:tab w:val="right" w:leader="dot" w:pos="9016"/>
        </w:tabs>
        <w:rPr>
          <w:rFonts w:ascii="黑体" w:eastAsia="黑体" w:hAnsi="黑体" w:cstheme="minorBidi"/>
          <w:sz w:val="30"/>
          <w:szCs w:val="30"/>
        </w:rPr>
      </w:pPr>
      <w:hyperlink w:anchor="_Toc118208018" w:history="1">
        <w:r>
          <w:rPr>
            <w:rStyle w:val="aa"/>
            <w:rFonts w:ascii="黑体" w:eastAsia="黑体" w:hAnsi="黑体"/>
            <w:sz w:val="30"/>
            <w:szCs w:val="30"/>
          </w:rPr>
          <w:t>（四）预算绩效管理工作开展情况</w:t>
        </w:r>
        <w:r>
          <w:rPr>
            <w:rFonts w:ascii="黑体" w:eastAsia="黑体" w:hAnsi="黑体"/>
            <w:sz w:val="30"/>
            <w:szCs w:val="30"/>
          </w:rPr>
          <w:tab/>
        </w:r>
        <w:r>
          <w:rPr>
            <w:rFonts w:ascii="黑体" w:eastAsia="黑体" w:hAnsi="黑体"/>
            <w:sz w:val="30"/>
            <w:szCs w:val="30"/>
          </w:rPr>
          <w:fldChar w:fldCharType="begin"/>
        </w:r>
        <w:r>
          <w:rPr>
            <w:rFonts w:ascii="黑体" w:eastAsia="黑体" w:hAnsi="黑体"/>
            <w:sz w:val="30"/>
            <w:szCs w:val="30"/>
          </w:rPr>
          <w:instrText xml:space="preserve"> PAGEREF _Toc118208018 \h </w:instrText>
        </w:r>
        <w:r>
          <w:rPr>
            <w:rFonts w:ascii="黑体" w:eastAsia="黑体" w:hAnsi="黑体"/>
            <w:sz w:val="30"/>
            <w:szCs w:val="30"/>
          </w:rPr>
        </w:r>
        <w:r>
          <w:rPr>
            <w:rFonts w:ascii="黑体" w:eastAsia="黑体" w:hAnsi="黑体"/>
            <w:sz w:val="30"/>
            <w:szCs w:val="30"/>
          </w:rPr>
          <w:fldChar w:fldCharType="separate"/>
        </w:r>
        <w:r>
          <w:rPr>
            <w:rFonts w:ascii="黑体" w:eastAsia="黑体" w:hAnsi="黑体"/>
            <w:sz w:val="30"/>
            <w:szCs w:val="30"/>
          </w:rPr>
          <w:t>- 12 -</w:t>
        </w:r>
        <w:r>
          <w:rPr>
            <w:rFonts w:ascii="黑体" w:eastAsia="黑体" w:hAnsi="黑体"/>
            <w:sz w:val="30"/>
            <w:szCs w:val="30"/>
          </w:rPr>
          <w:fldChar w:fldCharType="end"/>
        </w:r>
      </w:hyperlink>
    </w:p>
    <w:p w:rsidR="00D27C82" w:rsidRDefault="00000000">
      <w:pPr>
        <w:pStyle w:val="TOC1"/>
        <w:tabs>
          <w:tab w:val="right" w:leader="dot" w:pos="9016"/>
        </w:tabs>
        <w:rPr>
          <w:rFonts w:ascii="黑体" w:eastAsia="黑体" w:hAnsi="黑体" w:cstheme="minorBidi"/>
          <w:sz w:val="30"/>
          <w:szCs w:val="30"/>
        </w:rPr>
      </w:pPr>
      <w:hyperlink w:anchor="_Toc118208019" w:history="1">
        <w:r>
          <w:rPr>
            <w:rStyle w:val="aa"/>
            <w:rFonts w:ascii="黑体" w:eastAsia="黑体" w:hAnsi="黑体"/>
            <w:sz w:val="30"/>
            <w:szCs w:val="30"/>
          </w:rPr>
          <w:t>第四部分：名词解释</w:t>
        </w:r>
        <w:r>
          <w:rPr>
            <w:rFonts w:ascii="黑体" w:eastAsia="黑体" w:hAnsi="黑体"/>
            <w:sz w:val="30"/>
            <w:szCs w:val="30"/>
          </w:rPr>
          <w:tab/>
        </w:r>
        <w:r>
          <w:rPr>
            <w:rFonts w:ascii="黑体" w:eastAsia="黑体" w:hAnsi="黑体"/>
            <w:sz w:val="30"/>
            <w:szCs w:val="30"/>
          </w:rPr>
          <w:fldChar w:fldCharType="begin"/>
        </w:r>
        <w:r>
          <w:rPr>
            <w:rFonts w:ascii="黑体" w:eastAsia="黑体" w:hAnsi="黑体"/>
            <w:sz w:val="30"/>
            <w:szCs w:val="30"/>
          </w:rPr>
          <w:instrText xml:space="preserve"> PAGEREF _Toc118208019 \h </w:instrText>
        </w:r>
        <w:r>
          <w:rPr>
            <w:rFonts w:ascii="黑体" w:eastAsia="黑体" w:hAnsi="黑体"/>
            <w:sz w:val="30"/>
            <w:szCs w:val="30"/>
          </w:rPr>
        </w:r>
        <w:r>
          <w:rPr>
            <w:rFonts w:ascii="黑体" w:eastAsia="黑体" w:hAnsi="黑体"/>
            <w:sz w:val="30"/>
            <w:szCs w:val="30"/>
          </w:rPr>
          <w:fldChar w:fldCharType="separate"/>
        </w:r>
        <w:r>
          <w:rPr>
            <w:rFonts w:ascii="黑体" w:eastAsia="黑体" w:hAnsi="黑体"/>
            <w:sz w:val="30"/>
            <w:szCs w:val="30"/>
          </w:rPr>
          <w:t>- 13 -</w:t>
        </w:r>
        <w:r>
          <w:rPr>
            <w:rFonts w:ascii="黑体" w:eastAsia="黑体" w:hAnsi="黑体"/>
            <w:sz w:val="30"/>
            <w:szCs w:val="30"/>
          </w:rPr>
          <w:fldChar w:fldCharType="end"/>
        </w:r>
      </w:hyperlink>
    </w:p>
    <w:p w:rsidR="00D27C82" w:rsidRDefault="00000000">
      <w:pPr>
        <w:spacing w:line="560" w:lineRule="exact"/>
        <w:rPr>
          <w:rFonts w:ascii="黑体" w:eastAsia="黑体" w:hAnsi="黑体"/>
          <w:b/>
          <w:bCs/>
          <w:sz w:val="30"/>
          <w:szCs w:val="30"/>
          <w:lang w:val="zh-CN"/>
        </w:rPr>
      </w:pPr>
      <w:r>
        <w:rPr>
          <w:rFonts w:ascii="黑体" w:eastAsia="黑体" w:hAnsi="黑体" w:hint="eastAsia"/>
          <w:sz w:val="30"/>
          <w:szCs w:val="30"/>
          <w:lang w:val="zh-CN"/>
        </w:rPr>
        <w:fldChar w:fldCharType="end"/>
      </w:r>
      <w:bookmarkStart w:id="0" w:name="_Toc965975"/>
      <w:bookmarkStart w:id="1" w:name="_Toc989516"/>
    </w:p>
    <w:p w:rsidR="00D27C82" w:rsidRDefault="00D27C82">
      <w:pPr>
        <w:ind w:firstLine="643"/>
        <w:rPr>
          <w:rFonts w:eastAsia="仿宋_GB2312"/>
          <w:b/>
          <w:bCs/>
          <w:sz w:val="32"/>
          <w:szCs w:val="24"/>
          <w:lang w:val="zh-CN"/>
        </w:rPr>
        <w:sectPr w:rsidR="00D27C82">
          <w:pgSz w:w="11906" w:h="16838"/>
          <w:pgMar w:top="1440" w:right="1440" w:bottom="1440" w:left="1440" w:header="851" w:footer="992" w:gutter="0"/>
          <w:pgNumType w:fmt="numberInDash"/>
          <w:cols w:space="720"/>
        </w:sectPr>
      </w:pPr>
    </w:p>
    <w:p w:rsidR="00D27C82" w:rsidRDefault="00D27C82">
      <w:pPr>
        <w:ind w:firstLine="643"/>
        <w:jc w:val="center"/>
        <w:rPr>
          <w:rFonts w:eastAsia="仿宋_GB2312"/>
          <w:b/>
          <w:bCs/>
          <w:sz w:val="32"/>
          <w:szCs w:val="24"/>
          <w:lang w:val="zh-CN"/>
        </w:rPr>
      </w:pPr>
    </w:p>
    <w:p w:rsidR="00D27C82" w:rsidRDefault="00000000">
      <w:pPr>
        <w:pStyle w:val="12"/>
      </w:pPr>
      <w:bookmarkStart w:id="2" w:name="_Toc118207994"/>
      <w:r>
        <w:rPr>
          <w:rFonts w:hint="eastAsia"/>
        </w:rPr>
        <w:t>第一部分：广西壮族自治区信息安全测评中心概况</w:t>
      </w:r>
      <w:bookmarkEnd w:id="0"/>
      <w:bookmarkEnd w:id="1"/>
      <w:bookmarkEnd w:id="2"/>
    </w:p>
    <w:p w:rsidR="00D27C82" w:rsidRDefault="00000000">
      <w:pPr>
        <w:pStyle w:val="21"/>
      </w:pPr>
      <w:bookmarkStart w:id="3" w:name="_Toc965976"/>
      <w:bookmarkStart w:id="4" w:name="_Toc989517"/>
      <w:bookmarkStart w:id="5" w:name="_Toc118207995"/>
      <w:r>
        <w:rPr>
          <w:rFonts w:hint="eastAsia"/>
        </w:rPr>
        <w:t>一、主要职能</w:t>
      </w:r>
      <w:bookmarkEnd w:id="3"/>
      <w:bookmarkEnd w:id="4"/>
      <w:bookmarkEnd w:id="5"/>
    </w:p>
    <w:p w:rsidR="00D27C82" w:rsidRDefault="00000000">
      <w:pPr>
        <w:pStyle w:val="-"/>
      </w:pPr>
      <w:r>
        <w:rPr>
          <w:rFonts w:hint="eastAsia"/>
        </w:rPr>
        <w:t>承担全区电子信息产品、系统及工</w:t>
      </w:r>
      <w:r>
        <w:rPr>
          <w:rFonts w:hint="eastAsia"/>
        </w:rPr>
        <w:tab/>
      </w:r>
      <w:proofErr w:type="gramStart"/>
      <w:r>
        <w:rPr>
          <w:rFonts w:hint="eastAsia"/>
        </w:rPr>
        <w:t>程检查</w:t>
      </w:r>
      <w:proofErr w:type="gramEnd"/>
      <w:r>
        <w:rPr>
          <w:rFonts w:hint="eastAsia"/>
        </w:rPr>
        <w:t>的技术性和事务性工作；承担自治区和国家信息安全及其重大任务的检查测评工作。</w:t>
      </w:r>
    </w:p>
    <w:p w:rsidR="00D27C82" w:rsidRDefault="00000000">
      <w:pPr>
        <w:pStyle w:val="21"/>
      </w:pPr>
      <w:bookmarkStart w:id="6" w:name="_Toc965977"/>
      <w:bookmarkStart w:id="7" w:name="_Toc989518"/>
      <w:bookmarkStart w:id="8" w:name="_Toc118207996"/>
      <w:r>
        <w:rPr>
          <w:rFonts w:hint="eastAsia"/>
        </w:rPr>
        <w:t>二</w:t>
      </w:r>
      <w:bookmarkEnd w:id="6"/>
      <w:bookmarkEnd w:id="7"/>
      <w:r>
        <w:rPr>
          <w:rFonts w:hint="eastAsia"/>
        </w:rPr>
        <w:t>、决算单位构成</w:t>
      </w:r>
      <w:bookmarkEnd w:id="8"/>
    </w:p>
    <w:p w:rsidR="00D27C82" w:rsidRDefault="00000000">
      <w:pPr>
        <w:pStyle w:val="-"/>
      </w:pPr>
      <w:r>
        <w:rPr>
          <w:rFonts w:hint="eastAsia"/>
        </w:rPr>
        <w:t>1</w:t>
      </w:r>
      <w:r>
        <w:t>.</w:t>
      </w:r>
      <w:r>
        <w:rPr>
          <w:rFonts w:hint="eastAsia"/>
        </w:rPr>
        <w:t>机构情况</w:t>
      </w:r>
    </w:p>
    <w:p w:rsidR="00D27C82" w:rsidRDefault="00000000">
      <w:pPr>
        <w:pStyle w:val="-"/>
      </w:pPr>
      <w:r>
        <w:rPr>
          <w:rFonts w:hint="eastAsia"/>
        </w:rPr>
        <w:t>单位性质是财政补助事业单位，执行政府会计制度。机构数为1个。根据本单位职责任务，结合单位发展的实际需要，广西信息安全测评中心设立5个部门：办公室、业务技术室、测评一部、测评二部、网络空间安全实验室。</w:t>
      </w:r>
    </w:p>
    <w:p w:rsidR="00D27C82" w:rsidRDefault="00000000">
      <w:pPr>
        <w:pStyle w:val="-"/>
      </w:pPr>
      <w:r>
        <w:rPr>
          <w:rFonts w:hint="eastAsia"/>
        </w:rPr>
        <w:t>2</w:t>
      </w:r>
      <w:r>
        <w:t>.</w:t>
      </w:r>
      <w:r>
        <w:rPr>
          <w:rFonts w:hint="eastAsia"/>
        </w:rPr>
        <w:t>人员情况</w:t>
      </w:r>
    </w:p>
    <w:p w:rsidR="00D27C82" w:rsidRDefault="00000000">
      <w:pPr>
        <w:pStyle w:val="-"/>
      </w:pPr>
      <w:r>
        <w:rPr>
          <w:rFonts w:hint="eastAsia"/>
        </w:rPr>
        <w:t>2021年末实有在职人员</w:t>
      </w:r>
      <w:r>
        <w:t>61</w:t>
      </w:r>
      <w:r>
        <w:rPr>
          <w:rFonts w:hint="eastAsia"/>
        </w:rPr>
        <w:t>人，较上年增加</w:t>
      </w:r>
      <w:r>
        <w:t>8</w:t>
      </w:r>
      <w:r>
        <w:rPr>
          <w:rFonts w:hint="eastAsia"/>
        </w:rPr>
        <w:t>人，其中：人员编制</w:t>
      </w:r>
      <w:r>
        <w:t>15</w:t>
      </w:r>
      <w:r>
        <w:rPr>
          <w:rFonts w:hint="eastAsia"/>
        </w:rPr>
        <w:t>人，年末实有在编人数</w:t>
      </w:r>
      <w:r>
        <w:t>11</w:t>
      </w:r>
      <w:r>
        <w:rPr>
          <w:rFonts w:hint="eastAsia"/>
        </w:rPr>
        <w:t>人；单位自行聘用编外人员</w:t>
      </w:r>
      <w:r>
        <w:t>5</w:t>
      </w:r>
      <w:r>
        <w:rPr>
          <w:rFonts w:hint="eastAsia"/>
        </w:rPr>
        <w:t>0人；由养老保险基金发放养老金的退休人员</w:t>
      </w:r>
      <w:r>
        <w:t>34</w:t>
      </w:r>
      <w:r>
        <w:rPr>
          <w:rFonts w:hint="eastAsia"/>
        </w:rPr>
        <w:t>人。</w:t>
      </w:r>
    </w:p>
    <w:p w:rsidR="00D27C82" w:rsidRDefault="00D27C82">
      <w:pPr>
        <w:pStyle w:val="2"/>
        <w:ind w:firstLine="640"/>
        <w:rPr>
          <w:rFonts w:ascii="黑体" w:eastAsia="黑体" w:hAnsi="黑体"/>
          <w:b w:val="0"/>
          <w:bCs w:val="0"/>
        </w:rPr>
        <w:sectPr w:rsidR="00D27C82">
          <w:footerReference w:type="even" r:id="rId8"/>
          <w:footerReference w:type="default" r:id="rId9"/>
          <w:pgSz w:w="11906" w:h="16838"/>
          <w:pgMar w:top="1440" w:right="1440" w:bottom="1440" w:left="1440" w:header="851" w:footer="992" w:gutter="0"/>
          <w:pgNumType w:fmt="numberInDash" w:start="1"/>
          <w:cols w:space="720"/>
          <w:docGrid w:linePitch="286"/>
        </w:sectPr>
      </w:pPr>
    </w:p>
    <w:p w:rsidR="00D27C82" w:rsidRDefault="00000000">
      <w:pPr>
        <w:pStyle w:val="12"/>
      </w:pPr>
      <w:bookmarkStart w:id="9" w:name="_Toc118207997"/>
      <w:bookmarkStart w:id="10" w:name="_Toc965978"/>
      <w:bookmarkStart w:id="11" w:name="_Toc989519"/>
      <w:r>
        <w:rPr>
          <w:rFonts w:hint="eastAsia"/>
        </w:rPr>
        <w:lastRenderedPageBreak/>
        <w:t>第二部分：广西壮族自治区信息安全测评中心2021年度部门决算报表</w:t>
      </w:r>
      <w:bookmarkEnd w:id="9"/>
      <w:bookmarkEnd w:id="10"/>
      <w:bookmarkEnd w:id="11"/>
    </w:p>
    <w:p w:rsidR="00D27C82" w:rsidRDefault="00000000">
      <w:pPr>
        <w:pStyle w:val="-"/>
        <w:outlineLvl w:val="1"/>
      </w:pPr>
      <w:bookmarkStart w:id="12" w:name="_Toc118207998"/>
      <w:r>
        <w:rPr>
          <w:rFonts w:hint="eastAsia"/>
        </w:rPr>
        <w:t>表</w:t>
      </w:r>
      <w:proofErr w:type="gramStart"/>
      <w:r>
        <w:rPr>
          <w:rFonts w:hint="eastAsia"/>
        </w:rPr>
        <w:t>一</w:t>
      </w:r>
      <w:proofErr w:type="gramEnd"/>
      <w:r>
        <w:rPr>
          <w:rFonts w:hint="eastAsia"/>
        </w:rPr>
        <w:t>：收入支出决算总表</w:t>
      </w:r>
      <w:bookmarkEnd w:id="12"/>
    </w:p>
    <w:p w:rsidR="00D27C82" w:rsidRDefault="00000000">
      <w:pPr>
        <w:pStyle w:val="-"/>
        <w:outlineLvl w:val="1"/>
      </w:pPr>
      <w:bookmarkStart w:id="13" w:name="_Toc118207999"/>
      <w:r>
        <w:rPr>
          <w:rFonts w:hint="eastAsia"/>
        </w:rPr>
        <w:t>表二：收入决算表</w:t>
      </w:r>
      <w:bookmarkEnd w:id="13"/>
    </w:p>
    <w:p w:rsidR="00D27C82" w:rsidRDefault="00000000">
      <w:pPr>
        <w:pStyle w:val="-"/>
        <w:outlineLvl w:val="1"/>
      </w:pPr>
      <w:bookmarkStart w:id="14" w:name="_Toc118208000"/>
      <w:r>
        <w:rPr>
          <w:rFonts w:hint="eastAsia"/>
        </w:rPr>
        <w:t>表三：支出决算表</w:t>
      </w:r>
      <w:bookmarkEnd w:id="14"/>
    </w:p>
    <w:p w:rsidR="00D27C82" w:rsidRDefault="00000000">
      <w:pPr>
        <w:pStyle w:val="-"/>
        <w:outlineLvl w:val="1"/>
      </w:pPr>
      <w:bookmarkStart w:id="15" w:name="_Toc118208001"/>
      <w:r>
        <w:rPr>
          <w:rFonts w:hint="eastAsia"/>
        </w:rPr>
        <w:t>表四：财政拨款收入支出决算总表</w:t>
      </w:r>
      <w:bookmarkEnd w:id="15"/>
    </w:p>
    <w:p w:rsidR="00D27C82" w:rsidRDefault="00000000">
      <w:pPr>
        <w:pStyle w:val="-"/>
        <w:outlineLvl w:val="1"/>
      </w:pPr>
      <w:bookmarkStart w:id="16" w:name="_Toc118208002"/>
      <w:r>
        <w:rPr>
          <w:rFonts w:hint="eastAsia"/>
        </w:rPr>
        <w:t>表五：一般公共预算财政拨款支出决算表</w:t>
      </w:r>
      <w:bookmarkEnd w:id="16"/>
    </w:p>
    <w:p w:rsidR="00D27C82" w:rsidRDefault="00000000">
      <w:pPr>
        <w:pStyle w:val="-"/>
        <w:outlineLvl w:val="1"/>
      </w:pPr>
      <w:bookmarkStart w:id="17" w:name="_Toc118208003"/>
      <w:r>
        <w:rPr>
          <w:rFonts w:hint="eastAsia"/>
        </w:rPr>
        <w:t>表六：一般公共预算财政拨款基本支出决算明细表</w:t>
      </w:r>
      <w:bookmarkEnd w:id="17"/>
    </w:p>
    <w:p w:rsidR="00D27C82" w:rsidRDefault="00000000">
      <w:pPr>
        <w:pStyle w:val="-"/>
        <w:outlineLvl w:val="1"/>
      </w:pPr>
      <w:bookmarkStart w:id="18" w:name="_Toc118208004"/>
      <w:r>
        <w:rPr>
          <w:rFonts w:hint="eastAsia"/>
        </w:rPr>
        <w:t>表七：一般公共预算财政拨款安排的“三公”经费支出决算表</w:t>
      </w:r>
      <w:bookmarkEnd w:id="18"/>
    </w:p>
    <w:p w:rsidR="00D27C82" w:rsidRDefault="00000000">
      <w:pPr>
        <w:pStyle w:val="-"/>
        <w:outlineLvl w:val="1"/>
      </w:pPr>
      <w:bookmarkStart w:id="19" w:name="_Toc118208005"/>
      <w:r>
        <w:rPr>
          <w:rFonts w:hint="eastAsia"/>
        </w:rPr>
        <w:t>表八：政府性基金预算财政拨款收入支出决算表</w:t>
      </w:r>
      <w:bookmarkEnd w:id="19"/>
    </w:p>
    <w:p w:rsidR="00D27C82" w:rsidRDefault="00000000">
      <w:pPr>
        <w:pStyle w:val="-"/>
        <w:outlineLvl w:val="1"/>
      </w:pPr>
      <w:bookmarkStart w:id="20" w:name="_Toc118208006"/>
      <w:r>
        <w:rPr>
          <w:rFonts w:hint="eastAsia"/>
        </w:rPr>
        <w:t>表九：国有资本经营预算财政拨款支出决算表</w:t>
      </w:r>
      <w:bookmarkEnd w:id="20"/>
    </w:p>
    <w:p w:rsidR="00D27C82" w:rsidRDefault="00D27C82">
      <w:pPr>
        <w:pStyle w:val="-"/>
      </w:pPr>
    </w:p>
    <w:p w:rsidR="00D27C82" w:rsidRDefault="00000000">
      <w:pPr>
        <w:pStyle w:val="-"/>
        <w:sectPr w:rsidR="00D27C82">
          <w:pgSz w:w="11906" w:h="16838"/>
          <w:pgMar w:top="1440" w:right="1440" w:bottom="1440" w:left="1440" w:header="851" w:footer="992" w:gutter="0"/>
          <w:pgNumType w:fmt="numberInDash"/>
          <w:cols w:space="720"/>
        </w:sectPr>
      </w:pPr>
      <w:r>
        <w:rPr>
          <w:rFonts w:hint="eastAsia"/>
        </w:rPr>
        <w:t>此部分另附表格，详见附件：广西壮族自治区信息安全测评中心2021年度部门决算公开表</w:t>
      </w:r>
    </w:p>
    <w:p w:rsidR="00D27C82" w:rsidRDefault="00000000">
      <w:pPr>
        <w:pStyle w:val="12"/>
      </w:pPr>
      <w:bookmarkStart w:id="21" w:name="_Toc118208007"/>
      <w:r>
        <w:rPr>
          <w:rFonts w:hint="eastAsia"/>
        </w:rPr>
        <w:lastRenderedPageBreak/>
        <w:t>第三部分：广西壮族自治区信息安全测评中心2021年部门决算情况说明</w:t>
      </w:r>
      <w:bookmarkEnd w:id="21"/>
    </w:p>
    <w:p w:rsidR="00D27C82" w:rsidRDefault="00000000">
      <w:pPr>
        <w:pStyle w:val="21"/>
      </w:pPr>
      <w:bookmarkStart w:id="22" w:name="_Toc965988"/>
      <w:bookmarkStart w:id="23" w:name="_Toc989529"/>
      <w:bookmarkStart w:id="24" w:name="_Toc118208008"/>
      <w:r>
        <w:rPr>
          <w:rFonts w:hint="eastAsia"/>
        </w:rPr>
        <w:t>一</w:t>
      </w:r>
      <w:bookmarkEnd w:id="22"/>
      <w:bookmarkEnd w:id="23"/>
      <w:r>
        <w:rPr>
          <w:rFonts w:hint="eastAsia"/>
        </w:rPr>
        <w:t>、2021年度收入支出决算总体情况</w:t>
      </w:r>
      <w:bookmarkEnd w:id="24"/>
    </w:p>
    <w:p w:rsidR="00D27C82" w:rsidRDefault="00000000">
      <w:pPr>
        <w:pStyle w:val="-"/>
      </w:pPr>
      <w:r>
        <w:rPr>
          <w:rFonts w:hint="eastAsia"/>
        </w:rPr>
        <w:t>（一）本部门2021年度总收入</w:t>
      </w:r>
      <w:r>
        <w:t>3306.86</w:t>
      </w:r>
      <w:r>
        <w:rPr>
          <w:rFonts w:hint="eastAsia"/>
        </w:rPr>
        <w:t>万元，其中本年收入</w:t>
      </w:r>
      <w:r>
        <w:t>1937.58</w:t>
      </w:r>
      <w:r>
        <w:rPr>
          <w:rFonts w:hint="eastAsia"/>
        </w:rPr>
        <w:t>万元， 较2020年度决算数减少1</w:t>
      </w:r>
      <w:r>
        <w:t>89.11</w:t>
      </w:r>
      <w:r>
        <w:rPr>
          <w:rFonts w:hint="eastAsia"/>
        </w:rPr>
        <w:t>万元，下降8</w:t>
      </w:r>
      <w:r>
        <w:t>.89</w:t>
      </w:r>
      <w:r>
        <w:rPr>
          <w:rFonts w:hint="eastAsia"/>
        </w:rPr>
        <w:t>%。收入具体情况如下。</w:t>
      </w:r>
    </w:p>
    <w:p w:rsidR="00D27C82" w:rsidRDefault="00000000">
      <w:pPr>
        <w:pStyle w:val="-"/>
      </w:pPr>
      <w:r>
        <w:rPr>
          <w:rFonts w:hint="eastAsia"/>
        </w:rPr>
        <w:t>1.一般公共预算财政拨款收入</w:t>
      </w:r>
      <w:r>
        <w:t>169.59</w:t>
      </w:r>
      <w:r>
        <w:rPr>
          <w:rFonts w:hint="eastAsia"/>
        </w:rPr>
        <w:t>万元，为自治区本级财政当年拨付的资金。较2020年度决算数增加5</w:t>
      </w:r>
      <w:r>
        <w:t>1.52</w:t>
      </w:r>
      <w:r>
        <w:rPr>
          <w:rFonts w:hint="eastAsia"/>
        </w:rPr>
        <w:t>万元，增长4</w:t>
      </w:r>
      <w:r>
        <w:t>3.64</w:t>
      </w:r>
      <w:r>
        <w:rPr>
          <w:rFonts w:hint="eastAsia"/>
        </w:rPr>
        <w:t>%，主要原因是项目专项资金增加。</w:t>
      </w:r>
    </w:p>
    <w:p w:rsidR="00D27C82" w:rsidRDefault="00000000">
      <w:pPr>
        <w:pStyle w:val="-"/>
      </w:pPr>
      <w:r>
        <w:rPr>
          <w:rFonts w:hint="eastAsia"/>
        </w:rPr>
        <w:t>2.政府性基金预算财政拨款收入0万元，</w:t>
      </w:r>
      <w:r>
        <w:rPr>
          <w:rFonts w:cs="仿宋_GB2312" w:hint="eastAsia"/>
          <w:kern w:val="0"/>
          <w:szCs w:val="32"/>
        </w:rPr>
        <w:t>为自治区本级财政当年拨付的资金。</w:t>
      </w:r>
      <w:r>
        <w:rPr>
          <w:rFonts w:hint="eastAsia"/>
        </w:rPr>
        <w:t>较2020年度</w:t>
      </w:r>
      <w:proofErr w:type="gramStart"/>
      <w:r>
        <w:rPr>
          <w:rFonts w:hint="eastAsia"/>
        </w:rPr>
        <w:t>决算数无变化</w:t>
      </w:r>
      <w:proofErr w:type="gramEnd"/>
      <w:r>
        <w:rPr>
          <w:rFonts w:hint="eastAsia"/>
        </w:rPr>
        <w:t>。</w:t>
      </w:r>
    </w:p>
    <w:p w:rsidR="00D27C82" w:rsidRDefault="00000000">
      <w:pPr>
        <w:pStyle w:val="-"/>
      </w:pPr>
      <w:r>
        <w:rPr>
          <w:rFonts w:hint="eastAsia"/>
        </w:rPr>
        <w:t>3.国有资本经营预算财政拨款收入0万元，</w:t>
      </w:r>
      <w:r>
        <w:rPr>
          <w:rFonts w:cs="仿宋_GB2312" w:hint="eastAsia"/>
          <w:kern w:val="0"/>
          <w:szCs w:val="32"/>
        </w:rPr>
        <w:t>为自治区本级财政当年拨付的资金。</w:t>
      </w:r>
      <w:r>
        <w:rPr>
          <w:rFonts w:hint="eastAsia"/>
        </w:rPr>
        <w:t>较2020年度</w:t>
      </w:r>
      <w:proofErr w:type="gramStart"/>
      <w:r>
        <w:rPr>
          <w:rFonts w:hint="eastAsia"/>
        </w:rPr>
        <w:t>决算数无变化</w:t>
      </w:r>
      <w:proofErr w:type="gramEnd"/>
      <w:r>
        <w:rPr>
          <w:rFonts w:hint="eastAsia"/>
        </w:rPr>
        <w:t>。</w:t>
      </w:r>
    </w:p>
    <w:p w:rsidR="00D27C82" w:rsidRDefault="00000000">
      <w:pPr>
        <w:pStyle w:val="-"/>
      </w:pPr>
      <w:r>
        <w:rPr>
          <w:rFonts w:hint="eastAsia"/>
        </w:rPr>
        <w:t>4.事业收入</w:t>
      </w:r>
      <w:r>
        <w:t>1767.99</w:t>
      </w:r>
      <w:r>
        <w:rPr>
          <w:rFonts w:hint="eastAsia"/>
        </w:rPr>
        <w:t>万元，为事业单位开展业务活动取得的收入。较2020年度决算数减少2</w:t>
      </w:r>
      <w:r>
        <w:t>40.63</w:t>
      </w:r>
      <w:r>
        <w:rPr>
          <w:rFonts w:hint="eastAsia"/>
        </w:rPr>
        <w:t>万元，下降1</w:t>
      </w:r>
      <w:r>
        <w:t>1.98</w:t>
      </w:r>
      <w:r>
        <w:rPr>
          <w:rFonts w:hint="eastAsia"/>
        </w:rPr>
        <w:t>%，主要原因是受疫情影响，经济下行，部分检测项目已完成，尚未收到款项。</w:t>
      </w:r>
    </w:p>
    <w:p w:rsidR="00D27C82" w:rsidRDefault="00000000">
      <w:pPr>
        <w:pStyle w:val="-"/>
      </w:pPr>
      <w:r>
        <w:rPr>
          <w:rFonts w:hint="eastAsia"/>
        </w:rPr>
        <w:t>5.经营收入0万元，</w:t>
      </w:r>
      <w:r>
        <w:rPr>
          <w:rFonts w:cs="仿宋_GB2312" w:hint="eastAsia"/>
          <w:kern w:val="0"/>
          <w:szCs w:val="32"/>
        </w:rPr>
        <w:t>为事业单位在业务活动之外开展非独立核算经营活动取得的收入。</w:t>
      </w:r>
      <w:r>
        <w:rPr>
          <w:rFonts w:hint="eastAsia"/>
        </w:rPr>
        <w:t>较2020年度</w:t>
      </w:r>
      <w:proofErr w:type="gramStart"/>
      <w:r>
        <w:rPr>
          <w:rFonts w:hint="eastAsia"/>
        </w:rPr>
        <w:t>决算数无变化</w:t>
      </w:r>
      <w:proofErr w:type="gramEnd"/>
      <w:r>
        <w:rPr>
          <w:rFonts w:hint="eastAsia"/>
        </w:rPr>
        <w:t>。</w:t>
      </w:r>
    </w:p>
    <w:p w:rsidR="00D27C82" w:rsidRDefault="00000000">
      <w:pPr>
        <w:pStyle w:val="-"/>
      </w:pPr>
      <w:r>
        <w:rPr>
          <w:rFonts w:hint="eastAsia"/>
        </w:rPr>
        <w:t>6.其他收入0万元，为预算单位在“财政拨款收入”“事业收入”“经营收入”之外取得的收入。较2020年度</w:t>
      </w:r>
      <w:proofErr w:type="gramStart"/>
      <w:r>
        <w:rPr>
          <w:rFonts w:hint="eastAsia"/>
        </w:rPr>
        <w:t>决算数无变化</w:t>
      </w:r>
      <w:proofErr w:type="gramEnd"/>
      <w:r>
        <w:rPr>
          <w:rFonts w:hint="eastAsia"/>
        </w:rPr>
        <w:t>。</w:t>
      </w:r>
    </w:p>
    <w:p w:rsidR="00D27C82" w:rsidRDefault="00000000">
      <w:pPr>
        <w:pStyle w:val="-"/>
      </w:pPr>
      <w:r>
        <w:rPr>
          <w:rFonts w:hint="eastAsia"/>
        </w:rPr>
        <w:t>7.使用非财政拨款结余0万元，主要是所属事业单位在当年的“财政拨款收入”“事业收入”“经营收入”及“其他收入”不能</w:t>
      </w:r>
      <w:r>
        <w:rPr>
          <w:rFonts w:hint="eastAsia"/>
        </w:rPr>
        <w:lastRenderedPageBreak/>
        <w:t>保证其支出的情况下，使用以前年度积累的非财政拨款结余弥补本年度收支缺口的资金。较2020年度</w:t>
      </w:r>
      <w:proofErr w:type="gramStart"/>
      <w:r>
        <w:rPr>
          <w:rFonts w:hint="eastAsia"/>
        </w:rPr>
        <w:t>决算数无变化</w:t>
      </w:r>
      <w:proofErr w:type="gramEnd"/>
      <w:r>
        <w:rPr>
          <w:rFonts w:hint="eastAsia"/>
        </w:rPr>
        <w:t>。</w:t>
      </w:r>
    </w:p>
    <w:p w:rsidR="00D27C82" w:rsidRDefault="00000000">
      <w:pPr>
        <w:pStyle w:val="-"/>
      </w:pPr>
      <w:r>
        <w:rPr>
          <w:rFonts w:hint="eastAsia"/>
        </w:rPr>
        <w:t>8.上年结转和结余</w:t>
      </w:r>
      <w:r>
        <w:t>1369.28</w:t>
      </w:r>
      <w:r>
        <w:rPr>
          <w:rFonts w:hint="eastAsia"/>
        </w:rPr>
        <w:t>万元，为以前年度支出预算因客观条件变化未执行完毕、结转到本年度按有关规定继续使用的资金。较2020年度决算数增加</w:t>
      </w:r>
      <w:r>
        <w:t>438.56</w:t>
      </w:r>
      <w:r>
        <w:rPr>
          <w:rFonts w:hint="eastAsia"/>
        </w:rPr>
        <w:t>万元，增长</w:t>
      </w:r>
      <w:r>
        <w:t>47.12</w:t>
      </w:r>
      <w:r>
        <w:rPr>
          <w:rFonts w:hint="eastAsia"/>
        </w:rPr>
        <w:t>%，主要原因是2021年度信息安全测评业务量急剧上升，事业收入增幅较大，很多项目是跨年度执行。</w:t>
      </w:r>
    </w:p>
    <w:p w:rsidR="00D27C82" w:rsidRDefault="00000000">
      <w:pPr>
        <w:pStyle w:val="-"/>
      </w:pPr>
      <w:r>
        <w:rPr>
          <w:rFonts w:hint="eastAsia"/>
        </w:rPr>
        <w:t>（二）本部门2021年度总支出</w:t>
      </w:r>
      <w:r>
        <w:t>3306.86</w:t>
      </w:r>
      <w:r>
        <w:rPr>
          <w:rFonts w:hint="eastAsia"/>
        </w:rPr>
        <w:t>万元，其中本年支出</w:t>
      </w:r>
      <w:r>
        <w:t>1999.48</w:t>
      </w:r>
      <w:r>
        <w:rPr>
          <w:rFonts w:hint="eastAsia"/>
        </w:rPr>
        <w:t>万元， 较2020年度决算数增加</w:t>
      </w:r>
      <w:r>
        <w:t>311.35</w:t>
      </w:r>
      <w:r>
        <w:rPr>
          <w:rFonts w:hint="eastAsia"/>
        </w:rPr>
        <w:t>万元，增长</w:t>
      </w:r>
      <w:r>
        <w:t>18.44</w:t>
      </w:r>
      <w:r>
        <w:rPr>
          <w:rFonts w:hint="eastAsia"/>
        </w:rPr>
        <w:t>%。支出具体情况如下：</w:t>
      </w:r>
    </w:p>
    <w:p w:rsidR="00D27C82" w:rsidRDefault="00000000">
      <w:pPr>
        <w:pStyle w:val="-"/>
      </w:pPr>
      <w:r>
        <w:rPr>
          <w:rFonts w:hint="eastAsia"/>
        </w:rPr>
        <w:t>1.</w:t>
      </w:r>
      <w:bookmarkStart w:id="25" w:name="_Hlk80111924"/>
      <w:r>
        <w:rPr>
          <w:rFonts w:hint="eastAsia"/>
        </w:rPr>
        <w:t>科学技术支出</w:t>
      </w:r>
      <w:bookmarkEnd w:id="25"/>
      <w:r>
        <w:rPr>
          <w:rFonts w:hint="eastAsia"/>
        </w:rPr>
        <w:t>（类）</w:t>
      </w:r>
      <w:r>
        <w:t>1903.36</w:t>
      </w:r>
      <w:r>
        <w:rPr>
          <w:rFonts w:hint="eastAsia"/>
        </w:rPr>
        <w:t>万元，主要用于人员经费及保障中心工作正常运行的日常公用经费。其中：其他技术研究与开发支出5</w:t>
      </w:r>
      <w:r>
        <w:t>0.00</w:t>
      </w:r>
      <w:r>
        <w:rPr>
          <w:rFonts w:hint="eastAsia"/>
        </w:rPr>
        <w:t>万元，机构运行5</w:t>
      </w:r>
      <w:r>
        <w:t>2.58</w:t>
      </w:r>
      <w:r>
        <w:rPr>
          <w:rFonts w:hint="eastAsia"/>
        </w:rPr>
        <w:t>万元，其他科技条件与服务支出1</w:t>
      </w:r>
      <w:r>
        <w:t>800.78</w:t>
      </w:r>
      <w:r>
        <w:rPr>
          <w:rFonts w:hint="eastAsia"/>
        </w:rPr>
        <w:t>万元。较2020年度决算数增加</w:t>
      </w:r>
      <w:r>
        <w:t>247.36</w:t>
      </w:r>
      <w:r>
        <w:rPr>
          <w:rFonts w:hint="eastAsia"/>
        </w:rPr>
        <w:t>万元，增长</w:t>
      </w:r>
      <w:r>
        <w:t>14.94</w:t>
      </w:r>
      <w:r>
        <w:rPr>
          <w:rFonts w:hint="eastAsia"/>
        </w:rPr>
        <w:t>%，主要原因是检测人员增加，人员经费随之增加。</w:t>
      </w:r>
    </w:p>
    <w:p w:rsidR="00D27C82" w:rsidRDefault="00000000">
      <w:pPr>
        <w:pStyle w:val="-"/>
      </w:pPr>
      <w:r>
        <w:rPr>
          <w:rFonts w:hint="eastAsia"/>
        </w:rPr>
        <w:t>2</w:t>
      </w:r>
      <w:r>
        <w:t>.</w:t>
      </w:r>
      <w:bookmarkStart w:id="26" w:name="_Hlk80112003"/>
      <w:r>
        <w:rPr>
          <w:rFonts w:hint="eastAsia"/>
        </w:rPr>
        <w:t>社会保障和就业支出</w:t>
      </w:r>
      <w:bookmarkEnd w:id="26"/>
      <w:r>
        <w:rPr>
          <w:rFonts w:hint="eastAsia"/>
        </w:rPr>
        <w:t>（类）</w:t>
      </w:r>
      <w:r>
        <w:t>28.79</w:t>
      </w:r>
      <w:r>
        <w:rPr>
          <w:rFonts w:hint="eastAsia"/>
        </w:rPr>
        <w:t>万元，主要用于退休费、职工养老保险、职业年金缴费支出。其中：事业单位离退休7</w:t>
      </w:r>
      <w:r>
        <w:t>.62</w:t>
      </w:r>
      <w:r>
        <w:rPr>
          <w:rFonts w:hint="eastAsia"/>
        </w:rPr>
        <w:t>万元，机关事业单位基本养老保险缴费支出9</w:t>
      </w:r>
      <w:r>
        <w:t>.44</w:t>
      </w:r>
      <w:r>
        <w:rPr>
          <w:rFonts w:hint="eastAsia"/>
        </w:rPr>
        <w:t>万元，机关事业单位职业年金缴费支出4</w:t>
      </w:r>
      <w:r>
        <w:t>.72</w:t>
      </w:r>
      <w:r>
        <w:rPr>
          <w:rFonts w:hint="eastAsia"/>
        </w:rPr>
        <w:t>万元，死亡抚恤7</w:t>
      </w:r>
      <w:r>
        <w:t>.01</w:t>
      </w:r>
      <w:r>
        <w:rPr>
          <w:rFonts w:hint="eastAsia"/>
        </w:rPr>
        <w:t>万元。较2020年度决算数增加8</w:t>
      </w:r>
      <w:r>
        <w:t>.38</w:t>
      </w:r>
      <w:r>
        <w:rPr>
          <w:rFonts w:hint="eastAsia"/>
        </w:rPr>
        <w:t>万元，增长4</w:t>
      </w:r>
      <w:r>
        <w:t>1.06%</w:t>
      </w:r>
      <w:r>
        <w:rPr>
          <w:rFonts w:hint="eastAsia"/>
        </w:rPr>
        <w:t>，主要原因是增加1人死亡抚恤金。</w:t>
      </w:r>
    </w:p>
    <w:p w:rsidR="00D27C82" w:rsidRDefault="00000000">
      <w:pPr>
        <w:pStyle w:val="-"/>
      </w:pPr>
      <w:r>
        <w:rPr>
          <w:rFonts w:hint="eastAsia"/>
        </w:rPr>
        <w:t>3</w:t>
      </w:r>
      <w:r>
        <w:t>.</w:t>
      </w:r>
      <w:bookmarkStart w:id="27" w:name="_Hlk80112045"/>
      <w:r>
        <w:rPr>
          <w:rFonts w:hint="eastAsia"/>
        </w:rPr>
        <w:t>卫生健康支出</w:t>
      </w:r>
      <w:bookmarkEnd w:id="27"/>
      <w:r>
        <w:rPr>
          <w:rFonts w:hint="eastAsia"/>
        </w:rPr>
        <w:t>（类）</w:t>
      </w:r>
      <w:r>
        <w:t>4.41</w:t>
      </w:r>
      <w:r>
        <w:rPr>
          <w:rFonts w:hint="eastAsia"/>
        </w:rPr>
        <w:t>万元，主要用于医疗保险支出。较2020年度决算数增加0</w:t>
      </w:r>
      <w:r>
        <w:t>.49</w:t>
      </w:r>
      <w:r>
        <w:rPr>
          <w:rFonts w:hint="eastAsia"/>
        </w:rPr>
        <w:t>万元，增长1</w:t>
      </w:r>
      <w:r>
        <w:t>2.50</w:t>
      </w:r>
      <w:r>
        <w:rPr>
          <w:rFonts w:hint="eastAsia"/>
        </w:rPr>
        <w:t>%，主要原因是医疗保险支出增加。</w:t>
      </w:r>
    </w:p>
    <w:p w:rsidR="00D27C82" w:rsidRDefault="00000000">
      <w:pPr>
        <w:pStyle w:val="-"/>
      </w:pPr>
      <w:r>
        <w:lastRenderedPageBreak/>
        <w:t>4</w:t>
      </w:r>
      <w:r>
        <w:rPr>
          <w:rFonts w:hint="eastAsia"/>
        </w:rPr>
        <w:t>.资源勘探工业信息等支出（类）</w:t>
      </w:r>
      <w:r>
        <w:t>55.59</w:t>
      </w:r>
      <w:r>
        <w:rPr>
          <w:rFonts w:hint="eastAsia"/>
        </w:rPr>
        <w:t>万元，主要用于全区信息安全检查工作。较2020年度决算数增长5</w:t>
      </w:r>
      <w:r>
        <w:t>4.49</w:t>
      </w:r>
      <w:r>
        <w:rPr>
          <w:rFonts w:hint="eastAsia"/>
        </w:rPr>
        <w:t>万元，增长4</w:t>
      </w:r>
      <w:r>
        <w:t>953.64</w:t>
      </w:r>
      <w:r>
        <w:rPr>
          <w:rFonts w:hint="eastAsia"/>
        </w:rPr>
        <w:t>%，主要原因是</w:t>
      </w:r>
      <w:r>
        <w:t>2021</w:t>
      </w:r>
      <w:r>
        <w:rPr>
          <w:rFonts w:hint="eastAsia"/>
        </w:rPr>
        <w:t>年增加信息安全检查经费5</w:t>
      </w:r>
      <w:r>
        <w:t>5.59</w:t>
      </w:r>
      <w:r>
        <w:rPr>
          <w:rFonts w:hint="eastAsia"/>
        </w:rPr>
        <w:t>万元。</w:t>
      </w:r>
    </w:p>
    <w:p w:rsidR="00D27C82" w:rsidRDefault="00000000">
      <w:pPr>
        <w:pStyle w:val="-"/>
      </w:pPr>
      <w:r>
        <w:t>5</w:t>
      </w:r>
      <w:r>
        <w:rPr>
          <w:rFonts w:hint="eastAsia"/>
        </w:rPr>
        <w:t>.</w:t>
      </w:r>
      <w:bookmarkStart w:id="28" w:name="_Hlk80112104"/>
      <w:r>
        <w:rPr>
          <w:rFonts w:hint="eastAsia"/>
        </w:rPr>
        <w:t>住房保障支出</w:t>
      </w:r>
      <w:bookmarkEnd w:id="28"/>
      <w:r>
        <w:rPr>
          <w:rFonts w:hint="eastAsia"/>
        </w:rPr>
        <w:t>（类）</w:t>
      </w:r>
      <w:r>
        <w:t>7.34</w:t>
      </w:r>
      <w:r>
        <w:rPr>
          <w:rFonts w:hint="eastAsia"/>
        </w:rPr>
        <w:t>万元，主要用于职工公积金缴费支出。较2020年度决算数增加0</w:t>
      </w:r>
      <w:r>
        <w:t>.64</w:t>
      </w:r>
      <w:r>
        <w:rPr>
          <w:rFonts w:hint="eastAsia"/>
        </w:rPr>
        <w:t>万元，增长9</w:t>
      </w:r>
      <w:r>
        <w:t>.55</w:t>
      </w:r>
      <w:r>
        <w:rPr>
          <w:rFonts w:hint="eastAsia"/>
        </w:rPr>
        <w:t>%，主要原因是职工公积金缴费支出增加。</w:t>
      </w:r>
    </w:p>
    <w:p w:rsidR="00D27C82" w:rsidRDefault="00000000">
      <w:pPr>
        <w:pStyle w:val="-"/>
      </w:pPr>
      <w:r>
        <w:t>6</w:t>
      </w:r>
      <w:r>
        <w:rPr>
          <w:rFonts w:hint="eastAsia"/>
        </w:rPr>
        <w:t>.结余分配0万元，</w:t>
      </w:r>
      <w:r>
        <w:rPr>
          <w:rFonts w:cs="仿宋_GB2312" w:hint="eastAsia"/>
          <w:kern w:val="0"/>
          <w:szCs w:val="32"/>
        </w:rPr>
        <w:t>为事业单位按规定提取的专用结余、缴纳所得税和转入非财政拨款结余等。</w:t>
      </w:r>
      <w:r>
        <w:rPr>
          <w:rFonts w:hAnsi="黑体" w:cs="仿宋_GB2312" w:hint="eastAsia"/>
          <w:kern w:val="0"/>
          <w:szCs w:val="32"/>
        </w:rPr>
        <w:t>较2020年度</w:t>
      </w:r>
      <w:proofErr w:type="gramStart"/>
      <w:r>
        <w:rPr>
          <w:rFonts w:hAnsi="黑体" w:cs="仿宋_GB2312" w:hint="eastAsia"/>
          <w:kern w:val="0"/>
          <w:szCs w:val="32"/>
        </w:rPr>
        <w:t>决算数无变化</w:t>
      </w:r>
      <w:proofErr w:type="gramEnd"/>
      <w:r>
        <w:rPr>
          <w:rFonts w:hint="eastAsia"/>
        </w:rPr>
        <w:t>。</w:t>
      </w:r>
    </w:p>
    <w:p w:rsidR="00D27C82" w:rsidRDefault="00000000">
      <w:pPr>
        <w:pStyle w:val="-"/>
      </w:pPr>
      <w:r>
        <w:t>7</w:t>
      </w:r>
      <w:r>
        <w:rPr>
          <w:rFonts w:hint="eastAsia"/>
        </w:rPr>
        <w:t>.年末结转和结余</w:t>
      </w:r>
      <w:r>
        <w:t>1307.37</w:t>
      </w:r>
      <w:r>
        <w:rPr>
          <w:rFonts w:hint="eastAsia"/>
        </w:rPr>
        <w:t>万元，为本年度或以前年度预算安排、因客观条件发生变化无法按原计划实施，需要延迟到以后年度按有关规定继续使用的资金。较2020年度决算数减少6</w:t>
      </w:r>
      <w:r>
        <w:t>1.91</w:t>
      </w:r>
      <w:r>
        <w:rPr>
          <w:rFonts w:hint="eastAsia"/>
        </w:rPr>
        <w:t>万元，下降4</w:t>
      </w:r>
      <w:r>
        <w:t>.52</w:t>
      </w:r>
      <w:r>
        <w:rPr>
          <w:rFonts w:hint="eastAsia"/>
        </w:rPr>
        <w:t>%，主要</w:t>
      </w:r>
      <w:bookmarkStart w:id="29" w:name="_Toc989533"/>
      <w:bookmarkStart w:id="30" w:name="_Toc965992"/>
      <w:r>
        <w:rPr>
          <w:rFonts w:hint="eastAsia"/>
        </w:rPr>
        <w:t>原因是受疫情影响，经济下行，部分检测项目已完成，尚未收到款项。</w:t>
      </w:r>
    </w:p>
    <w:p w:rsidR="00D27C82" w:rsidRDefault="00000000">
      <w:pPr>
        <w:pStyle w:val="21"/>
      </w:pPr>
      <w:bookmarkStart w:id="31" w:name="_Toc118208009"/>
      <w:r>
        <w:rPr>
          <w:rFonts w:hint="eastAsia"/>
        </w:rPr>
        <w:t>二</w:t>
      </w:r>
      <w:bookmarkEnd w:id="29"/>
      <w:bookmarkEnd w:id="30"/>
      <w:r>
        <w:rPr>
          <w:rFonts w:hint="eastAsia"/>
        </w:rPr>
        <w:t>、2021 年度一般公共预算财政拨款支出决算情况</w:t>
      </w:r>
      <w:bookmarkEnd w:id="31"/>
    </w:p>
    <w:p w:rsidR="00D27C82" w:rsidRDefault="00000000">
      <w:pPr>
        <w:pStyle w:val="-"/>
      </w:pPr>
      <w:r>
        <w:rPr>
          <w:rFonts w:hint="eastAsia"/>
        </w:rPr>
        <w:t>广西壮族自治区信息安全测评中心</w:t>
      </w:r>
      <w:r>
        <w:t>2021</w:t>
      </w:r>
      <w:r>
        <w:rPr>
          <w:rFonts w:hint="eastAsia"/>
        </w:rPr>
        <w:t xml:space="preserve"> 年度一般公共预算财政拨款支出</w:t>
      </w:r>
      <w:r>
        <w:t>169.59</w:t>
      </w:r>
      <w:r>
        <w:rPr>
          <w:rFonts w:hint="eastAsia"/>
        </w:rPr>
        <w:t>万元，较2020年度决算数增加5</w:t>
      </w:r>
      <w:r>
        <w:t>1.52</w:t>
      </w:r>
      <w:r>
        <w:rPr>
          <w:rFonts w:hint="eastAsia"/>
        </w:rPr>
        <w:t>万元，增加4</w:t>
      </w:r>
      <w:r>
        <w:t>3.64</w:t>
      </w:r>
      <w:r>
        <w:rPr>
          <w:rFonts w:hint="eastAsia"/>
        </w:rPr>
        <w:t>%。其中：基本支出</w:t>
      </w:r>
      <w:r>
        <w:t>103.78</w:t>
      </w:r>
      <w:r>
        <w:rPr>
          <w:rFonts w:hint="eastAsia"/>
        </w:rPr>
        <w:t>万元，项目支出</w:t>
      </w:r>
      <w:r>
        <w:t>65.81</w:t>
      </w:r>
      <w:r>
        <w:rPr>
          <w:rFonts w:hint="eastAsia"/>
        </w:rPr>
        <w:t>万元。</w:t>
      </w:r>
    </w:p>
    <w:p w:rsidR="00D27C82" w:rsidRDefault="00000000">
      <w:pPr>
        <w:pStyle w:val="-"/>
      </w:pPr>
      <w:r>
        <w:rPr>
          <w:rFonts w:hint="eastAsia"/>
        </w:rPr>
        <w:t>广西壮族自治区信息安全测评中心2021年度一般公共预算财政拨款支出年初预算为</w:t>
      </w:r>
      <w:r>
        <w:t>165.32</w:t>
      </w:r>
      <w:r>
        <w:rPr>
          <w:rFonts w:hint="eastAsia"/>
        </w:rPr>
        <w:t>万元，支出决算为</w:t>
      </w:r>
      <w:r>
        <w:t>169.59</w:t>
      </w:r>
      <w:r>
        <w:rPr>
          <w:rFonts w:hint="eastAsia"/>
        </w:rPr>
        <w:t>万元，完成年初预算的</w:t>
      </w:r>
      <w:r>
        <w:t>102.58%</w:t>
      </w:r>
      <w:r>
        <w:rPr>
          <w:rFonts w:hint="eastAsia"/>
        </w:rPr>
        <w:t>。</w:t>
      </w:r>
    </w:p>
    <w:p w:rsidR="00D27C82" w:rsidRDefault="00000000">
      <w:pPr>
        <w:pStyle w:val="-"/>
      </w:pPr>
      <w:r>
        <w:rPr>
          <w:rFonts w:hint="eastAsia"/>
        </w:rPr>
        <w:t>（一）科学技术支出（类）年初预算为</w:t>
      </w:r>
      <w:r>
        <w:t>139.91</w:t>
      </w:r>
      <w:r>
        <w:rPr>
          <w:rFonts w:hint="eastAsia"/>
        </w:rPr>
        <w:t>万元，支出决</w:t>
      </w:r>
      <w:r>
        <w:rPr>
          <w:rFonts w:hint="eastAsia"/>
        </w:rPr>
        <w:lastRenderedPageBreak/>
        <w:t>算为</w:t>
      </w:r>
      <w:r>
        <w:t>136.41</w:t>
      </w:r>
      <w:r>
        <w:rPr>
          <w:rFonts w:hint="eastAsia"/>
        </w:rPr>
        <w:t>万元，完成年初预算的</w:t>
      </w:r>
      <w:r>
        <w:t>97.50</w:t>
      </w:r>
      <w:r>
        <w:rPr>
          <w:rFonts w:hint="eastAsia"/>
        </w:rPr>
        <w:t>%，主要用于人员经费和日常公用经费支出、物业管理费、残疾人保障金及党建、工会、妇</w:t>
      </w:r>
      <w:proofErr w:type="gramStart"/>
      <w:r>
        <w:rPr>
          <w:rFonts w:hint="eastAsia"/>
        </w:rPr>
        <w:t>委活动</w:t>
      </w:r>
      <w:proofErr w:type="gramEnd"/>
      <w:r>
        <w:rPr>
          <w:rFonts w:hint="eastAsia"/>
        </w:rPr>
        <w:t>费等项目支出。</w:t>
      </w:r>
    </w:p>
    <w:p w:rsidR="00D27C82" w:rsidRDefault="00000000">
      <w:pPr>
        <w:pStyle w:val="-"/>
      </w:pPr>
      <w:r>
        <w:rPr>
          <w:rFonts w:hint="eastAsia"/>
        </w:rPr>
        <w:t>1</w:t>
      </w:r>
      <w:r>
        <w:t>.</w:t>
      </w:r>
      <w:r>
        <w:rPr>
          <w:rFonts w:hint="eastAsia"/>
        </w:rPr>
        <w:t>科学技术支出（类）技术研究与开发（款）其他技术研究与开发支出（项）年初预算为</w:t>
      </w:r>
      <w:r>
        <w:t>50.00</w:t>
      </w:r>
      <w:r>
        <w:rPr>
          <w:rFonts w:hint="eastAsia"/>
        </w:rPr>
        <w:t>万元，支出决算为</w:t>
      </w:r>
      <w:r>
        <w:t>50.00</w:t>
      </w:r>
      <w:r>
        <w:rPr>
          <w:rFonts w:hint="eastAsia"/>
        </w:rPr>
        <w:t>万元，完成年初预算的</w:t>
      </w:r>
      <w:r>
        <w:t>100%</w:t>
      </w:r>
      <w:r>
        <w:rPr>
          <w:rFonts w:hint="eastAsia"/>
        </w:rPr>
        <w:t>，无差异。</w:t>
      </w:r>
    </w:p>
    <w:p w:rsidR="00D27C82" w:rsidRDefault="00000000">
      <w:pPr>
        <w:pStyle w:val="-"/>
      </w:pPr>
      <w:r>
        <w:rPr>
          <w:rFonts w:hint="eastAsia"/>
        </w:rPr>
        <w:t>2</w:t>
      </w:r>
      <w:r>
        <w:t>.</w:t>
      </w:r>
      <w:r>
        <w:rPr>
          <w:rFonts w:hint="eastAsia"/>
        </w:rPr>
        <w:t>科学技术支出（类）科学条件与服务（款）机构运行（项）年初预算为</w:t>
      </w:r>
      <w:r>
        <w:t>22.11</w:t>
      </w:r>
      <w:r>
        <w:rPr>
          <w:rFonts w:hint="eastAsia"/>
        </w:rPr>
        <w:t>万元，支出决算为</w:t>
      </w:r>
      <w:r>
        <w:t>18.61</w:t>
      </w:r>
      <w:r>
        <w:rPr>
          <w:rFonts w:hint="eastAsia"/>
        </w:rPr>
        <w:t>万元，完成年初预算的</w:t>
      </w:r>
      <w:r>
        <w:t>84.17%</w:t>
      </w:r>
      <w:r>
        <w:rPr>
          <w:rFonts w:hint="eastAsia"/>
        </w:rPr>
        <w:t>。差异的原因是继续认真贯彻落实中央八项规定精神和“过紧日子”要求，压缩各项支出，有效减少“三公”经费、会议费支出。</w:t>
      </w:r>
    </w:p>
    <w:p w:rsidR="00D27C82" w:rsidRDefault="00000000">
      <w:pPr>
        <w:pStyle w:val="-"/>
      </w:pPr>
      <w:r>
        <w:rPr>
          <w:rFonts w:hint="eastAsia"/>
        </w:rPr>
        <w:t>3</w:t>
      </w:r>
      <w:r>
        <w:t>.</w:t>
      </w:r>
      <w:r>
        <w:rPr>
          <w:rFonts w:hint="eastAsia"/>
        </w:rPr>
        <w:t>科学技术支出（类）科学条件与服务（款）其他科技条件与服务支出（项）年初预算为</w:t>
      </w:r>
      <w:r>
        <w:t>67.80</w:t>
      </w:r>
      <w:r>
        <w:rPr>
          <w:rFonts w:hint="eastAsia"/>
        </w:rPr>
        <w:t>万元，支出决算为</w:t>
      </w:r>
      <w:r>
        <w:t>67.80</w:t>
      </w:r>
      <w:r>
        <w:rPr>
          <w:rFonts w:hint="eastAsia"/>
        </w:rPr>
        <w:t>万元，完成年初预算的</w:t>
      </w:r>
      <w:r>
        <w:t>100%</w:t>
      </w:r>
      <w:r>
        <w:rPr>
          <w:rFonts w:hint="eastAsia"/>
        </w:rPr>
        <w:t>，无差异。</w:t>
      </w:r>
    </w:p>
    <w:p w:rsidR="00D27C82" w:rsidRDefault="00000000">
      <w:pPr>
        <w:pStyle w:val="-"/>
      </w:pPr>
      <w:r>
        <w:rPr>
          <w:rFonts w:hint="eastAsia"/>
        </w:rPr>
        <w:t>（二）社会保障和就业支出（类）年初预算为</w:t>
      </w:r>
      <w:r>
        <w:t>13.96</w:t>
      </w:r>
      <w:r>
        <w:rPr>
          <w:rFonts w:hint="eastAsia"/>
        </w:rPr>
        <w:t>万元，支出决算为</w:t>
      </w:r>
      <w:r>
        <w:t>21.43</w:t>
      </w:r>
      <w:r>
        <w:rPr>
          <w:rFonts w:hint="eastAsia"/>
        </w:rPr>
        <w:t>万元，完成年初预算的</w:t>
      </w:r>
      <w:r>
        <w:t>153.51</w:t>
      </w:r>
      <w:r>
        <w:rPr>
          <w:rFonts w:hint="eastAsia"/>
        </w:rPr>
        <w:t>%，差异的原因是2021年追加退休抚恤金预算。主要用于社会保障缴费、离退休人员生活补助及抚恤金。</w:t>
      </w:r>
    </w:p>
    <w:p w:rsidR="00D27C82" w:rsidRDefault="00000000">
      <w:pPr>
        <w:pStyle w:val="-"/>
      </w:pPr>
      <w:r>
        <w:rPr>
          <w:rFonts w:hint="eastAsia"/>
        </w:rPr>
        <w:t>1</w:t>
      </w:r>
      <w:r>
        <w:t>.</w:t>
      </w:r>
      <w:r>
        <w:rPr>
          <w:rFonts w:hint="eastAsia"/>
        </w:rPr>
        <w:t>社会保障和就业支出（类）行政事业单位养老支出（款）事业单位离退休（项）年初预算为</w:t>
      </w:r>
      <w:r>
        <w:t>4.52</w:t>
      </w:r>
      <w:r>
        <w:rPr>
          <w:rFonts w:hint="eastAsia"/>
        </w:rPr>
        <w:t>万元，支出决算为</w:t>
      </w:r>
      <w:r>
        <w:t>4.98</w:t>
      </w:r>
      <w:r>
        <w:rPr>
          <w:rFonts w:hint="eastAsia"/>
        </w:rPr>
        <w:t>万元，完成年初预算的</w:t>
      </w:r>
      <w:r>
        <w:t>110.18%</w:t>
      </w:r>
      <w:r>
        <w:rPr>
          <w:rFonts w:hint="eastAsia"/>
        </w:rPr>
        <w:t>。差异的原因是</w:t>
      </w:r>
      <w:bookmarkStart w:id="32" w:name="_Hlk118191119"/>
      <w:r>
        <w:rPr>
          <w:rFonts w:hint="eastAsia"/>
        </w:rPr>
        <w:t>追加改革前获得荣誉改革后退休人员退休补助</w:t>
      </w:r>
      <w:bookmarkEnd w:id="32"/>
      <w:r>
        <w:rPr>
          <w:rFonts w:hint="eastAsia"/>
        </w:rPr>
        <w:t>预算。</w:t>
      </w:r>
    </w:p>
    <w:p w:rsidR="00D27C82" w:rsidRDefault="00000000">
      <w:pPr>
        <w:pStyle w:val="-"/>
      </w:pPr>
      <w:r>
        <w:rPr>
          <w:rFonts w:hint="eastAsia"/>
        </w:rPr>
        <w:t>2</w:t>
      </w:r>
      <w:r>
        <w:t>.</w:t>
      </w:r>
      <w:r>
        <w:rPr>
          <w:rFonts w:hint="eastAsia"/>
        </w:rPr>
        <w:t>社会保障和就业支出（类）行政事业单位养老支出（款）机关事业单位基本养老保险缴费支出（项）年初预算为</w:t>
      </w:r>
      <w:r>
        <w:t>9.44</w:t>
      </w:r>
      <w:r>
        <w:rPr>
          <w:rFonts w:hint="eastAsia"/>
        </w:rPr>
        <w:t>万元，</w:t>
      </w:r>
      <w:r>
        <w:rPr>
          <w:rFonts w:hint="eastAsia"/>
        </w:rPr>
        <w:lastRenderedPageBreak/>
        <w:t>支出决算为</w:t>
      </w:r>
      <w:r>
        <w:t>9.44</w:t>
      </w:r>
      <w:r>
        <w:rPr>
          <w:rFonts w:hint="eastAsia"/>
        </w:rPr>
        <w:t>万元，完成年初预算的</w:t>
      </w:r>
      <w:r>
        <w:t>100%</w:t>
      </w:r>
      <w:r>
        <w:rPr>
          <w:rFonts w:hint="eastAsia"/>
        </w:rPr>
        <w:t>，无差异。</w:t>
      </w:r>
    </w:p>
    <w:p w:rsidR="00D27C82" w:rsidRDefault="00000000">
      <w:pPr>
        <w:pStyle w:val="-"/>
      </w:pPr>
      <w:r>
        <w:rPr>
          <w:rFonts w:hint="eastAsia"/>
        </w:rPr>
        <w:t>3</w:t>
      </w:r>
      <w:r>
        <w:t>.</w:t>
      </w:r>
      <w:r>
        <w:rPr>
          <w:rFonts w:hint="eastAsia"/>
        </w:rPr>
        <w:t>社会保障和就业支出（类）抚恤（款）死亡抚恤（项）年初预算为</w:t>
      </w:r>
      <w:r>
        <w:t>0</w:t>
      </w:r>
      <w:r>
        <w:rPr>
          <w:rFonts w:hint="eastAsia"/>
        </w:rPr>
        <w:t>万元，支出决算为</w:t>
      </w:r>
      <w:r>
        <w:t>7.01</w:t>
      </w:r>
      <w:r>
        <w:rPr>
          <w:rFonts w:hint="eastAsia"/>
        </w:rPr>
        <w:t>万元，完成预算的</w:t>
      </w:r>
      <w:r>
        <w:t>100%</w:t>
      </w:r>
      <w:r>
        <w:rPr>
          <w:rFonts w:hint="eastAsia"/>
        </w:rPr>
        <w:t>。差异的原因是追加退休抚恤金预算。</w:t>
      </w:r>
    </w:p>
    <w:p w:rsidR="00D27C82" w:rsidRDefault="00000000">
      <w:pPr>
        <w:pStyle w:val="-"/>
      </w:pPr>
      <w:r>
        <w:rPr>
          <w:rFonts w:hint="eastAsia"/>
        </w:rPr>
        <w:t>（三）卫生健康支出（类）行政事业单位医疗（款）事业单位医疗（项）年初预算为</w:t>
      </w:r>
      <w:r>
        <w:t>4.37</w:t>
      </w:r>
      <w:r>
        <w:rPr>
          <w:rFonts w:hint="eastAsia"/>
        </w:rPr>
        <w:t>万元，支出决算为</w:t>
      </w:r>
      <w:r>
        <w:t>4.41</w:t>
      </w:r>
      <w:r>
        <w:rPr>
          <w:rFonts w:hint="eastAsia"/>
        </w:rPr>
        <w:t>万元，完成年初预算的</w:t>
      </w:r>
      <w:r>
        <w:t>100.92%</w:t>
      </w:r>
      <w:r>
        <w:rPr>
          <w:rFonts w:hint="eastAsia"/>
        </w:rPr>
        <w:t>。差异的原因是追加新聘职工医疗保险费。主要用于医疗保险支出。</w:t>
      </w:r>
    </w:p>
    <w:p w:rsidR="00D27C82" w:rsidRDefault="00000000">
      <w:pPr>
        <w:pStyle w:val="-"/>
      </w:pPr>
      <w:r>
        <w:rPr>
          <w:rFonts w:hint="eastAsia"/>
        </w:rPr>
        <w:t>（四）住房保障支出（类）住房改革支出（款）住房公积金（项）年初预算为</w:t>
      </w:r>
      <w:r>
        <w:t>7.08</w:t>
      </w:r>
      <w:r>
        <w:rPr>
          <w:rFonts w:hint="eastAsia"/>
        </w:rPr>
        <w:t>万元，支出决算为</w:t>
      </w:r>
      <w:r>
        <w:t>7.34</w:t>
      </w:r>
      <w:r>
        <w:rPr>
          <w:rFonts w:hint="eastAsia"/>
        </w:rPr>
        <w:t>万元，完成年初预算的</w:t>
      </w:r>
      <w:r>
        <w:t>103.67%</w:t>
      </w:r>
      <w:r>
        <w:rPr>
          <w:rFonts w:hint="eastAsia"/>
        </w:rPr>
        <w:t>。差异的原因是追加新聘职工公积金。主要用于公积金支出。</w:t>
      </w:r>
    </w:p>
    <w:p w:rsidR="00D27C82" w:rsidRDefault="00000000">
      <w:pPr>
        <w:pStyle w:val="21"/>
      </w:pPr>
      <w:bookmarkStart w:id="33" w:name="_Toc989534"/>
      <w:bookmarkStart w:id="34" w:name="_Toc965993"/>
      <w:bookmarkStart w:id="35" w:name="_Toc118208010"/>
      <w:r>
        <w:rPr>
          <w:rFonts w:hint="eastAsia"/>
        </w:rPr>
        <w:t>三</w:t>
      </w:r>
      <w:bookmarkEnd w:id="33"/>
      <w:bookmarkEnd w:id="34"/>
      <w:r>
        <w:rPr>
          <w:rFonts w:hint="eastAsia"/>
        </w:rPr>
        <w:t>、2021年度一般公共预算财政拨款基本支出决算情况说明</w:t>
      </w:r>
      <w:bookmarkEnd w:id="35"/>
    </w:p>
    <w:p w:rsidR="00D27C82" w:rsidRDefault="00000000">
      <w:pPr>
        <w:pStyle w:val="-"/>
      </w:pPr>
      <w:r>
        <w:rPr>
          <w:rFonts w:hint="eastAsia"/>
        </w:rPr>
        <w:t>2021年度一般公共预算财政拨款基本支出</w:t>
      </w:r>
      <w:r>
        <w:t>103.78</w:t>
      </w:r>
      <w:r>
        <w:rPr>
          <w:rFonts w:hint="eastAsia"/>
        </w:rPr>
        <w:t>万元，支出具体情况如下：</w:t>
      </w:r>
    </w:p>
    <w:p w:rsidR="00D27C82" w:rsidRDefault="00000000">
      <w:pPr>
        <w:pStyle w:val="-"/>
      </w:pPr>
      <w:r>
        <w:rPr>
          <w:rFonts w:hint="eastAsia"/>
        </w:rPr>
        <w:t>（一）工资福利支出</w:t>
      </w:r>
      <w:r>
        <w:t>80.62</w:t>
      </w:r>
      <w:r>
        <w:rPr>
          <w:rFonts w:hint="eastAsia"/>
        </w:rPr>
        <w:t>万元，完成年初预算的</w:t>
      </w:r>
      <w:r>
        <w:t>100.39%</w:t>
      </w:r>
      <w:r>
        <w:rPr>
          <w:rFonts w:hint="eastAsia"/>
        </w:rPr>
        <w:t>。差异的原因是2</w:t>
      </w:r>
      <w:r>
        <w:t>021</w:t>
      </w:r>
      <w:r>
        <w:rPr>
          <w:rFonts w:hint="eastAsia"/>
        </w:rPr>
        <w:t>年追加新聘职工医疗保险费、失业保险费、工伤保险费、住房公积金。</w:t>
      </w:r>
    </w:p>
    <w:p w:rsidR="00D27C82" w:rsidRDefault="00000000">
      <w:pPr>
        <w:pStyle w:val="-"/>
      </w:pPr>
      <w:r>
        <w:rPr>
          <w:rFonts w:hint="eastAsia"/>
        </w:rPr>
        <w:t>1.工资福利支出（类）基本工资（款）支出</w:t>
      </w:r>
      <w:r>
        <w:t>59.00</w:t>
      </w:r>
      <w:r>
        <w:rPr>
          <w:rFonts w:hint="eastAsia"/>
        </w:rPr>
        <w:t>万元，完成年初预算的</w:t>
      </w:r>
      <w:r>
        <w:t>100</w:t>
      </w:r>
      <w:r>
        <w:rPr>
          <w:rFonts w:hint="eastAsia"/>
        </w:rPr>
        <w:t>%。无差异。</w:t>
      </w:r>
    </w:p>
    <w:p w:rsidR="00D27C82" w:rsidRDefault="00000000">
      <w:pPr>
        <w:pStyle w:val="-"/>
      </w:pPr>
      <w:r>
        <w:rPr>
          <w:rFonts w:hint="eastAsia"/>
        </w:rPr>
        <w:t>2.工资福利支出（类）机关事业单位基本养老保险缴费（款）支出</w:t>
      </w:r>
      <w:r>
        <w:t>9.44</w:t>
      </w:r>
      <w:r>
        <w:rPr>
          <w:rFonts w:hint="eastAsia"/>
        </w:rPr>
        <w:t>万元，完成年初预算的100%。无差异。</w:t>
      </w:r>
    </w:p>
    <w:p w:rsidR="00D27C82" w:rsidRDefault="00000000">
      <w:pPr>
        <w:pStyle w:val="-"/>
      </w:pPr>
      <w:r>
        <w:rPr>
          <w:rFonts w:hint="eastAsia"/>
        </w:rPr>
        <w:t>3.工资福利支出（类）城镇职工基本医疗保险缴费（款）支出</w:t>
      </w:r>
      <w:r>
        <w:lastRenderedPageBreak/>
        <w:t>4.41</w:t>
      </w:r>
      <w:r>
        <w:rPr>
          <w:rFonts w:hint="eastAsia"/>
        </w:rPr>
        <w:t>万元，完成年初预算的100</w:t>
      </w:r>
      <w:r>
        <w:t>.92</w:t>
      </w:r>
      <w:r>
        <w:rPr>
          <w:rFonts w:hint="eastAsia"/>
        </w:rPr>
        <w:t>%。差异的原因是追加新聘职工医疗保险费。</w:t>
      </w:r>
    </w:p>
    <w:p w:rsidR="00D27C82" w:rsidRDefault="00000000">
      <w:pPr>
        <w:pStyle w:val="-"/>
      </w:pPr>
      <w:r>
        <w:rPr>
          <w:rFonts w:hint="eastAsia"/>
        </w:rPr>
        <w:t>4.工资福利支出（类）其他社会保障缴费（款）支出0.</w:t>
      </w:r>
      <w:r>
        <w:t>4</w:t>
      </w:r>
      <w:r>
        <w:rPr>
          <w:rFonts w:hint="eastAsia"/>
        </w:rPr>
        <w:t>3万元，完成年初预算的10</w:t>
      </w:r>
      <w:r>
        <w:t>2.38</w:t>
      </w:r>
      <w:r>
        <w:rPr>
          <w:rFonts w:hint="eastAsia"/>
        </w:rPr>
        <w:t>%。差异的原因是追加新聘职工失业保险费、工伤保险费。</w:t>
      </w:r>
    </w:p>
    <w:p w:rsidR="00D27C82" w:rsidRDefault="00000000">
      <w:pPr>
        <w:pStyle w:val="-"/>
      </w:pPr>
      <w:r>
        <w:rPr>
          <w:rFonts w:hint="eastAsia"/>
        </w:rPr>
        <w:t>5.工资福利支出（类）住房公积金（款）支出</w:t>
      </w:r>
      <w:r>
        <w:t>7.34</w:t>
      </w:r>
      <w:r>
        <w:rPr>
          <w:rFonts w:hint="eastAsia"/>
        </w:rPr>
        <w:t>万元，完成年初预算的10</w:t>
      </w:r>
      <w:r>
        <w:t>3.67</w:t>
      </w:r>
      <w:r>
        <w:rPr>
          <w:rFonts w:hint="eastAsia"/>
        </w:rPr>
        <w:t>%。差异的原因是追加新聘职工住房公积金。</w:t>
      </w:r>
    </w:p>
    <w:p w:rsidR="00D27C82" w:rsidRDefault="00000000">
      <w:pPr>
        <w:pStyle w:val="-"/>
      </w:pPr>
      <w:r>
        <w:rPr>
          <w:rFonts w:hint="eastAsia"/>
        </w:rPr>
        <w:t>（二）商品和服务支出</w:t>
      </w:r>
      <w:r>
        <w:t>19.32</w:t>
      </w:r>
      <w:r>
        <w:rPr>
          <w:rFonts w:hint="eastAsia"/>
        </w:rPr>
        <w:t>万元，完成年初预算的</w:t>
      </w:r>
      <w:r>
        <w:t>84.63%</w:t>
      </w:r>
      <w:r>
        <w:rPr>
          <w:rFonts w:hint="eastAsia"/>
        </w:rPr>
        <w:t>。差异的原因是继续认真贯彻落实中央八项规定精神和“过紧日子”要求，压缩各项支出，有效减少“三公”经费、会议费支出。</w:t>
      </w:r>
    </w:p>
    <w:p w:rsidR="00D27C82" w:rsidRDefault="00000000">
      <w:pPr>
        <w:pStyle w:val="-"/>
      </w:pPr>
      <w:r>
        <w:rPr>
          <w:rFonts w:hint="eastAsia"/>
        </w:rPr>
        <w:t>1.商品和服务支出（类）办公费（款）支出</w:t>
      </w:r>
      <w:r>
        <w:t>4.21</w:t>
      </w:r>
      <w:r>
        <w:rPr>
          <w:rFonts w:hint="eastAsia"/>
        </w:rPr>
        <w:t>万元，完成年初预算的100%。无差异。</w:t>
      </w:r>
    </w:p>
    <w:p w:rsidR="00D27C82" w:rsidRDefault="00000000">
      <w:pPr>
        <w:pStyle w:val="-"/>
      </w:pPr>
      <w:r>
        <w:rPr>
          <w:rFonts w:hint="eastAsia"/>
        </w:rPr>
        <w:t>2.商品和服务支出（类）差旅费（款）支出</w:t>
      </w:r>
      <w:r>
        <w:t>8.00</w:t>
      </w:r>
      <w:r>
        <w:rPr>
          <w:rFonts w:hint="eastAsia"/>
        </w:rPr>
        <w:t>万元，完成年初预算的</w:t>
      </w:r>
      <w:r>
        <w:t>100</w:t>
      </w:r>
      <w:r>
        <w:rPr>
          <w:rFonts w:hint="eastAsia"/>
        </w:rPr>
        <w:t>%。无差异。</w:t>
      </w:r>
    </w:p>
    <w:p w:rsidR="00D27C82" w:rsidRDefault="00000000">
      <w:pPr>
        <w:pStyle w:val="-"/>
      </w:pPr>
      <w:r>
        <w:t>3</w:t>
      </w:r>
      <w:r>
        <w:rPr>
          <w:rFonts w:hint="eastAsia"/>
        </w:rPr>
        <w:t>.商品和服务支出（类）会议费（款）支出</w:t>
      </w:r>
      <w:r>
        <w:t>0</w:t>
      </w:r>
      <w:r>
        <w:rPr>
          <w:rFonts w:hint="eastAsia"/>
        </w:rPr>
        <w:t>万元，完成年初预算的</w:t>
      </w:r>
      <w:r>
        <w:t>0</w:t>
      </w:r>
      <w:r>
        <w:rPr>
          <w:rFonts w:hint="eastAsia"/>
        </w:rPr>
        <w:t>%。差异的原因是2021年财政收回会议费</w:t>
      </w:r>
      <w:r>
        <w:t>1.26</w:t>
      </w:r>
      <w:r>
        <w:rPr>
          <w:rFonts w:hint="eastAsia"/>
        </w:rPr>
        <w:t>万元。</w:t>
      </w:r>
    </w:p>
    <w:p w:rsidR="00D27C82" w:rsidRDefault="00000000">
      <w:pPr>
        <w:pStyle w:val="-"/>
      </w:pPr>
      <w:r>
        <w:rPr>
          <w:rFonts w:hint="eastAsia"/>
        </w:rPr>
        <w:t>8.商品和服务支出（类）培训费（款）支出0.</w:t>
      </w:r>
      <w:r>
        <w:t>43</w:t>
      </w:r>
      <w:r>
        <w:rPr>
          <w:rFonts w:hint="eastAsia"/>
        </w:rPr>
        <w:t>万元，完成年初预算的</w:t>
      </w:r>
      <w:r>
        <w:t>100</w:t>
      </w:r>
      <w:r>
        <w:rPr>
          <w:rFonts w:hint="eastAsia"/>
        </w:rPr>
        <w:t>%。无差异。</w:t>
      </w:r>
    </w:p>
    <w:p w:rsidR="00D27C82" w:rsidRDefault="00000000">
      <w:pPr>
        <w:pStyle w:val="-"/>
      </w:pPr>
      <w:r>
        <w:rPr>
          <w:rFonts w:hint="eastAsia"/>
        </w:rPr>
        <w:t>9.商品和服务支出（类）公务接待费（款）支出0万元，完成年初预算的0%。差异的原因是继续认真贯彻落实中央八项规定精神和“过紧日子”要求，压缩各项支出，有效减少“三公”经费支出。</w:t>
      </w:r>
    </w:p>
    <w:p w:rsidR="00D27C82" w:rsidRDefault="00000000">
      <w:pPr>
        <w:pStyle w:val="-"/>
      </w:pPr>
      <w:r>
        <w:rPr>
          <w:rFonts w:hint="eastAsia"/>
        </w:rPr>
        <w:t>10.商品和服务支出（类）工会经费（款）支出</w:t>
      </w:r>
      <w:r>
        <w:t>1.18</w:t>
      </w:r>
      <w:r>
        <w:rPr>
          <w:rFonts w:hint="eastAsia"/>
        </w:rPr>
        <w:t>万元，完成年初预算的100%。无差异。</w:t>
      </w:r>
    </w:p>
    <w:p w:rsidR="00D27C82" w:rsidRDefault="00000000">
      <w:pPr>
        <w:pStyle w:val="-"/>
      </w:pPr>
      <w:r>
        <w:rPr>
          <w:rFonts w:hint="eastAsia"/>
        </w:rPr>
        <w:lastRenderedPageBreak/>
        <w:t>11.商品和服务支出（类）公务用车运行维护费（款）支出1.4</w:t>
      </w:r>
      <w:r>
        <w:t>1</w:t>
      </w:r>
      <w:r>
        <w:rPr>
          <w:rFonts w:hint="eastAsia"/>
        </w:rPr>
        <w:t>万元，完成年初预算的</w:t>
      </w:r>
      <w:r>
        <w:t>40.40</w:t>
      </w:r>
      <w:r>
        <w:rPr>
          <w:rFonts w:hint="eastAsia"/>
        </w:rPr>
        <w:t>%。差异的原因是2021财政收回公务用车运行维护费</w:t>
      </w:r>
      <w:r>
        <w:t>2.08</w:t>
      </w:r>
      <w:r>
        <w:rPr>
          <w:rFonts w:hint="eastAsia"/>
        </w:rPr>
        <w:t>万元。</w:t>
      </w:r>
    </w:p>
    <w:p w:rsidR="00D27C82" w:rsidRDefault="00000000">
      <w:pPr>
        <w:pStyle w:val="-"/>
      </w:pPr>
      <w:r>
        <w:rPr>
          <w:rFonts w:hint="eastAsia"/>
        </w:rPr>
        <w:t>12.商品和服务支出（类）其他商品和服务支出（款）支出</w:t>
      </w:r>
      <w:r>
        <w:t>4.09</w:t>
      </w:r>
      <w:r>
        <w:rPr>
          <w:rFonts w:hint="eastAsia"/>
        </w:rPr>
        <w:t>万元，完成年初预算的100%。无差异。</w:t>
      </w:r>
    </w:p>
    <w:p w:rsidR="00D27C82" w:rsidRDefault="00000000">
      <w:pPr>
        <w:pStyle w:val="-"/>
      </w:pPr>
      <w:r>
        <w:rPr>
          <w:rFonts w:hint="eastAsia"/>
        </w:rPr>
        <w:t>（三）对个人和家庭的补助</w:t>
      </w:r>
      <w:r>
        <w:t>3.84</w:t>
      </w:r>
      <w:r>
        <w:rPr>
          <w:rFonts w:hint="eastAsia"/>
        </w:rPr>
        <w:t>万元，完成年初预算的</w:t>
      </w:r>
      <w:r>
        <w:t>113.61%</w:t>
      </w:r>
      <w:r>
        <w:rPr>
          <w:rFonts w:hint="eastAsia"/>
        </w:rPr>
        <w:t>，差异的原因是2021年追加退休人员追加改革前获得荣誉改革后退休人员退休补助。</w:t>
      </w:r>
    </w:p>
    <w:p w:rsidR="00D27C82" w:rsidRDefault="00000000">
      <w:pPr>
        <w:pStyle w:val="-"/>
      </w:pPr>
      <w:r>
        <w:rPr>
          <w:rFonts w:hint="eastAsia"/>
        </w:rPr>
        <w:t>1.对个人和家庭的补助（类）退休费（款）支出</w:t>
      </w:r>
      <w:r>
        <w:t>0.89</w:t>
      </w:r>
      <w:r>
        <w:rPr>
          <w:rFonts w:hint="eastAsia"/>
        </w:rPr>
        <w:t>万元，完成年初预算的</w:t>
      </w:r>
      <w:r>
        <w:t>206.98</w:t>
      </w:r>
      <w:r>
        <w:rPr>
          <w:rFonts w:hint="eastAsia"/>
        </w:rPr>
        <w:t>%。差异的原因是2021年追加退休人员追加改革前获得荣誉改革后退休人员退休补助。</w:t>
      </w:r>
    </w:p>
    <w:p w:rsidR="00D27C82" w:rsidRDefault="00000000">
      <w:pPr>
        <w:pStyle w:val="-"/>
      </w:pPr>
      <w:r>
        <w:rPr>
          <w:rFonts w:hint="eastAsia"/>
        </w:rPr>
        <w:t>2.对个人和家庭的补助（类）其他对个人和家庭的补助（款）支出</w:t>
      </w:r>
      <w:r>
        <w:t>2.95</w:t>
      </w:r>
      <w:r>
        <w:rPr>
          <w:rFonts w:hint="eastAsia"/>
        </w:rPr>
        <w:t>万元，完成年初预算的100%。无差异。</w:t>
      </w:r>
    </w:p>
    <w:p w:rsidR="00D27C82" w:rsidRDefault="00000000">
      <w:pPr>
        <w:pStyle w:val="21"/>
      </w:pPr>
      <w:bookmarkStart w:id="36" w:name="_Toc965995"/>
      <w:bookmarkStart w:id="37" w:name="_Toc989536"/>
      <w:bookmarkStart w:id="38" w:name="_Toc118208011"/>
      <w:r>
        <w:rPr>
          <w:rFonts w:hint="eastAsia"/>
        </w:rPr>
        <w:t>四</w:t>
      </w:r>
      <w:bookmarkEnd w:id="36"/>
      <w:bookmarkEnd w:id="37"/>
      <w:r>
        <w:rPr>
          <w:rFonts w:hint="eastAsia"/>
        </w:rPr>
        <w:t>、2021年度政府性基金支出决算情况</w:t>
      </w:r>
      <w:bookmarkEnd w:id="38"/>
    </w:p>
    <w:p w:rsidR="00D27C82" w:rsidRDefault="00000000">
      <w:pPr>
        <w:pStyle w:val="-"/>
        <w:rPr>
          <w:rFonts w:hAnsi="黑体" w:cs="仿宋_GB2312"/>
          <w:kern w:val="0"/>
          <w:szCs w:val="32"/>
        </w:rPr>
      </w:pPr>
      <w:r>
        <w:rPr>
          <w:rFonts w:hint="eastAsia"/>
        </w:rPr>
        <w:t>广西壮族自治区信息安全测评中心2021年政府性基金支出0万元，</w:t>
      </w:r>
      <w:r>
        <w:rPr>
          <w:rFonts w:hAnsi="黑体" w:cs="仿宋_GB2312" w:hint="eastAsia"/>
          <w:kern w:val="0"/>
          <w:szCs w:val="32"/>
        </w:rPr>
        <w:t>较2020年度增加0万元，增长0%。其中：基本支出0万元，项目支出0万元。</w:t>
      </w:r>
    </w:p>
    <w:p w:rsidR="00D27C82" w:rsidRDefault="00000000">
      <w:pPr>
        <w:pStyle w:val="-"/>
      </w:pPr>
      <w:r>
        <w:rPr>
          <w:rFonts w:hint="eastAsia"/>
        </w:rPr>
        <w:t>广西壮族自治区信息安全测评中心2021年度政府性基金支出年初预算为0万元，支出决算为0万元，完成年初预算的0%。</w:t>
      </w:r>
    </w:p>
    <w:p w:rsidR="00D27C82" w:rsidRDefault="00000000">
      <w:pPr>
        <w:pStyle w:val="21"/>
      </w:pPr>
      <w:bookmarkStart w:id="39" w:name="_Toc118208012"/>
      <w:r>
        <w:rPr>
          <w:rFonts w:hint="eastAsia"/>
        </w:rPr>
        <w:t>五、2021年度国有资本经营预算支出决算情况</w:t>
      </w:r>
      <w:bookmarkEnd w:id="39"/>
    </w:p>
    <w:p w:rsidR="00D27C82" w:rsidRDefault="00000000">
      <w:pPr>
        <w:pStyle w:val="-"/>
      </w:pPr>
      <w:bookmarkStart w:id="40" w:name="_Hlk118191681"/>
      <w:r>
        <w:rPr>
          <w:rFonts w:hint="eastAsia"/>
        </w:rPr>
        <w:t>广西壮族自治区信息安全测评中心</w:t>
      </w:r>
      <w:bookmarkEnd w:id="40"/>
      <w:r>
        <w:rPr>
          <w:rFonts w:hint="eastAsia"/>
        </w:rPr>
        <w:t>2021年度国有资本经营预算支出0万元，</w:t>
      </w:r>
      <w:r>
        <w:rPr>
          <w:rFonts w:hAnsi="黑体" w:cs="仿宋_GB2312" w:hint="eastAsia"/>
          <w:kern w:val="0"/>
          <w:szCs w:val="32"/>
        </w:rPr>
        <w:t>其中：基本支出</w:t>
      </w:r>
      <w:r>
        <w:rPr>
          <w:rFonts w:hAnsi="黑体" w:cs="仿宋_GB2312"/>
          <w:kern w:val="0"/>
          <w:szCs w:val="32"/>
        </w:rPr>
        <w:t>0</w:t>
      </w:r>
      <w:r>
        <w:rPr>
          <w:rFonts w:hAnsi="黑体" w:cs="仿宋_GB2312" w:hint="eastAsia"/>
          <w:kern w:val="0"/>
          <w:szCs w:val="32"/>
        </w:rPr>
        <w:t>万元，项目支出</w:t>
      </w:r>
      <w:r>
        <w:rPr>
          <w:rFonts w:hAnsi="黑体" w:cs="仿宋_GB2312"/>
          <w:kern w:val="0"/>
          <w:szCs w:val="32"/>
        </w:rPr>
        <w:t>0</w:t>
      </w:r>
      <w:r>
        <w:rPr>
          <w:rFonts w:hAnsi="黑体" w:cs="仿宋_GB2312" w:hint="eastAsia"/>
          <w:kern w:val="0"/>
          <w:szCs w:val="32"/>
        </w:rPr>
        <w:t>万元。</w:t>
      </w:r>
    </w:p>
    <w:p w:rsidR="00D27C82" w:rsidRDefault="00000000">
      <w:pPr>
        <w:pStyle w:val="-"/>
      </w:pPr>
      <w:r>
        <w:rPr>
          <w:rFonts w:hint="eastAsia"/>
        </w:rPr>
        <w:lastRenderedPageBreak/>
        <w:t>广西壮族自治区信息安全测评中心2021年度国有资本经营预算支出年初预算为</w:t>
      </w:r>
      <w:r>
        <w:t>0</w:t>
      </w:r>
      <w:r>
        <w:rPr>
          <w:rFonts w:hint="eastAsia"/>
        </w:rPr>
        <w:t>万元，支出决算为</w:t>
      </w:r>
      <w:r>
        <w:t>0</w:t>
      </w:r>
      <w:r>
        <w:rPr>
          <w:rFonts w:hint="eastAsia"/>
        </w:rPr>
        <w:t>万元，完成年初预算的</w:t>
      </w:r>
      <w:r>
        <w:t>0</w:t>
      </w:r>
      <w:r>
        <w:rPr>
          <w:rFonts w:hint="eastAsia"/>
        </w:rPr>
        <w:t>%。</w:t>
      </w:r>
    </w:p>
    <w:p w:rsidR="00D27C82" w:rsidRDefault="00000000">
      <w:pPr>
        <w:pStyle w:val="21"/>
      </w:pPr>
      <w:bookmarkStart w:id="41" w:name="_Toc989535"/>
      <w:bookmarkStart w:id="42" w:name="_Toc965994"/>
      <w:bookmarkStart w:id="43" w:name="_Toc118208013"/>
      <w:r>
        <w:rPr>
          <w:rFonts w:hint="eastAsia"/>
        </w:rPr>
        <w:t>六、</w:t>
      </w:r>
      <w:bookmarkEnd w:id="41"/>
      <w:bookmarkEnd w:id="42"/>
      <w:r>
        <w:rPr>
          <w:rFonts w:hint="eastAsia"/>
        </w:rPr>
        <w:t>一般公共预算财政拨款安排的“三公”经费支出决算情况说明</w:t>
      </w:r>
      <w:bookmarkEnd w:id="43"/>
    </w:p>
    <w:p w:rsidR="00D27C82" w:rsidRDefault="00000000">
      <w:pPr>
        <w:pStyle w:val="-"/>
      </w:pPr>
      <w:r>
        <w:rPr>
          <w:rFonts w:hint="eastAsia"/>
        </w:rPr>
        <w:t>2021年度一般公共预算财政拨款安排的“三公”经费支出</w:t>
      </w:r>
      <w:r>
        <w:t>1.41</w:t>
      </w:r>
      <w:r>
        <w:rPr>
          <w:rFonts w:hint="eastAsia"/>
        </w:rPr>
        <w:t>万元，完成年初预算的</w:t>
      </w:r>
      <w:r>
        <w:t>38.52%</w:t>
      </w:r>
      <w:r>
        <w:rPr>
          <w:rFonts w:hint="eastAsia"/>
        </w:rPr>
        <w:t>，比上年减少1</w:t>
      </w:r>
      <w:r>
        <w:t>.42</w:t>
      </w:r>
      <w:r>
        <w:rPr>
          <w:rFonts w:hint="eastAsia"/>
        </w:rPr>
        <w:t>万元，主要原因是继续认真贯彻落实中央八项规定精神和“过紧日子”要求，压缩各项支出，有效减少“三公”经费支出。其中：因公出国（境）费支出决算0万元，公务用车购置及运行费支出决算1.4</w:t>
      </w:r>
      <w:r>
        <w:t>1</w:t>
      </w:r>
      <w:r>
        <w:rPr>
          <w:rFonts w:hint="eastAsia"/>
        </w:rPr>
        <w:t>万元，公务接待费支出决算0万元。</w:t>
      </w:r>
    </w:p>
    <w:p w:rsidR="00D27C82" w:rsidRDefault="00000000">
      <w:pPr>
        <w:pStyle w:val="-"/>
      </w:pPr>
      <w:r>
        <w:rPr>
          <w:rFonts w:hint="eastAsia"/>
        </w:rPr>
        <w:t>具体情况如下：</w:t>
      </w:r>
    </w:p>
    <w:p w:rsidR="00D27C82" w:rsidRDefault="00000000">
      <w:pPr>
        <w:pStyle w:val="-"/>
      </w:pPr>
      <w:r>
        <w:rPr>
          <w:rFonts w:hint="eastAsia"/>
        </w:rPr>
        <w:t>（一）因公出国（境）费支出0万元，完成年初预算的0%，比上年减少0万元，原因是无因公出国（境）费支出。全年使用财政拨款安排单位出国团组0个，参加其他单位组织的出国团组0个，全年因公出国（境）团组共计0个，累计0人次。</w:t>
      </w:r>
    </w:p>
    <w:p w:rsidR="00D27C82" w:rsidRDefault="00000000">
      <w:pPr>
        <w:pStyle w:val="-"/>
      </w:pPr>
      <w:r>
        <w:rPr>
          <w:rFonts w:hint="eastAsia"/>
        </w:rPr>
        <w:t>（二）公务用车购置及运行费支出1.48万元。其中：</w:t>
      </w:r>
    </w:p>
    <w:p w:rsidR="00D27C82" w:rsidRDefault="00000000">
      <w:pPr>
        <w:pStyle w:val="-"/>
      </w:pPr>
      <w:r>
        <w:rPr>
          <w:rFonts w:hint="eastAsia"/>
        </w:rPr>
        <w:t>公务用车购置支出0万元，完成年初预算的0%，比上年减少0万元，原因是无公务用车购置支出。</w:t>
      </w:r>
    </w:p>
    <w:p w:rsidR="00D27C82" w:rsidRDefault="00000000">
      <w:pPr>
        <w:pStyle w:val="-"/>
      </w:pPr>
      <w:r>
        <w:rPr>
          <w:rFonts w:hint="eastAsia"/>
        </w:rPr>
        <w:t>公务用车运行维护费支出</w:t>
      </w:r>
      <w:r>
        <w:t>1.41</w:t>
      </w:r>
      <w:r>
        <w:rPr>
          <w:rFonts w:hint="eastAsia"/>
        </w:rPr>
        <w:t>万元。完成年初预算的</w:t>
      </w:r>
      <w:r>
        <w:t>40.40%</w:t>
      </w:r>
      <w:r>
        <w:rPr>
          <w:rFonts w:hint="eastAsia"/>
        </w:rPr>
        <w:t>，比上年减少1</w:t>
      </w:r>
      <w:r>
        <w:t>.42</w:t>
      </w:r>
      <w:r>
        <w:rPr>
          <w:rFonts w:hint="eastAsia"/>
        </w:rPr>
        <w:t>万元，原因是公务用车使用减少。主要用于开展单位检测活动业务所需车辆燃料费、维修费、过路过桥费、保险费等。2021年广西壮族自治区信息安全测评中心开支财政拨款的</w:t>
      </w:r>
      <w:r>
        <w:rPr>
          <w:rFonts w:hint="eastAsia"/>
        </w:rPr>
        <w:lastRenderedPageBreak/>
        <w:t>公务用车保有量为</w:t>
      </w:r>
      <w:r>
        <w:t>2</w:t>
      </w:r>
      <w:r>
        <w:rPr>
          <w:rFonts w:hint="eastAsia"/>
        </w:rPr>
        <w:t>辆，全年运行费支出</w:t>
      </w:r>
      <w:r>
        <w:t>1.41</w:t>
      </w:r>
      <w:r>
        <w:rPr>
          <w:rFonts w:hint="eastAsia"/>
        </w:rPr>
        <w:t>万元，平均每辆</w:t>
      </w:r>
      <w:r>
        <w:t>0.71</w:t>
      </w:r>
      <w:r>
        <w:rPr>
          <w:rFonts w:hint="eastAsia"/>
        </w:rPr>
        <w:t>万元。</w:t>
      </w:r>
    </w:p>
    <w:p w:rsidR="00D27C82" w:rsidRDefault="00000000">
      <w:pPr>
        <w:pStyle w:val="-"/>
      </w:pPr>
      <w:r>
        <w:rPr>
          <w:rFonts w:hint="eastAsia"/>
        </w:rPr>
        <w:t>（三）公务接待费支出0万元，完成年初预算的0%，比上年减少0万元，原因是本年无公务接待费支出。国内公务接待批次0次，人次0次，国（境）外公务接待批次0次，人次0次。</w:t>
      </w:r>
    </w:p>
    <w:p w:rsidR="00D27C82" w:rsidRDefault="00000000">
      <w:pPr>
        <w:pStyle w:val="21"/>
      </w:pPr>
      <w:bookmarkStart w:id="44" w:name="_Toc989537"/>
      <w:bookmarkStart w:id="45" w:name="_Toc965996"/>
      <w:bookmarkStart w:id="46" w:name="_Toc118208014"/>
      <w:bookmarkStart w:id="47" w:name="_Hlk80001950"/>
      <w:r>
        <w:rPr>
          <w:rFonts w:hint="eastAsia"/>
        </w:rPr>
        <w:t>七、其他重要事项</w:t>
      </w:r>
      <w:bookmarkEnd w:id="44"/>
      <w:bookmarkEnd w:id="45"/>
      <w:r>
        <w:rPr>
          <w:rFonts w:hint="eastAsia"/>
        </w:rPr>
        <w:t>情况说明</w:t>
      </w:r>
      <w:bookmarkEnd w:id="46"/>
    </w:p>
    <w:p w:rsidR="00D27C82" w:rsidRDefault="00000000">
      <w:pPr>
        <w:pStyle w:val="31"/>
      </w:pPr>
      <w:bookmarkStart w:id="48" w:name="_Toc118208015"/>
      <w:bookmarkEnd w:id="47"/>
      <w:r>
        <w:rPr>
          <w:rFonts w:hint="eastAsia"/>
        </w:rPr>
        <w:t>（一）机关运行经费支出情况说明</w:t>
      </w:r>
      <w:bookmarkEnd w:id="48"/>
    </w:p>
    <w:p w:rsidR="00D27C82" w:rsidRDefault="00DB49FB">
      <w:pPr>
        <w:pStyle w:val="-"/>
      </w:pPr>
      <w:r>
        <w:rPr>
          <w:rFonts w:hint="eastAsia"/>
        </w:rPr>
        <w:t>广西壮族自治区信息安全测评中心</w:t>
      </w:r>
      <w:r w:rsidRPr="00DB49FB">
        <w:rPr>
          <w:rFonts w:hint="eastAsia"/>
        </w:rPr>
        <w:t>属于公益二类事业单位，2021年无该项经费</w:t>
      </w:r>
      <w:r w:rsidR="00000000">
        <w:rPr>
          <w:rFonts w:hint="eastAsia"/>
        </w:rPr>
        <w:t>。</w:t>
      </w:r>
    </w:p>
    <w:p w:rsidR="00D27C82" w:rsidRDefault="00000000">
      <w:pPr>
        <w:pStyle w:val="31"/>
      </w:pPr>
      <w:bookmarkStart w:id="49" w:name="_Toc118208016"/>
      <w:r>
        <w:rPr>
          <w:rFonts w:hint="eastAsia"/>
        </w:rPr>
        <w:t>（二）政府采购支出情况说明</w:t>
      </w:r>
      <w:bookmarkEnd w:id="49"/>
    </w:p>
    <w:p w:rsidR="00D27C82" w:rsidRDefault="00000000">
      <w:pPr>
        <w:pStyle w:val="-"/>
      </w:pPr>
      <w:r>
        <w:rPr>
          <w:rFonts w:hint="eastAsia"/>
        </w:rPr>
        <w:t>本部门2021年度政府采购支出总额</w:t>
      </w:r>
      <w:r>
        <w:t>71.66</w:t>
      </w:r>
      <w:r>
        <w:rPr>
          <w:rFonts w:hint="eastAsia"/>
        </w:rPr>
        <w:t>万元，其中：政府采购货物支出</w:t>
      </w:r>
      <w:r>
        <w:t>64.00</w:t>
      </w:r>
      <w:r>
        <w:rPr>
          <w:rFonts w:hint="eastAsia"/>
        </w:rPr>
        <w:t>万元、</w:t>
      </w:r>
      <w:r>
        <w:rPr>
          <w:rFonts w:cs="仿宋_GB2312" w:hint="eastAsia"/>
          <w:kern w:val="0"/>
          <w:szCs w:val="32"/>
        </w:rPr>
        <w:t>政府采购工程支出</w:t>
      </w:r>
      <w:r>
        <w:rPr>
          <w:rFonts w:cs="仿宋_GB2312"/>
          <w:kern w:val="0"/>
          <w:szCs w:val="32"/>
        </w:rPr>
        <w:t>0</w:t>
      </w:r>
      <w:r>
        <w:rPr>
          <w:rFonts w:cs="仿宋_GB2312" w:hint="eastAsia"/>
          <w:kern w:val="0"/>
          <w:szCs w:val="32"/>
        </w:rPr>
        <w:t>万元、</w:t>
      </w:r>
      <w:r>
        <w:rPr>
          <w:rFonts w:hint="eastAsia"/>
        </w:rPr>
        <w:t>政府采购服务支出</w:t>
      </w:r>
      <w:r>
        <w:t>7.66</w:t>
      </w:r>
      <w:r>
        <w:rPr>
          <w:rFonts w:hint="eastAsia"/>
        </w:rPr>
        <w:t>万元。授予中小企业合同金额</w:t>
      </w:r>
      <w:r>
        <w:t>71.49</w:t>
      </w:r>
      <w:r>
        <w:rPr>
          <w:rFonts w:hint="eastAsia"/>
        </w:rPr>
        <w:t>万元，占政府采购支出总额的</w:t>
      </w:r>
      <w:r>
        <w:t>99.76%</w:t>
      </w:r>
      <w:r>
        <w:rPr>
          <w:rFonts w:hint="eastAsia"/>
        </w:rPr>
        <w:t>，其中：授予小</w:t>
      </w:r>
      <w:proofErr w:type="gramStart"/>
      <w:r>
        <w:rPr>
          <w:rFonts w:hint="eastAsia"/>
        </w:rPr>
        <w:t>微企业</w:t>
      </w:r>
      <w:proofErr w:type="gramEnd"/>
      <w:r>
        <w:rPr>
          <w:rFonts w:hint="eastAsia"/>
        </w:rPr>
        <w:t>合同金额</w:t>
      </w:r>
      <w:r>
        <w:t>44.02</w:t>
      </w:r>
      <w:r>
        <w:rPr>
          <w:rFonts w:hint="eastAsia"/>
        </w:rPr>
        <w:t>万元，占授予中小企业合同金额的61.</w:t>
      </w:r>
      <w:r>
        <w:t>58</w:t>
      </w:r>
      <w:r>
        <w:rPr>
          <w:rFonts w:hint="eastAsia"/>
        </w:rPr>
        <w:t>%；货物采购授予中小企业合同金额占货物支出金额1</w:t>
      </w:r>
      <w:r>
        <w:t>00</w:t>
      </w:r>
      <w:r>
        <w:rPr>
          <w:rFonts w:hint="eastAsia"/>
        </w:rPr>
        <w:t>%；工程采购授予中小企业合同金额占工程支出金额的0%；服务采购授予中小企业合同金额占服务支出金额的9</w:t>
      </w:r>
      <w:r>
        <w:t>7.88</w:t>
      </w:r>
      <w:r>
        <w:rPr>
          <w:rFonts w:hint="eastAsia"/>
        </w:rPr>
        <w:t xml:space="preserve">%。 </w:t>
      </w:r>
    </w:p>
    <w:p w:rsidR="00D27C82" w:rsidRDefault="00000000">
      <w:pPr>
        <w:pStyle w:val="31"/>
      </w:pPr>
      <w:bookmarkStart w:id="50" w:name="_Toc118208017"/>
      <w:r>
        <w:rPr>
          <w:rFonts w:hint="eastAsia"/>
        </w:rPr>
        <w:t>（三）国有资产占用情况说明</w:t>
      </w:r>
      <w:bookmarkEnd w:id="50"/>
    </w:p>
    <w:p w:rsidR="00D27C82" w:rsidRDefault="00000000">
      <w:pPr>
        <w:pStyle w:val="-"/>
      </w:pPr>
      <w:r>
        <w:rPr>
          <w:rFonts w:hint="eastAsia"/>
        </w:rPr>
        <w:t>截至2021年12月31日，本部门共有车辆</w:t>
      </w:r>
      <w:r>
        <w:t>2</w:t>
      </w:r>
      <w:r>
        <w:rPr>
          <w:rFonts w:hint="eastAsia"/>
        </w:rPr>
        <w:t>辆，其中：副部（省）级领导干部用车</w:t>
      </w:r>
      <w:r>
        <w:t>0</w:t>
      </w:r>
      <w:r>
        <w:rPr>
          <w:rFonts w:hint="eastAsia"/>
        </w:rPr>
        <w:t>辆、机要通信用车</w:t>
      </w:r>
      <w:r>
        <w:t>0</w:t>
      </w:r>
      <w:r>
        <w:rPr>
          <w:rFonts w:hint="eastAsia"/>
        </w:rPr>
        <w:t>辆、应急保障用车</w:t>
      </w:r>
      <w:r>
        <w:lastRenderedPageBreak/>
        <w:t>0</w:t>
      </w:r>
      <w:r>
        <w:rPr>
          <w:rFonts w:hint="eastAsia"/>
        </w:rPr>
        <w:t>辆、执法执勤用车</w:t>
      </w:r>
      <w:r>
        <w:t>0</w:t>
      </w:r>
      <w:r>
        <w:rPr>
          <w:rFonts w:hint="eastAsia"/>
        </w:rPr>
        <w:t>辆、特种专业技术用车</w:t>
      </w:r>
      <w:r>
        <w:t>0</w:t>
      </w:r>
      <w:r>
        <w:rPr>
          <w:rFonts w:hint="eastAsia"/>
        </w:rPr>
        <w:t>辆、其他用车</w:t>
      </w:r>
      <w:r>
        <w:t>2</w:t>
      </w:r>
      <w:r>
        <w:rPr>
          <w:rFonts w:hint="eastAsia"/>
        </w:rPr>
        <w:t>辆，其他用车主要是必要的业务保障用车，用于检验检测、应急处置、机要通信等工作；单位价值50万元以上通用设备</w:t>
      </w:r>
      <w:r>
        <w:t>0</w:t>
      </w:r>
      <w:r>
        <w:rPr>
          <w:rFonts w:hint="eastAsia"/>
        </w:rPr>
        <w:t>台（套）；单位价值100万元以上专用设备</w:t>
      </w:r>
      <w:r>
        <w:t>0</w:t>
      </w:r>
      <w:r>
        <w:rPr>
          <w:rFonts w:hint="eastAsia"/>
        </w:rPr>
        <w:t>台（套）。</w:t>
      </w:r>
    </w:p>
    <w:p w:rsidR="00D27C82" w:rsidRDefault="00000000">
      <w:pPr>
        <w:pStyle w:val="31"/>
      </w:pPr>
      <w:bookmarkStart w:id="51" w:name="_Toc118208018"/>
      <w:r>
        <w:rPr>
          <w:rFonts w:hint="eastAsia"/>
        </w:rPr>
        <w:t>（四）预算绩效管理工作开展情况</w:t>
      </w:r>
      <w:bookmarkEnd w:id="51"/>
    </w:p>
    <w:p w:rsidR="00D27C82" w:rsidRDefault="00000000">
      <w:pPr>
        <w:pStyle w:val="-"/>
      </w:pPr>
      <w:r>
        <w:rPr>
          <w:rFonts w:hint="eastAsia"/>
        </w:rPr>
        <w:t>本部门未开展预算绩效管理工作。</w:t>
      </w:r>
    </w:p>
    <w:p w:rsidR="00D27C82" w:rsidRDefault="00D27C82">
      <w:pPr>
        <w:widowControl/>
        <w:ind w:firstLine="643"/>
        <w:jc w:val="left"/>
        <w:rPr>
          <w:rFonts w:ascii="Cambria" w:hAnsi="Cambria"/>
          <w:b/>
          <w:bCs/>
          <w:sz w:val="32"/>
          <w:szCs w:val="32"/>
        </w:rPr>
        <w:sectPr w:rsidR="00D27C82">
          <w:pgSz w:w="11906" w:h="16838"/>
          <w:pgMar w:top="1440" w:right="1440" w:bottom="1440" w:left="1440" w:header="851" w:footer="992" w:gutter="0"/>
          <w:pgNumType w:fmt="numberInDash"/>
          <w:cols w:space="720"/>
        </w:sectPr>
      </w:pPr>
    </w:p>
    <w:p w:rsidR="00D27C82" w:rsidRDefault="00000000">
      <w:pPr>
        <w:pStyle w:val="12"/>
      </w:pPr>
      <w:bookmarkStart w:id="52" w:name="_Toc118208019"/>
      <w:bookmarkStart w:id="53" w:name="_Toc965997"/>
      <w:bookmarkStart w:id="54" w:name="_Toc989538"/>
      <w:r>
        <w:rPr>
          <w:rFonts w:hint="eastAsia"/>
        </w:rPr>
        <w:lastRenderedPageBreak/>
        <w:t>第四部分：名词解释</w:t>
      </w:r>
      <w:bookmarkEnd w:id="52"/>
      <w:bookmarkEnd w:id="53"/>
      <w:bookmarkEnd w:id="54"/>
    </w:p>
    <w:p w:rsidR="00D27C82" w:rsidRDefault="00000000">
      <w:pPr>
        <w:pStyle w:val="-"/>
      </w:pPr>
      <w:r>
        <w:rPr>
          <w:rFonts w:hint="eastAsia"/>
        </w:rPr>
        <w:t>一、财政拨款收入：指自治区财政部</w:t>
      </w:r>
      <w:proofErr w:type="gramStart"/>
      <w:r>
        <w:rPr>
          <w:rFonts w:hint="eastAsia"/>
        </w:rPr>
        <w:t>门当年</w:t>
      </w:r>
      <w:proofErr w:type="gramEnd"/>
      <w:r>
        <w:rPr>
          <w:rFonts w:hint="eastAsia"/>
        </w:rPr>
        <w:t xml:space="preserve">拨付的资金。 </w:t>
      </w:r>
    </w:p>
    <w:p w:rsidR="00D27C82" w:rsidRDefault="00000000">
      <w:pPr>
        <w:pStyle w:val="-"/>
      </w:pPr>
      <w:r>
        <w:rPr>
          <w:rFonts w:hint="eastAsia"/>
        </w:rPr>
        <w:t>二、事业收入：指事业单位开展专业业务活动及辅助活动所取得的收入。</w:t>
      </w:r>
    </w:p>
    <w:p w:rsidR="00D27C82" w:rsidRDefault="00000000">
      <w:pPr>
        <w:pStyle w:val="-"/>
      </w:pPr>
      <w:r>
        <w:rPr>
          <w:rFonts w:hint="eastAsia"/>
        </w:rPr>
        <w:t>三、经营收入：指事业单位在专业业务活动及其辅助活动之外开展非独立核算经营活动取得的收入。</w:t>
      </w:r>
    </w:p>
    <w:p w:rsidR="00D27C82" w:rsidRDefault="00000000">
      <w:pPr>
        <w:pStyle w:val="-"/>
      </w:pPr>
      <w:r>
        <w:rPr>
          <w:rFonts w:hint="eastAsia"/>
        </w:rPr>
        <w:t>四、其他收入：指除上述“财政拨款收入”“事业收入”“经营收入”等以外的收入。</w:t>
      </w:r>
    </w:p>
    <w:p w:rsidR="00D27C82" w:rsidRDefault="00000000">
      <w:pPr>
        <w:pStyle w:val="-"/>
      </w:pPr>
      <w:r>
        <w:rPr>
          <w:rFonts w:hint="eastAsia"/>
        </w:rPr>
        <w:t xml:space="preserve">五、用事业基金弥补收支差额指事业单位在当年的“财政拨款收入”“事业收入”“经营收入”“其他收入”不足以安排当年支出的情况下，使用非财政拨款结余弥补本年度收支缺口的资金。 </w:t>
      </w:r>
    </w:p>
    <w:p w:rsidR="00D27C82" w:rsidRDefault="00000000">
      <w:pPr>
        <w:pStyle w:val="-"/>
      </w:pPr>
      <w:r>
        <w:rPr>
          <w:rFonts w:hint="eastAsia"/>
        </w:rPr>
        <w:t xml:space="preserve">六、结余分配：指事业单位按规定提取的职工福利基金、事业基金和缴纳的所得税，以及建设单位按规定应交回的基本建设竣工项目结余资金。 </w:t>
      </w:r>
    </w:p>
    <w:p w:rsidR="00D27C82" w:rsidRDefault="00000000">
      <w:pPr>
        <w:pStyle w:val="-"/>
      </w:pPr>
      <w:r>
        <w:rPr>
          <w:rFonts w:hint="eastAsia"/>
        </w:rPr>
        <w:t xml:space="preserve">七、基本支出：指为保障机构正常运转、完成日常工作任务而发生的人员支出和公用支出。 </w:t>
      </w:r>
    </w:p>
    <w:p w:rsidR="00D27C82" w:rsidRDefault="00000000">
      <w:pPr>
        <w:pStyle w:val="-"/>
      </w:pPr>
      <w:r>
        <w:rPr>
          <w:rFonts w:hint="eastAsia"/>
        </w:rPr>
        <w:t xml:space="preserve">八、项目支出：指在基本支出之外为完成特定行政任务和事业发展目标所发生的支出。 </w:t>
      </w:r>
    </w:p>
    <w:p w:rsidR="00D27C82" w:rsidRDefault="00000000">
      <w:pPr>
        <w:pStyle w:val="-"/>
      </w:pPr>
      <w:r>
        <w:rPr>
          <w:rFonts w:hint="eastAsia"/>
        </w:rPr>
        <w:t>九、“三公”经费：纳入自治区财政预决算管理的“三公”经费，是指自治区本级各部门用财政拨款安排的因公出国（境）费、公务用车购置及运行费和公务接待费。其中因公出国（境）</w:t>
      </w:r>
      <w:proofErr w:type="gramStart"/>
      <w:r>
        <w:rPr>
          <w:rFonts w:hint="eastAsia"/>
        </w:rPr>
        <w:t>费反映</w:t>
      </w:r>
      <w:proofErr w:type="gramEnd"/>
      <w:r>
        <w:rPr>
          <w:rFonts w:hint="eastAsia"/>
        </w:rPr>
        <w:t>单位公务出国（境）的国际旅费、国外城市间交通费、住宿费、伙食费、培训费、公杂费等支出；公</w:t>
      </w:r>
      <w:r>
        <w:rPr>
          <w:rFonts w:hint="eastAsia"/>
        </w:rPr>
        <w:lastRenderedPageBreak/>
        <w:t>务用车购置及运行</w:t>
      </w:r>
      <w:proofErr w:type="gramStart"/>
      <w:r>
        <w:rPr>
          <w:rFonts w:hint="eastAsia"/>
        </w:rPr>
        <w:t>费反映</w:t>
      </w:r>
      <w:proofErr w:type="gramEnd"/>
      <w:r>
        <w:rPr>
          <w:rFonts w:hint="eastAsia"/>
        </w:rPr>
        <w:t>单位公务用车车辆购置支出（</w:t>
      </w:r>
      <w:proofErr w:type="gramStart"/>
      <w:r>
        <w:rPr>
          <w:rFonts w:hint="eastAsia"/>
        </w:rPr>
        <w:t>含车辆</w:t>
      </w:r>
      <w:proofErr w:type="gramEnd"/>
      <w:r>
        <w:rPr>
          <w:rFonts w:hint="eastAsia"/>
        </w:rPr>
        <w:t>购置税）及租用费、燃料费、维修费、过路过桥费、保险费、安全奖励费用等支出；公务接待</w:t>
      </w:r>
      <w:proofErr w:type="gramStart"/>
      <w:r>
        <w:rPr>
          <w:rFonts w:hint="eastAsia"/>
        </w:rPr>
        <w:t>费反映</w:t>
      </w:r>
      <w:proofErr w:type="gramEnd"/>
      <w:r>
        <w:rPr>
          <w:rFonts w:hint="eastAsia"/>
        </w:rPr>
        <w:t xml:space="preserve">单位按规定开支的各类公务接待（含外宾接待）支出。 </w:t>
      </w:r>
    </w:p>
    <w:p w:rsidR="00D27C82" w:rsidRDefault="00000000">
      <w:pPr>
        <w:pStyle w:val="-"/>
      </w:pPr>
      <w:r>
        <w:rPr>
          <w:rFonts w:hint="eastAsia"/>
        </w:rPr>
        <w:t>十、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rsidR="00D27C82">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0BE5" w:rsidRDefault="00CF0BE5">
      <w:r>
        <w:separator/>
      </w:r>
    </w:p>
  </w:endnote>
  <w:endnote w:type="continuationSeparator" w:id="0">
    <w:p w:rsidR="00CF0BE5" w:rsidRDefault="00CF0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ArialUnicodeMS">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7C82" w:rsidRDefault="00000000">
    <w:pPr>
      <w:pStyle w:val="a6"/>
      <w:ind w:firstLine="560"/>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p w:rsidR="00D27C82" w:rsidRDefault="00D27C82">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7C82" w:rsidRDefault="00000000">
    <w:pPr>
      <w:pStyle w:val="a6"/>
      <w:ind w:firstLine="560"/>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3 -</w:t>
    </w:r>
    <w:r>
      <w:rPr>
        <w:rFonts w:ascii="宋体" w:hAnsi="宋体"/>
        <w:sz w:val="28"/>
        <w:szCs w:val="28"/>
      </w:rPr>
      <w:fldChar w:fldCharType="end"/>
    </w:r>
  </w:p>
  <w:p w:rsidR="00D27C82" w:rsidRDefault="00D27C82">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0BE5" w:rsidRDefault="00CF0BE5">
      <w:r>
        <w:separator/>
      </w:r>
    </w:p>
  </w:footnote>
  <w:footnote w:type="continuationSeparator" w:id="0">
    <w:p w:rsidR="00CF0BE5" w:rsidRDefault="00CF0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trackedChanges" w:enforcement="0"/>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5E"/>
    <w:rsid w:val="00003ECC"/>
    <w:rsid w:val="00013DA5"/>
    <w:rsid w:val="00014690"/>
    <w:rsid w:val="000222C8"/>
    <w:rsid w:val="00031E5E"/>
    <w:rsid w:val="00034A47"/>
    <w:rsid w:val="000577A6"/>
    <w:rsid w:val="00066296"/>
    <w:rsid w:val="000901CB"/>
    <w:rsid w:val="00092684"/>
    <w:rsid w:val="000A305A"/>
    <w:rsid w:val="000B0E5E"/>
    <w:rsid w:val="000D2DC4"/>
    <w:rsid w:val="0011087E"/>
    <w:rsid w:val="00117644"/>
    <w:rsid w:val="00117B46"/>
    <w:rsid w:val="0012203D"/>
    <w:rsid w:val="00127D1E"/>
    <w:rsid w:val="00165B79"/>
    <w:rsid w:val="00177717"/>
    <w:rsid w:val="00194EFD"/>
    <w:rsid w:val="00195DC4"/>
    <w:rsid w:val="001B1C75"/>
    <w:rsid w:val="001C3A00"/>
    <w:rsid w:val="001F072C"/>
    <w:rsid w:val="001F2CF6"/>
    <w:rsid w:val="001F541C"/>
    <w:rsid w:val="001F64B4"/>
    <w:rsid w:val="00201ECF"/>
    <w:rsid w:val="002161AD"/>
    <w:rsid w:val="00216D21"/>
    <w:rsid w:val="00217539"/>
    <w:rsid w:val="00225EB0"/>
    <w:rsid w:val="002300A6"/>
    <w:rsid w:val="00243EF1"/>
    <w:rsid w:val="00260D9C"/>
    <w:rsid w:val="002668DE"/>
    <w:rsid w:val="002678D7"/>
    <w:rsid w:val="0027485B"/>
    <w:rsid w:val="00283B06"/>
    <w:rsid w:val="002D0D88"/>
    <w:rsid w:val="002D15D3"/>
    <w:rsid w:val="002E204F"/>
    <w:rsid w:val="002F0D2F"/>
    <w:rsid w:val="00304724"/>
    <w:rsid w:val="00317713"/>
    <w:rsid w:val="00333A42"/>
    <w:rsid w:val="00340BCC"/>
    <w:rsid w:val="00342EE0"/>
    <w:rsid w:val="0035602E"/>
    <w:rsid w:val="003565D1"/>
    <w:rsid w:val="00360662"/>
    <w:rsid w:val="0037341E"/>
    <w:rsid w:val="00374B8A"/>
    <w:rsid w:val="003866DF"/>
    <w:rsid w:val="00392D5F"/>
    <w:rsid w:val="003A1224"/>
    <w:rsid w:val="003A7CA4"/>
    <w:rsid w:val="003B2888"/>
    <w:rsid w:val="003C2112"/>
    <w:rsid w:val="003C76DC"/>
    <w:rsid w:val="003F77AD"/>
    <w:rsid w:val="00400FCC"/>
    <w:rsid w:val="00401847"/>
    <w:rsid w:val="00420722"/>
    <w:rsid w:val="00423B99"/>
    <w:rsid w:val="00430128"/>
    <w:rsid w:val="00461461"/>
    <w:rsid w:val="00467362"/>
    <w:rsid w:val="00472D94"/>
    <w:rsid w:val="00474C70"/>
    <w:rsid w:val="00491D19"/>
    <w:rsid w:val="004A441C"/>
    <w:rsid w:val="004A4545"/>
    <w:rsid w:val="004B2DBB"/>
    <w:rsid w:val="004C110E"/>
    <w:rsid w:val="004C70C6"/>
    <w:rsid w:val="004C7F32"/>
    <w:rsid w:val="004E1CB3"/>
    <w:rsid w:val="004E31DF"/>
    <w:rsid w:val="004E5CA2"/>
    <w:rsid w:val="004E798D"/>
    <w:rsid w:val="00525BA8"/>
    <w:rsid w:val="00525DBD"/>
    <w:rsid w:val="00526A95"/>
    <w:rsid w:val="00534CA3"/>
    <w:rsid w:val="00536B3D"/>
    <w:rsid w:val="00540BD5"/>
    <w:rsid w:val="005412FC"/>
    <w:rsid w:val="005414B9"/>
    <w:rsid w:val="0054633A"/>
    <w:rsid w:val="005505AB"/>
    <w:rsid w:val="005679D0"/>
    <w:rsid w:val="00575675"/>
    <w:rsid w:val="00581FF3"/>
    <w:rsid w:val="00584368"/>
    <w:rsid w:val="005B6A58"/>
    <w:rsid w:val="005D27FD"/>
    <w:rsid w:val="005D6178"/>
    <w:rsid w:val="005F217F"/>
    <w:rsid w:val="00601D98"/>
    <w:rsid w:val="00604551"/>
    <w:rsid w:val="00633595"/>
    <w:rsid w:val="00637610"/>
    <w:rsid w:val="00641370"/>
    <w:rsid w:val="00652E4B"/>
    <w:rsid w:val="006534D2"/>
    <w:rsid w:val="00670700"/>
    <w:rsid w:val="00676910"/>
    <w:rsid w:val="00676AED"/>
    <w:rsid w:val="006816E5"/>
    <w:rsid w:val="00682D63"/>
    <w:rsid w:val="006B33E1"/>
    <w:rsid w:val="006C2066"/>
    <w:rsid w:val="006C4238"/>
    <w:rsid w:val="006E2D52"/>
    <w:rsid w:val="006F0014"/>
    <w:rsid w:val="006F1A60"/>
    <w:rsid w:val="006F3E43"/>
    <w:rsid w:val="006F6D27"/>
    <w:rsid w:val="00714C4F"/>
    <w:rsid w:val="00726DE7"/>
    <w:rsid w:val="00731E28"/>
    <w:rsid w:val="0073488A"/>
    <w:rsid w:val="0077160D"/>
    <w:rsid w:val="007746CE"/>
    <w:rsid w:val="0078012C"/>
    <w:rsid w:val="00782602"/>
    <w:rsid w:val="007A0E3E"/>
    <w:rsid w:val="007A579E"/>
    <w:rsid w:val="007B3F87"/>
    <w:rsid w:val="007C303A"/>
    <w:rsid w:val="007D135A"/>
    <w:rsid w:val="007F492A"/>
    <w:rsid w:val="00804ED5"/>
    <w:rsid w:val="00821A79"/>
    <w:rsid w:val="008307DF"/>
    <w:rsid w:val="00834948"/>
    <w:rsid w:val="0085534B"/>
    <w:rsid w:val="00862117"/>
    <w:rsid w:val="00874095"/>
    <w:rsid w:val="00880635"/>
    <w:rsid w:val="008909E0"/>
    <w:rsid w:val="00890F2C"/>
    <w:rsid w:val="008C2756"/>
    <w:rsid w:val="008D5655"/>
    <w:rsid w:val="008F20D5"/>
    <w:rsid w:val="0092239B"/>
    <w:rsid w:val="00923E5C"/>
    <w:rsid w:val="00925959"/>
    <w:rsid w:val="00927BDC"/>
    <w:rsid w:val="00943D37"/>
    <w:rsid w:val="009442D2"/>
    <w:rsid w:val="00963478"/>
    <w:rsid w:val="00995683"/>
    <w:rsid w:val="009A6D70"/>
    <w:rsid w:val="009A703B"/>
    <w:rsid w:val="009B6D3A"/>
    <w:rsid w:val="009C2A37"/>
    <w:rsid w:val="009D0BCF"/>
    <w:rsid w:val="009D3BAE"/>
    <w:rsid w:val="00A138A0"/>
    <w:rsid w:val="00A261B6"/>
    <w:rsid w:val="00A571A4"/>
    <w:rsid w:val="00A613AD"/>
    <w:rsid w:val="00A61FE3"/>
    <w:rsid w:val="00A702BB"/>
    <w:rsid w:val="00A96BC8"/>
    <w:rsid w:val="00AC2CE1"/>
    <w:rsid w:val="00AC343F"/>
    <w:rsid w:val="00AC59BB"/>
    <w:rsid w:val="00AD4340"/>
    <w:rsid w:val="00AE41AE"/>
    <w:rsid w:val="00AF09C0"/>
    <w:rsid w:val="00B05617"/>
    <w:rsid w:val="00B056ED"/>
    <w:rsid w:val="00B11DF1"/>
    <w:rsid w:val="00B12657"/>
    <w:rsid w:val="00B27D19"/>
    <w:rsid w:val="00B60AEF"/>
    <w:rsid w:val="00B63ECC"/>
    <w:rsid w:val="00B654F1"/>
    <w:rsid w:val="00B7079F"/>
    <w:rsid w:val="00B826E5"/>
    <w:rsid w:val="00B82D30"/>
    <w:rsid w:val="00B8410A"/>
    <w:rsid w:val="00B94C18"/>
    <w:rsid w:val="00BA42A9"/>
    <w:rsid w:val="00BA4A86"/>
    <w:rsid w:val="00BB5A35"/>
    <w:rsid w:val="00BC4129"/>
    <w:rsid w:val="00BD7AC8"/>
    <w:rsid w:val="00BE5DC5"/>
    <w:rsid w:val="00BF2265"/>
    <w:rsid w:val="00BF30E1"/>
    <w:rsid w:val="00BF42F8"/>
    <w:rsid w:val="00C11F43"/>
    <w:rsid w:val="00C25D70"/>
    <w:rsid w:val="00C5084A"/>
    <w:rsid w:val="00C54668"/>
    <w:rsid w:val="00C70736"/>
    <w:rsid w:val="00C773ED"/>
    <w:rsid w:val="00C84696"/>
    <w:rsid w:val="00C8771C"/>
    <w:rsid w:val="00CA0721"/>
    <w:rsid w:val="00CB19A0"/>
    <w:rsid w:val="00CB1E14"/>
    <w:rsid w:val="00CD0BF9"/>
    <w:rsid w:val="00CD147E"/>
    <w:rsid w:val="00CD6C36"/>
    <w:rsid w:val="00CE450A"/>
    <w:rsid w:val="00CF0BE5"/>
    <w:rsid w:val="00D13D04"/>
    <w:rsid w:val="00D23A42"/>
    <w:rsid w:val="00D27C82"/>
    <w:rsid w:val="00D34439"/>
    <w:rsid w:val="00D35C79"/>
    <w:rsid w:val="00D47A9C"/>
    <w:rsid w:val="00D5132C"/>
    <w:rsid w:val="00D562DC"/>
    <w:rsid w:val="00D62CB7"/>
    <w:rsid w:val="00D72361"/>
    <w:rsid w:val="00D75AE9"/>
    <w:rsid w:val="00D8157C"/>
    <w:rsid w:val="00DA686D"/>
    <w:rsid w:val="00DB49FB"/>
    <w:rsid w:val="00DD2105"/>
    <w:rsid w:val="00DD4E75"/>
    <w:rsid w:val="00DE28A9"/>
    <w:rsid w:val="00DE4D36"/>
    <w:rsid w:val="00DF5FD5"/>
    <w:rsid w:val="00E0447F"/>
    <w:rsid w:val="00E05A22"/>
    <w:rsid w:val="00E101B2"/>
    <w:rsid w:val="00E20B0B"/>
    <w:rsid w:val="00E27826"/>
    <w:rsid w:val="00E34706"/>
    <w:rsid w:val="00E52A6F"/>
    <w:rsid w:val="00E56B32"/>
    <w:rsid w:val="00E6717D"/>
    <w:rsid w:val="00E853A7"/>
    <w:rsid w:val="00E97FB6"/>
    <w:rsid w:val="00EA7419"/>
    <w:rsid w:val="00EB4E20"/>
    <w:rsid w:val="00ED695F"/>
    <w:rsid w:val="00EE298B"/>
    <w:rsid w:val="00F01DBD"/>
    <w:rsid w:val="00F17B6C"/>
    <w:rsid w:val="00F32225"/>
    <w:rsid w:val="00F44846"/>
    <w:rsid w:val="00F47958"/>
    <w:rsid w:val="00F50156"/>
    <w:rsid w:val="00F55891"/>
    <w:rsid w:val="00F62099"/>
    <w:rsid w:val="00F70329"/>
    <w:rsid w:val="00F9335F"/>
    <w:rsid w:val="00F95394"/>
    <w:rsid w:val="00FB1CD1"/>
    <w:rsid w:val="00FB29C2"/>
    <w:rsid w:val="00FB6A56"/>
    <w:rsid w:val="00FE2A5E"/>
    <w:rsid w:val="00FE7855"/>
    <w:rsid w:val="019B59F6"/>
    <w:rsid w:val="02442212"/>
    <w:rsid w:val="02EE2B0D"/>
    <w:rsid w:val="03E2004C"/>
    <w:rsid w:val="0C6D7B28"/>
    <w:rsid w:val="0F72529B"/>
    <w:rsid w:val="103455A1"/>
    <w:rsid w:val="13731019"/>
    <w:rsid w:val="14284E71"/>
    <w:rsid w:val="168D5014"/>
    <w:rsid w:val="1939374D"/>
    <w:rsid w:val="1F9754A6"/>
    <w:rsid w:val="2D424FB1"/>
    <w:rsid w:val="366A413F"/>
    <w:rsid w:val="386F2649"/>
    <w:rsid w:val="3CB303F0"/>
    <w:rsid w:val="3E5D2810"/>
    <w:rsid w:val="3E730530"/>
    <w:rsid w:val="40B977A8"/>
    <w:rsid w:val="4A645803"/>
    <w:rsid w:val="567B2748"/>
    <w:rsid w:val="576C131A"/>
    <w:rsid w:val="57FB2FAC"/>
    <w:rsid w:val="67CC195F"/>
    <w:rsid w:val="6A7B525C"/>
    <w:rsid w:val="6F300ADF"/>
    <w:rsid w:val="750A32E5"/>
    <w:rsid w:val="7DA220A5"/>
    <w:rsid w:val="7F4A4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B5595"/>
  <w15:docId w15:val="{333FD57A-6C9D-4EBC-94D7-15E00328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TOC3">
    <w:name w:val="toc 3"/>
    <w:basedOn w:val="a"/>
    <w:next w:val="a"/>
    <w:uiPriority w:val="39"/>
    <w:unhideWhenUsed/>
    <w:qFormat/>
    <w:pPr>
      <w:ind w:leftChars="400" w:left="840"/>
    </w:pPr>
  </w:style>
  <w:style w:type="paragraph" w:styleId="a4">
    <w:name w:val="Balloon Text"/>
    <w:basedOn w:val="a"/>
    <w:link w:val="a5"/>
    <w:uiPriority w:val="99"/>
    <w:semiHidden/>
    <w:unhideWhenUsed/>
    <w:rPr>
      <w:sz w:val="18"/>
      <w:szCs w:val="18"/>
    </w:rPr>
  </w:style>
  <w:style w:type="paragraph" w:styleId="a6">
    <w:name w:val="footer"/>
    <w:basedOn w:val="a"/>
    <w:link w:val="11"/>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2">
    <w:name w:val="toc 2"/>
    <w:basedOn w:val="a"/>
    <w:next w:val="a"/>
    <w:uiPriority w:val="39"/>
    <w:unhideWhenUsed/>
    <w:pPr>
      <w:ind w:leftChars="200" w:left="420"/>
    </w:p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qFormat/>
    <w:rPr>
      <w:color w:val="0000FF"/>
      <w:u w:val="single"/>
    </w:rPr>
  </w:style>
  <w:style w:type="character" w:styleId="ab">
    <w:name w:val="annotation reference"/>
    <w:basedOn w:val="a0"/>
    <w:uiPriority w:val="99"/>
    <w:semiHidden/>
    <w:unhideWhenUsed/>
    <w:rPr>
      <w:sz w:val="21"/>
      <w:szCs w:val="21"/>
    </w:rPr>
  </w:style>
  <w:style w:type="character" w:customStyle="1" w:styleId="ac">
    <w:name w:val="页脚 字符"/>
    <w:uiPriority w:val="99"/>
    <w:qFormat/>
  </w:style>
  <w:style w:type="character" w:customStyle="1" w:styleId="a8">
    <w:name w:val="页眉 字符"/>
    <w:link w:val="a7"/>
    <w:uiPriority w:val="99"/>
    <w:qFormat/>
    <w:rPr>
      <w:kern w:val="2"/>
      <w:sz w:val="18"/>
      <w:szCs w:val="18"/>
    </w:rPr>
  </w:style>
  <w:style w:type="character" w:customStyle="1" w:styleId="11">
    <w:name w:val="页脚 字符1"/>
    <w:link w:val="a6"/>
    <w:uiPriority w:val="99"/>
    <w:qFormat/>
    <w:rPr>
      <w:kern w:val="2"/>
      <w:sz w:val="18"/>
      <w:szCs w:val="18"/>
    </w:rPr>
  </w:style>
  <w:style w:type="character" w:customStyle="1" w:styleId="10">
    <w:name w:val="标题 1 字符"/>
    <w:link w:val="1"/>
    <w:uiPriority w:val="9"/>
    <w:rPr>
      <w:b/>
      <w:bCs/>
      <w:kern w:val="44"/>
      <w:sz w:val="44"/>
      <w:szCs w:val="44"/>
    </w:rPr>
  </w:style>
  <w:style w:type="character" w:customStyle="1" w:styleId="20">
    <w:name w:val="标题 2 字符"/>
    <w:link w:val="2"/>
    <w:uiPriority w:val="9"/>
    <w:rPr>
      <w:rFonts w:ascii="等线 Light" w:eastAsia="等线 Light" w:hAnsi="等线 Light" w:cs="Times New Roman"/>
      <w:b/>
      <w:bCs/>
      <w:kern w:val="2"/>
      <w:sz w:val="32"/>
      <w:szCs w:val="32"/>
    </w:rPr>
  </w:style>
  <w:style w:type="character" w:customStyle="1" w:styleId="a5">
    <w:name w:val="批注框文本 字符"/>
    <w:link w:val="a4"/>
    <w:uiPriority w:val="99"/>
    <w:semiHidden/>
    <w:rPr>
      <w:kern w:val="2"/>
      <w:sz w:val="18"/>
      <w:szCs w:val="18"/>
    </w:rPr>
  </w:style>
  <w:style w:type="character" w:customStyle="1" w:styleId="30">
    <w:name w:val="标题 3 字符"/>
    <w:link w:val="3"/>
    <w:uiPriority w:val="9"/>
    <w:semiHidden/>
    <w:rPr>
      <w:b/>
      <w:bCs/>
      <w:kern w:val="2"/>
      <w:sz w:val="32"/>
      <w:szCs w:val="32"/>
    </w:rPr>
  </w:style>
  <w:style w:type="paragraph" w:customStyle="1" w:styleId="-">
    <w:name w:val="正文-决算公开"/>
    <w:basedOn w:val="a"/>
    <w:qFormat/>
    <w:pPr>
      <w:spacing w:line="560" w:lineRule="exact"/>
      <w:ind w:firstLineChars="200" w:firstLine="640"/>
    </w:pPr>
    <w:rPr>
      <w:rFonts w:ascii="仿宋_GB2312" w:eastAsia="仿宋_GB2312" w:hAnsi="仿宋_GB2312"/>
      <w:sz w:val="32"/>
    </w:rPr>
  </w:style>
  <w:style w:type="paragraph" w:customStyle="1" w:styleId="12">
    <w:name w:val="标题1决算公开"/>
    <w:basedOn w:val="1"/>
    <w:qFormat/>
    <w:pPr>
      <w:spacing w:before="240" w:after="60" w:line="560" w:lineRule="exact"/>
      <w:jc w:val="center"/>
    </w:pPr>
    <w:rPr>
      <w:rFonts w:ascii="黑体" w:eastAsia="黑体" w:hAnsi="黑体" w:cs="黑体"/>
      <w:b w:val="0"/>
      <w:sz w:val="32"/>
      <w:szCs w:val="32"/>
    </w:rPr>
  </w:style>
  <w:style w:type="paragraph" w:customStyle="1" w:styleId="21">
    <w:name w:val="标题2决算公开"/>
    <w:basedOn w:val="2"/>
    <w:next w:val="a"/>
    <w:qFormat/>
    <w:pPr>
      <w:spacing w:line="560" w:lineRule="exact"/>
    </w:pPr>
    <w:rPr>
      <w:rFonts w:ascii="黑体" w:eastAsia="黑体" w:hAnsi="黑体"/>
      <w:b w:val="0"/>
      <w:bCs w:val="0"/>
      <w:kern w:val="44"/>
    </w:rPr>
  </w:style>
  <w:style w:type="paragraph" w:customStyle="1" w:styleId="31">
    <w:name w:val="标题3决算公开"/>
    <w:basedOn w:val="3"/>
    <w:next w:val="-"/>
    <w:qFormat/>
    <w:pPr>
      <w:spacing w:line="560" w:lineRule="exact"/>
    </w:pPr>
    <w:rPr>
      <w:rFonts w:ascii="仿宋_GB2312" w:eastAsia="仿宋_GB2312" w:hAnsi="Arial" w:cs="Arial"/>
      <w:b w:val="0"/>
      <w:bCs w:val="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02D421-B395-4EAB-987A-BAE1753D9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1354</Words>
  <Characters>7720</Characters>
  <Application>Microsoft Office Word</Application>
  <DocSecurity>0</DocSecurity>
  <Lines>64</Lines>
  <Paragraphs>18</Paragraphs>
  <ScaleCrop>false</ScaleCrop>
  <Company>Zhuozhengsoft</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somebody</dc:creator>
  <cp:lastModifiedBy>HW</cp:lastModifiedBy>
  <cp:revision>2</cp:revision>
  <cp:lastPrinted>2021-02-25T08:59:00Z</cp:lastPrinted>
  <dcterms:created xsi:type="dcterms:W3CDTF">2023-09-26T03:08:00Z</dcterms:created>
  <dcterms:modified xsi:type="dcterms:W3CDTF">2023-09-26T03:08:00Z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