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830C">
      <w:pPr>
        <w:keepNext w:val="0"/>
        <w:keepLines w:val="0"/>
        <w:pageBreakBefore w:val="0"/>
        <w:widowControl w:val="0"/>
        <w:kinsoku/>
        <w:wordWrap/>
        <w:overflowPunct/>
        <w:topLinePunct w:val="0"/>
        <w:bidi w:val="0"/>
        <w:snapToGrid/>
        <w:spacing w:line="560" w:lineRule="exact"/>
        <w:jc w:val="right"/>
        <w:rPr>
          <w:rFonts w:ascii="仿宋_GB2312" w:hAnsi="Times New Roman" w:eastAsia="仿宋_GB2312"/>
          <w:sz w:val="32"/>
          <w:szCs w:val="32"/>
        </w:rPr>
      </w:pPr>
    </w:p>
    <w:p w14:paraId="3554FFC6">
      <w:pPr>
        <w:keepNext w:val="0"/>
        <w:keepLines w:val="0"/>
        <w:pageBreakBefore w:val="0"/>
        <w:widowControl w:val="0"/>
        <w:kinsoku/>
        <w:wordWrap/>
        <w:overflowPunct/>
        <w:topLinePunct w:val="0"/>
        <w:bidi w:val="0"/>
        <w:snapToGrid/>
        <w:spacing w:line="560" w:lineRule="exact"/>
        <w:jc w:val="right"/>
        <w:rPr>
          <w:rFonts w:ascii="仿宋_GB2312" w:hAnsi="Times New Roman" w:eastAsia="仿宋_GB2312"/>
          <w:sz w:val="32"/>
          <w:szCs w:val="32"/>
        </w:rPr>
      </w:pPr>
    </w:p>
    <w:p w14:paraId="52049D95">
      <w:pPr>
        <w:pStyle w:val="2"/>
        <w:keepNext w:val="0"/>
        <w:keepLines w:val="0"/>
        <w:pageBreakBefore w:val="0"/>
        <w:widowControl w:val="0"/>
        <w:kinsoku/>
        <w:wordWrap/>
        <w:overflowPunct/>
        <w:topLinePunct w:val="0"/>
        <w:bidi w:val="0"/>
        <w:snapToGrid/>
        <w:spacing w:line="560" w:lineRule="exact"/>
        <w:rPr>
          <w:rFonts w:hint="eastAsia"/>
        </w:rPr>
      </w:pPr>
    </w:p>
    <w:tbl>
      <w:tblPr>
        <w:tblStyle w:val="16"/>
        <w:tblW w:w="9061" w:type="dxa"/>
        <w:jc w:val="center"/>
        <w:tblLayout w:type="autofit"/>
        <w:tblCellMar>
          <w:top w:w="0" w:type="dxa"/>
          <w:left w:w="108" w:type="dxa"/>
          <w:bottom w:w="0" w:type="dxa"/>
          <w:right w:w="108" w:type="dxa"/>
        </w:tblCellMar>
      </w:tblPr>
      <w:tblGrid>
        <w:gridCol w:w="7226"/>
        <w:gridCol w:w="1835"/>
      </w:tblGrid>
      <w:tr w14:paraId="5A65B570">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3482C684">
            <w:pPr>
              <w:spacing w:line="900" w:lineRule="exact"/>
              <w:ind w:right="42"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广西壮族自治区科学技术厅</w:t>
            </w:r>
          </w:p>
        </w:tc>
        <w:tc>
          <w:tcPr>
            <w:tcW w:w="1835" w:type="dxa"/>
            <w:vMerge w:val="restart"/>
            <w:noWrap w:val="0"/>
            <w:tcMar>
              <w:left w:w="0" w:type="dxa"/>
              <w:right w:w="0" w:type="dxa"/>
            </w:tcMar>
            <w:vAlign w:val="center"/>
          </w:tcPr>
          <w:p w14:paraId="29AC502C">
            <w:pPr>
              <w:jc w:val="right"/>
              <w:rPr>
                <w:rFonts w:hint="eastAsia" w:ascii="方正小标宋简体" w:eastAsia="方正小标宋简体"/>
                <w:color w:val="FF0000"/>
                <w:sz w:val="86"/>
                <w:szCs w:val="86"/>
              </w:rPr>
            </w:pPr>
            <w:r>
              <w:rPr>
                <w:rFonts w:hint="eastAsia" w:ascii="方正小标宋简体" w:eastAsia="方正小标宋简体"/>
                <w:color w:val="FF0000"/>
                <w:sz w:val="86"/>
                <w:szCs w:val="86"/>
              </w:rPr>
              <w:t>文件</w:t>
            </w:r>
          </w:p>
        </w:tc>
      </w:tr>
      <w:tr w14:paraId="6FD8E295">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0D74C387">
            <w:pPr>
              <w:spacing w:line="900" w:lineRule="exact"/>
              <w:ind w:right="42"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广西壮族自治区财政厅</w:t>
            </w:r>
          </w:p>
        </w:tc>
        <w:tc>
          <w:tcPr>
            <w:tcW w:w="1835" w:type="dxa"/>
            <w:vMerge w:val="continue"/>
            <w:noWrap w:val="0"/>
            <w:tcMar>
              <w:left w:w="0" w:type="dxa"/>
              <w:right w:w="0" w:type="dxa"/>
            </w:tcMar>
            <w:vAlign w:val="center"/>
          </w:tcPr>
          <w:p w14:paraId="5F55EC0E">
            <w:pPr>
              <w:jc w:val="center"/>
              <w:rPr>
                <w:rFonts w:hint="eastAsia" w:ascii="方正小标宋简体" w:eastAsia="方正小标宋简体"/>
                <w:color w:val="FF0000"/>
                <w:sz w:val="86"/>
                <w:szCs w:val="86"/>
              </w:rPr>
            </w:pPr>
          </w:p>
        </w:tc>
      </w:tr>
    </w:tbl>
    <w:p w14:paraId="3F30AE29">
      <w:pPr>
        <w:shd w:val="clear" w:color="auto" w:fill="auto"/>
        <w:adjustRightInd w:val="0"/>
        <w:snapToGrid w:val="0"/>
        <w:spacing w:line="400" w:lineRule="exact"/>
        <w:jc w:val="center"/>
        <w:rPr>
          <w:rFonts w:hint="eastAsia" w:ascii="方正小标宋_GBK" w:hAnsi="CG Times" w:eastAsia="方正小标宋_GBK"/>
          <w:snapToGrid w:val="0"/>
          <w:color w:val="000000"/>
          <w:spacing w:val="-10"/>
          <w:kern w:val="0"/>
          <w:sz w:val="92"/>
          <w:szCs w:val="92"/>
        </w:rPr>
      </w:pPr>
    </w:p>
    <w:p w14:paraId="0F37010B">
      <w:pPr>
        <w:shd w:val="clear" w:color="auto" w:fill="auto"/>
        <w:spacing w:line="400" w:lineRule="exact"/>
        <w:jc w:val="center"/>
        <w:rPr>
          <w:rFonts w:eastAsia="仿宋_GB2312"/>
          <w:color w:val="000000"/>
          <w:sz w:val="32"/>
          <w:szCs w:val="32"/>
        </w:rPr>
      </w:pPr>
    </w:p>
    <w:p w14:paraId="62FC5DF4">
      <w:pPr>
        <w:shd w:val="clear" w:color="auto" w:fill="auto"/>
        <w:jc w:val="center"/>
        <w:rPr>
          <w:rFonts w:hint="eastAsia" w:eastAsia="楷体_GB2312"/>
          <w:bCs/>
          <w:snapToGrid w:val="0"/>
          <w:color w:val="auto"/>
          <w:kern w:val="0"/>
          <w:sz w:val="32"/>
          <w:szCs w:val="32"/>
          <w:lang w:val="en-US" w:eastAsia="zh-CN"/>
        </w:rPr>
      </w:pPr>
      <w:r>
        <w:rPr>
          <w:rFonts w:ascii="Times New Roman" w:hAnsi="Times New Roman" w:eastAsia="仿宋_GB2312" w:cs="Times New Roman"/>
          <w:bCs/>
          <w:snapToGrid w:val="0"/>
          <w:kern w:val="0"/>
          <w:sz w:val="32"/>
          <w:szCs w:val="32"/>
        </w:rPr>
        <w:t>桂科</w:t>
      </w:r>
      <w:r>
        <w:rPr>
          <w:rFonts w:hint="eastAsia" w:ascii="Times New Roman" w:hAnsi="Times New Roman" w:eastAsia="仿宋_GB2312" w:cs="Times New Roman"/>
          <w:bCs/>
          <w:snapToGrid w:val="0"/>
          <w:kern w:val="0"/>
          <w:sz w:val="32"/>
          <w:szCs w:val="32"/>
          <w:lang w:eastAsia="zh-CN"/>
        </w:rPr>
        <w:t>规字</w:t>
      </w:r>
      <w:r>
        <w:rPr>
          <w:rFonts w:ascii="Times New Roman" w:hAnsi="Times New Roman" w:eastAsia="仿宋_GB2312" w:cs="Times New Roman"/>
          <w:bCs/>
          <w:snapToGrid w:val="0"/>
          <w:kern w:val="0"/>
          <w:sz w:val="32"/>
          <w:szCs w:val="32"/>
        </w:rPr>
        <w:t>〔202</w:t>
      </w:r>
      <w:r>
        <w:rPr>
          <w:rFonts w:hint="default" w:ascii="Times New Roman" w:hAnsi="Times New Roman" w:eastAsia="仿宋_GB2312" w:cs="Times New Roman"/>
          <w:bCs/>
          <w:snapToGrid w:val="0"/>
          <w:kern w:val="0"/>
          <w:sz w:val="32"/>
          <w:szCs w:val="32"/>
          <w:lang w:val="en" w:eastAsia="zh-CN"/>
        </w:rPr>
        <w:t>5</w:t>
      </w:r>
      <w:r>
        <w:rPr>
          <w:rFonts w:ascii="Times New Roman" w:hAnsi="Times New Roman" w:eastAsia="仿宋_GB2312" w:cs="Times New Roman"/>
          <w:bCs/>
          <w:snapToGrid w:val="0"/>
          <w:kern w:val="0"/>
          <w:sz w:val="32"/>
          <w:szCs w:val="32"/>
        </w:rPr>
        <w:t>〕</w:t>
      </w:r>
      <w:r>
        <w:rPr>
          <w:rFonts w:hint="eastAsia" w:ascii="Times New Roman" w:hAnsi="Times New Roman" w:eastAsia="仿宋_GB2312" w:cs="Times New Roman"/>
          <w:bCs/>
          <w:snapToGrid w:val="0"/>
          <w:kern w:val="0"/>
          <w:sz w:val="32"/>
          <w:szCs w:val="32"/>
          <w:lang w:val="en-US" w:eastAsia="zh-CN"/>
        </w:rPr>
        <w:t>18</w:t>
      </w:r>
      <w:r>
        <w:rPr>
          <w:rFonts w:ascii="Times New Roman" w:hAnsi="Times New Roman" w:eastAsia="仿宋_GB2312" w:cs="Times New Roman"/>
          <w:bCs/>
          <w:snapToGrid w:val="0"/>
          <w:kern w:val="0"/>
          <w:sz w:val="32"/>
          <w:szCs w:val="32"/>
        </w:rPr>
        <w:t>号</w:t>
      </w:r>
    </w:p>
    <w:p w14:paraId="133E97E1">
      <w:pPr>
        <w:keepNext w:val="0"/>
        <w:keepLines w:val="0"/>
        <w:pageBreakBefore w:val="0"/>
        <w:widowControl w:val="0"/>
        <w:shd w:val="clear" w:color="auto" w:fill="auto"/>
        <w:kinsoku/>
        <w:wordWrap/>
        <w:overflowPunct/>
        <w:topLinePunct w:val="0"/>
        <w:autoSpaceDE/>
        <w:autoSpaceDN/>
        <w:bidi w:val="0"/>
        <w:adjustRightInd w:val="0"/>
        <w:snapToGrid w:val="0"/>
        <w:spacing w:line="800" w:lineRule="exact"/>
        <w:textAlignment w:val="auto"/>
        <w:rPr>
          <w:rFonts w:eastAsia="方正仿宋_GBK"/>
          <w:color w:val="000000"/>
          <w:sz w:val="32"/>
          <w:szCs w:val="32"/>
        </w:rPr>
      </w:pP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82550</wp:posOffset>
                </wp:positionV>
                <wp:extent cx="5760085" cy="0"/>
                <wp:effectExtent l="0" t="12700" r="635" b="17780"/>
                <wp:wrapNone/>
                <wp:docPr id="1" name="直线 2"/>
                <wp:cNvGraphicFramePr/>
                <a:graphic xmlns:a="http://schemas.openxmlformats.org/drawingml/2006/main">
                  <a:graphicData uri="http://schemas.microsoft.com/office/word/2010/wordprocessingShape">
                    <wps:wsp>
                      <wps:cNvSpPr/>
                      <wps:spPr>
                        <a:xfrm flipV="1">
                          <a:off x="0" y="0"/>
                          <a:ext cx="576008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5.7pt;margin-top:6.5pt;height:0pt;width:453.55pt;z-index:251659264;mso-width-relative:page;mso-height-relative:page;" filled="f" stroked="t" coordsize="21600,21600" o:gfxdata="UEsDBAoAAAAAAIdO4kAAAAAAAAAAAAAAAAAEAAAAZHJzL1BLAwQUAAAACACHTuJACcMHQ9QAAAAJ&#10;AQAADwAAAGRycy9kb3ducmV2LnhtbE2PwU7DMBBE70j8g7VI3Fo7pIUS4vQA4sAFqQHubryNI+J1&#10;FDtJ+XsWcYDjzjzNzpT7s+/FjGPsAmnI1goEUhNsR62G97fn1Q5ETIas6QOhhi+MsK8uL0pT2LDQ&#10;Aec6tYJDKBZGg0tpKKSMjUNv4joMSOydwuhN4nNspR3NwuG+lzdK3UpvOuIPzgz46LD5rCev4YPy&#10;KbxsnzZqrg+DyU+vy+JQ6+urTD2ASHhOfzD81OfqUHGnY5jIRtFrWGXZhlE2ct7EwO5+ewfi+CvI&#10;qpT/F1TfUEsDBBQAAAAIAIdO4kCcBOdZ8QEAAOYDAAAOAAAAZHJzL2Uyb0RvYy54bWytU82O0zAQ&#10;viPxDpbvNGlFl1XUdA+UckGw0gL3qX8SS/6Tx23aZ+E1OHHhcfY1GCfdAsulB3KIxp6Zb+b7Zry6&#10;OzrLDiqhCb7l81nNmfIiSOO7ln/5vH11yxlm8BJs8KrlJ4X8bv3yxWqIjVqEPlipEiMQj80QW97n&#10;HJuqQtErBzgLUXly6pAcZDqmrpIJBkJ3tlrU9U01hCRjCkIh0u1mcvIzYroGMGhthNoEsXfK5wk1&#10;KQuZKGFvIvL12K3WSuRPWqPKzLacmObxT0XI3pV/tV5B0yWIvRHnFuCaFp5xcmA8Fb1AbSAD2yfz&#10;D5QzIgUMOs9EcNVEZFSEWMzrZ9o89BDVyIWkxngRHf8frPh4uE/MSNoEzjw4Gvjjt++PP36yRdFm&#10;iNhQyEO8T+cTklmIHnVyTFsTv5bUckNk2HFU9nRRVh0zE3S5fHNT17dLzsSTr5ogSmJMmN+r4Fgx&#10;Wm6NL6ShgcMHzFSWQp9CyrX1bGj5Yvm6piEKoBXUNHoyXSQa6LsxGYM1cmusLSmYut1bm9gBaA22&#10;25q+wo6A/worVTaA/RQ3uqYF6RXId16yfIokkKd3wUsPTknOrKJnVCwChCaDsddEUmnrqYMi8CRp&#10;sXZBnmgc+5hM15MU87HL4qHxj/2eV7Xs15/nEen38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nDB0PUAAAACQEAAA8AAAAAAAAAAQAgAAAAIgAAAGRycy9kb3ducmV2LnhtbFBLAQIUABQAAAAI&#10;AIdO4kCcBOdZ8QEAAOYDAAAOAAAAAAAAAAEAIAAAACMBAABkcnMvZTJvRG9jLnhtbFBLBQYAAAAA&#10;BgAGAFkBAACGBQAAAAA=&#10;">
                <v:fill on="f" focussize="0,0"/>
                <v:stroke weight="2pt" color="#FF0000" joinstyle="round"/>
                <v:imagedata o:title=""/>
                <o:lock v:ext="edit" aspectratio="f"/>
              </v:line>
            </w:pict>
          </mc:Fallback>
        </mc:AlternateContent>
      </w:r>
    </w:p>
    <w:p w14:paraId="0FBA9BC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广西壮族自治区科学技术厅</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广西壮族自治区</w:t>
      </w:r>
      <w:r>
        <w:rPr>
          <w:rFonts w:hint="eastAsia" w:ascii="方正小标宋简体" w:hAnsi="方正小标宋简体" w:eastAsia="方正小标宋简体" w:cs="方正小标宋简体"/>
          <w:sz w:val="44"/>
          <w:szCs w:val="44"/>
          <w:lang w:val="en-US" w:eastAsia="zh-CN"/>
        </w:rPr>
        <w:t>财政厅</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《广西科技成果转化项目</w:t>
      </w:r>
      <w:bookmarkStart w:id="0" w:name="_GoBack"/>
    </w:p>
    <w:bookmarkEnd w:id="0"/>
    <w:p w14:paraId="7BBA5B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“拨转投”工作方案》的</w:t>
      </w:r>
      <w:r>
        <w:rPr>
          <w:rFonts w:hint="eastAsia" w:ascii="方正小标宋简体" w:hAnsi="方正小标宋简体" w:eastAsia="方正小标宋简体" w:cs="方正小标宋简体"/>
          <w:sz w:val="44"/>
          <w:szCs w:val="44"/>
          <w:lang w:eastAsia="zh-CN"/>
        </w:rPr>
        <w:t>通知</w:t>
      </w:r>
    </w:p>
    <w:p w14:paraId="0CD0BBE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79316157">
      <w:pPr>
        <w:keepNext w:val="0"/>
        <w:keepLines w:val="0"/>
        <w:pageBreakBefore w:val="0"/>
        <w:widowControl w:val="0"/>
        <w:kinsoku/>
        <w:wordWrap/>
        <w:overflowPunct/>
        <w:topLinePunct w:val="0"/>
        <w:autoSpaceDE/>
        <w:autoSpaceDN/>
        <w:bidi w:val="0"/>
        <w:adjustRightInd/>
        <w:snapToGrid/>
        <w:spacing w:line="580" w:lineRule="exact"/>
        <w:textAlignment w:val="auto"/>
        <w:outlineLvl w:val="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各有关单位</w:t>
      </w:r>
      <w:r>
        <w:rPr>
          <w:rFonts w:hint="default" w:ascii="Times New Roman" w:hAnsi="Times New Roman" w:eastAsia="仿宋_GB2312" w:cs="Times New Roman"/>
          <w:sz w:val="32"/>
          <w:szCs w:val="32"/>
          <w:lang w:eastAsia="zh-CN"/>
        </w:rPr>
        <w:t>：</w:t>
      </w:r>
    </w:p>
    <w:p w14:paraId="65D576B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现将《广西科技成果转化项目“拨转投”工作方案》</w:t>
      </w:r>
      <w:r>
        <w:rPr>
          <w:rFonts w:hint="default" w:ascii="Times New Roman" w:hAnsi="Times New Roman" w:eastAsia="仿宋_GB2312" w:cs="Times New Roman"/>
          <w:sz w:val="32"/>
          <w:szCs w:val="32"/>
          <w:lang w:eastAsia="zh-CN"/>
        </w:rPr>
        <w:t>印发给你们，请结合</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lang w:eastAsia="zh-CN"/>
        </w:rPr>
        <w:t>实际</w:t>
      </w:r>
      <w:r>
        <w:rPr>
          <w:rFonts w:hint="eastAsia" w:ascii="Times New Roman" w:hAnsi="Times New Roman" w:eastAsia="仿宋_GB2312" w:cs="Times New Roman"/>
          <w:sz w:val="32"/>
          <w:szCs w:val="32"/>
          <w:lang w:eastAsia="zh-CN"/>
        </w:rPr>
        <w:t>认真贯彻执行</w:t>
      </w:r>
      <w:r>
        <w:rPr>
          <w:rFonts w:hint="default" w:ascii="Times New Roman" w:hAnsi="Times New Roman" w:eastAsia="仿宋_GB2312" w:cs="Times New Roman"/>
          <w:sz w:val="32"/>
          <w:szCs w:val="32"/>
          <w:lang w:eastAsia="zh-CN"/>
        </w:rPr>
        <w:t>。</w:t>
      </w:r>
    </w:p>
    <w:p w14:paraId="7D36A816">
      <w:pPr>
        <w:keepNext w:val="0"/>
        <w:keepLines w:val="0"/>
        <w:pageBreakBefore w:val="0"/>
        <w:widowControl w:val="0"/>
        <w:shd w:val="clear" w:color="auto" w:fill="auto"/>
        <w:kinsoku/>
        <w:wordWrap/>
        <w:overflowPunct/>
        <w:topLinePunct w:val="0"/>
        <w:autoSpaceDE/>
        <w:autoSpaceDN/>
        <w:bidi w:val="0"/>
        <w:adjustRightInd/>
        <w:snapToGrid/>
        <w:spacing w:line="700" w:lineRule="exact"/>
        <w:ind w:right="0" w:rightChars="0"/>
        <w:jc w:val="left"/>
        <w:textAlignment w:val="auto"/>
        <w:rPr>
          <w:rFonts w:hint="default" w:ascii="仿宋_GB2312" w:eastAsia="仿宋_GB2312"/>
          <w:color w:val="auto"/>
          <w:sz w:val="32"/>
          <w:szCs w:val="32"/>
          <w:lang w:val="en-US" w:eastAsia="zh-CN"/>
        </w:rPr>
      </w:pPr>
    </w:p>
    <w:p w14:paraId="33C06875">
      <w:pPr>
        <w:pStyle w:val="2"/>
        <w:keepNext w:val="0"/>
        <w:keepLines w:val="0"/>
        <w:pageBreakBefore w:val="0"/>
        <w:widowControl w:val="0"/>
        <w:kinsoku/>
        <w:wordWrap/>
        <w:overflowPunct/>
        <w:topLinePunct w:val="0"/>
        <w:bidi w:val="0"/>
        <w:snapToGrid/>
        <w:spacing w:line="700" w:lineRule="exact"/>
        <w:rPr>
          <w:rFonts w:hint="default"/>
          <w:lang w:val="en-US" w:eastAsia="zh-CN"/>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82"/>
        <w:gridCol w:w="283"/>
        <w:gridCol w:w="3969"/>
      </w:tblGrid>
      <w:tr w14:paraId="1DB8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82" w:type="dxa"/>
            <w:tcBorders>
              <w:tl2br w:val="nil"/>
              <w:tr2bl w:val="nil"/>
            </w:tcBorders>
            <w:noWrap w:val="0"/>
            <w:vAlign w:val="top"/>
          </w:tcPr>
          <w:p w14:paraId="68B2AFB1">
            <w:pPr>
              <w:pStyle w:val="2"/>
              <w:keepNext w:val="0"/>
              <w:keepLines w:val="0"/>
              <w:pageBreakBefore w:val="0"/>
              <w:widowControl w:val="0"/>
              <w:kinsoku/>
              <w:wordWrap/>
              <w:overflowPunct/>
              <w:topLinePunct w:val="0"/>
              <w:bidi w:val="0"/>
              <w:snapToGrid/>
              <w:spacing w:line="500" w:lineRule="exact"/>
              <w:jc w:val="center"/>
              <w:rPr>
                <w:rFonts w:hint="default"/>
                <w:vertAlign w:val="baseline"/>
                <w:lang w:val="en-US" w:eastAsia="zh-CN"/>
              </w:rPr>
            </w:pPr>
            <w:r>
              <w:rPr>
                <w:rFonts w:ascii="Times New Roman" w:hAnsi="Times New Roman" w:eastAsia="仿宋_GB2312"/>
                <w:color w:val="auto"/>
                <w:spacing w:val="0"/>
                <w:sz w:val="32"/>
                <w:szCs w:val="32"/>
              </w:rPr>
              <w:t>广西壮族自治区</w:t>
            </w:r>
            <w:r>
              <w:rPr>
                <w:rFonts w:hint="eastAsia" w:ascii="Times New Roman" w:hAnsi="Times New Roman" w:eastAsia="仿宋_GB2312"/>
                <w:color w:val="auto"/>
                <w:spacing w:val="0"/>
                <w:sz w:val="32"/>
                <w:szCs w:val="32"/>
                <w:lang w:eastAsia="zh-CN"/>
              </w:rPr>
              <w:t>科学技术厅</w:t>
            </w:r>
          </w:p>
        </w:tc>
        <w:tc>
          <w:tcPr>
            <w:tcW w:w="283" w:type="dxa"/>
            <w:tcBorders>
              <w:tl2br w:val="nil"/>
              <w:tr2bl w:val="nil"/>
            </w:tcBorders>
            <w:noWrap w:val="0"/>
            <w:vAlign w:val="top"/>
          </w:tcPr>
          <w:p w14:paraId="56267619">
            <w:pPr>
              <w:pStyle w:val="2"/>
              <w:keepNext w:val="0"/>
              <w:keepLines w:val="0"/>
              <w:pageBreakBefore w:val="0"/>
              <w:widowControl w:val="0"/>
              <w:kinsoku/>
              <w:wordWrap/>
              <w:overflowPunct/>
              <w:topLinePunct w:val="0"/>
              <w:bidi w:val="0"/>
              <w:snapToGrid/>
              <w:spacing w:line="500" w:lineRule="exact"/>
              <w:jc w:val="center"/>
              <w:rPr>
                <w:rFonts w:ascii="Times New Roman" w:hAnsi="Times New Roman" w:eastAsia="仿宋_GB2312"/>
                <w:color w:val="auto"/>
                <w:sz w:val="32"/>
                <w:szCs w:val="32"/>
              </w:rPr>
            </w:pPr>
          </w:p>
        </w:tc>
        <w:tc>
          <w:tcPr>
            <w:tcW w:w="3969" w:type="dxa"/>
            <w:tcBorders>
              <w:tl2br w:val="nil"/>
              <w:tr2bl w:val="nil"/>
            </w:tcBorders>
            <w:noWrap w:val="0"/>
            <w:vAlign w:val="top"/>
          </w:tcPr>
          <w:p w14:paraId="0D5B69A6">
            <w:pPr>
              <w:pStyle w:val="2"/>
              <w:keepNext w:val="0"/>
              <w:keepLines w:val="0"/>
              <w:pageBreakBefore w:val="0"/>
              <w:widowControl w:val="0"/>
              <w:kinsoku/>
              <w:wordWrap/>
              <w:overflowPunct/>
              <w:topLinePunct w:val="0"/>
              <w:bidi w:val="0"/>
              <w:snapToGrid/>
              <w:spacing w:line="500" w:lineRule="exact"/>
              <w:jc w:val="center"/>
              <w:rPr>
                <w:rFonts w:hint="default"/>
                <w:vertAlign w:val="baseline"/>
                <w:lang w:val="en-US" w:eastAsia="zh-CN"/>
              </w:rPr>
            </w:pPr>
            <w:r>
              <w:rPr>
                <w:rFonts w:ascii="Times New Roman" w:hAnsi="Times New Roman" w:eastAsia="仿宋_GB2312"/>
                <w:color w:val="auto"/>
                <w:sz w:val="32"/>
                <w:szCs w:val="32"/>
              </w:rPr>
              <w:t>广西壮族自治区</w:t>
            </w:r>
            <w:r>
              <w:rPr>
                <w:rFonts w:hint="eastAsia" w:ascii="Times New Roman" w:hAnsi="Times New Roman" w:eastAsia="仿宋_GB2312"/>
                <w:color w:val="auto"/>
                <w:sz w:val="32"/>
                <w:szCs w:val="32"/>
                <w:lang w:eastAsia="zh-CN"/>
              </w:rPr>
              <w:t>财政</w:t>
            </w:r>
            <w:r>
              <w:rPr>
                <w:rFonts w:ascii="Times New Roman" w:hAnsi="Times New Roman" w:eastAsia="仿宋_GB2312"/>
                <w:color w:val="auto"/>
                <w:sz w:val="32"/>
                <w:szCs w:val="32"/>
              </w:rPr>
              <w:t>厅</w:t>
            </w:r>
          </w:p>
        </w:tc>
      </w:tr>
    </w:tbl>
    <w:p w14:paraId="1672469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pacing w:val="12"/>
          <w:sz w:val="32"/>
          <w:szCs w:val="32"/>
          <w:lang w:val="en-US" w:eastAsia="zh-CN"/>
        </w:rPr>
      </w:pPr>
      <w:r>
        <w:rPr>
          <w:rFonts w:hint="default" w:ascii="Times New Roman" w:hAnsi="Times New Roman" w:eastAsia="仿宋_GB2312" w:cs="Times New Roman"/>
          <w:spacing w:val="0"/>
          <w:sz w:val="32"/>
          <w:szCs w:val="32"/>
          <w:lang w:val="en-US" w:eastAsia="zh-CN"/>
        </w:rPr>
        <w:t>2025年</w:t>
      </w:r>
      <w:r>
        <w:rPr>
          <w:rFonts w:hint="default" w:ascii="Times New Roman" w:hAnsi="Times New Roman" w:cs="Times New Roman"/>
          <w:spacing w:val="0"/>
          <w:sz w:val="32"/>
          <w:szCs w:val="32"/>
          <w:lang w:val="en" w:eastAsia="zh-CN"/>
        </w:rPr>
        <w:t>12</w:t>
      </w:r>
      <w:r>
        <w:rPr>
          <w:rFonts w:hint="default" w:ascii="Times New Roman" w:hAnsi="Times New Roman" w:eastAsia="仿宋_GB2312" w:cs="Times New Roman"/>
          <w:spacing w:val="0"/>
          <w:sz w:val="32"/>
          <w:szCs w:val="32"/>
          <w:lang w:val="en-US" w:eastAsia="zh-CN"/>
        </w:rPr>
        <w:t>月</w:t>
      </w:r>
      <w:r>
        <w:rPr>
          <w:rFonts w:hint="default" w:ascii="Times New Roman" w:hAnsi="Times New Roman" w:cs="Times New Roman"/>
          <w:spacing w:val="0"/>
          <w:sz w:val="32"/>
          <w:szCs w:val="32"/>
          <w:lang w:val="en" w:eastAsia="zh-CN"/>
        </w:rPr>
        <w:t>17</w:t>
      </w:r>
      <w:r>
        <w:rPr>
          <w:rFonts w:hint="default" w:ascii="Times New Roman" w:hAnsi="Times New Roman" w:eastAsia="仿宋_GB2312" w:cs="Times New Roman"/>
          <w:spacing w:val="0"/>
          <w:sz w:val="32"/>
          <w:szCs w:val="32"/>
          <w:lang w:val="en-US" w:eastAsia="zh-CN"/>
        </w:rPr>
        <w:t>日</w:t>
      </w:r>
      <w:r>
        <w:rPr>
          <w:rFonts w:hint="eastAsia" w:ascii="Times New Roman" w:hAnsi="Times New Roman" w:eastAsia="仿宋_GB2312" w:cs="Times New Roman"/>
          <w:spacing w:val="6"/>
          <w:sz w:val="32"/>
          <w:szCs w:val="32"/>
          <w:lang w:val="en-US" w:eastAsia="zh-CN"/>
        </w:rPr>
        <w:t xml:space="preserve"> </w:t>
      </w:r>
      <w:r>
        <w:rPr>
          <w:rFonts w:hint="eastAsia" w:ascii="Times New Roman" w:hAnsi="Times New Roman" w:cs="Times New Roman"/>
          <w:spacing w:val="6"/>
          <w:sz w:val="32"/>
          <w:szCs w:val="32"/>
          <w:lang w:val="en-US" w:eastAsia="zh-CN"/>
        </w:rPr>
        <w:t xml:space="preserve">  </w:t>
      </w:r>
      <w:r>
        <w:rPr>
          <w:rFonts w:hint="eastAsia" w:ascii="Times New Roman" w:hAnsi="Times New Roman" w:eastAsia="仿宋_GB2312" w:cs="Times New Roman"/>
          <w:spacing w:val="6"/>
          <w:sz w:val="32"/>
          <w:szCs w:val="32"/>
          <w:lang w:val="en-US" w:eastAsia="zh-CN"/>
        </w:rPr>
        <w:t xml:space="preserve">  </w:t>
      </w:r>
    </w:p>
    <w:p w14:paraId="688786B6">
      <w:pPr>
        <w:keepNext w:val="0"/>
        <w:keepLines w:val="0"/>
        <w:pageBreakBefore w:val="0"/>
        <w:widowControl w:val="0"/>
        <w:kinsoku/>
        <w:wordWrap/>
        <w:overflowPunct/>
        <w:topLinePunct w:val="0"/>
        <w:autoSpaceDE/>
        <w:autoSpaceDN/>
        <w:bidi w:val="0"/>
        <w:adjustRightInd/>
        <w:snapToGrid/>
        <w:spacing w:before="159" w:beforeLines="50"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（此件公开发布）</w:t>
      </w:r>
    </w:p>
    <w:p w14:paraId="0C1F2E14">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CG Times" w:hAnsi="CG Times" w:eastAsia="方正仿宋简体"/>
          <w:spacing w:val="10"/>
        </w:rPr>
      </w:pPr>
      <w:r>
        <w:rPr>
          <w:rFonts w:hint="eastAsia" w:ascii="CG Times" w:hAnsi="CG Times" w:eastAsia="方正仿宋简体"/>
          <w:spacing w:val="10"/>
        </w:rPr>
        <w:br w:type="page"/>
      </w:r>
    </w:p>
    <w:p w14:paraId="0BFC56D4">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广西科技成果转化项目“拨转投”工作方案</w:t>
      </w:r>
    </w:p>
    <w:p w14:paraId="7FBFFA2E">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ascii="Times New Roman" w:hAnsi="Times New Roman" w:eastAsia="仿宋_GB2312" w:cs="Times New Roman"/>
          <w:color w:val="auto"/>
          <w:sz w:val="32"/>
          <w:szCs w:val="32"/>
        </w:rPr>
      </w:pPr>
    </w:p>
    <w:p w14:paraId="71B59DE1">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为开展科技成果</w:t>
      </w:r>
      <w:r>
        <w:rPr>
          <w:rFonts w:hint="eastAsia" w:ascii="仿宋_GB2312" w:hAnsi="仿宋_GB2312" w:eastAsia="仿宋_GB2312" w:cs="仿宋_GB2312"/>
          <w:color w:val="auto"/>
          <w:sz w:val="32"/>
          <w:szCs w:val="32"/>
        </w:rPr>
        <w:t>转化项目“拨转投”创新</w:t>
      </w:r>
      <w:r>
        <w:rPr>
          <w:rFonts w:ascii="Times New Roman" w:hAnsi="Times New Roman" w:eastAsia="仿宋_GB2312" w:cs="Times New Roman"/>
          <w:color w:val="auto"/>
          <w:sz w:val="32"/>
          <w:szCs w:val="32"/>
        </w:rPr>
        <w:t>改革工作，积极探索财政支持科技成果转化新方式，特制定本方案。</w:t>
      </w:r>
    </w:p>
    <w:p w14:paraId="260DB9AB">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一、工作目标</w:t>
      </w:r>
    </w:p>
    <w:p w14:paraId="3824BDDF">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针</w:t>
      </w:r>
      <w:r>
        <w:rPr>
          <w:rFonts w:hint="eastAsia" w:ascii="仿宋_GB2312" w:hAnsi="仿宋_GB2312" w:eastAsia="仿宋_GB2312" w:cs="仿宋_GB2312"/>
          <w:color w:val="auto"/>
          <w:sz w:val="32"/>
          <w:szCs w:val="32"/>
        </w:rPr>
        <w:t>对特定的科技成果转化项目，先期以支持科技项目方式拨入目标企业一定财政科技资金，</w:t>
      </w:r>
      <w:r>
        <w:rPr>
          <w:rFonts w:hint="eastAsia" w:ascii="仿宋_GB2312" w:hAnsi="仿宋_GB2312" w:eastAsia="仿宋_GB2312" w:cs="仿宋_GB2312"/>
          <w:color w:val="auto"/>
          <w:sz w:val="32"/>
          <w:szCs w:val="32"/>
          <w:lang w:eastAsia="zh-CN"/>
        </w:rPr>
        <w:t>待</w:t>
      </w:r>
      <w:r>
        <w:rPr>
          <w:rFonts w:hint="eastAsia" w:ascii="仿宋_GB2312" w:hAnsi="仿宋_GB2312" w:eastAsia="仿宋_GB2312" w:cs="仿宋_GB2312"/>
          <w:color w:val="auto"/>
          <w:sz w:val="32"/>
          <w:szCs w:val="32"/>
        </w:rPr>
        <w:t>目标企业</w:t>
      </w:r>
      <w:r>
        <w:rPr>
          <w:rFonts w:hint="eastAsia" w:ascii="仿宋_GB2312" w:hAnsi="仿宋_GB2312" w:eastAsia="仿宋_GB2312" w:cs="仿宋_GB2312"/>
          <w:color w:val="auto"/>
          <w:sz w:val="32"/>
          <w:szCs w:val="32"/>
          <w:lang w:eastAsia="zh-CN"/>
        </w:rPr>
        <w:t>在一定期限内成功</w:t>
      </w:r>
      <w:r>
        <w:rPr>
          <w:rFonts w:hint="eastAsia" w:ascii="仿宋_GB2312" w:hAnsi="仿宋_GB2312" w:eastAsia="仿宋_GB2312" w:cs="仿宋_GB2312"/>
          <w:color w:val="auto"/>
          <w:sz w:val="32"/>
          <w:szCs w:val="32"/>
        </w:rPr>
        <w:t>进行首次市场化股权融资时，将所</w:t>
      </w:r>
      <w:r>
        <w:rPr>
          <w:rFonts w:hint="eastAsia" w:ascii="仿宋_GB2312" w:hAnsi="仿宋_GB2312" w:eastAsia="仿宋_GB2312" w:cs="仿宋_GB2312"/>
          <w:color w:val="auto"/>
          <w:sz w:val="32"/>
          <w:szCs w:val="32"/>
          <w:lang w:eastAsia="zh-CN"/>
        </w:rPr>
        <w:t>拨</w:t>
      </w:r>
      <w:r>
        <w:rPr>
          <w:rFonts w:hint="eastAsia" w:ascii="仿宋_GB2312" w:hAnsi="仿宋_GB2312" w:eastAsia="仿宋_GB2312" w:cs="仿宋_GB2312"/>
          <w:color w:val="auto"/>
          <w:sz w:val="32"/>
          <w:szCs w:val="32"/>
        </w:rPr>
        <w:t>入的财政科技资金转化为相应股权，按照“适当收益”原则</w:t>
      </w:r>
      <w:r>
        <w:rPr>
          <w:rFonts w:hint="eastAsia" w:ascii="仿宋_GB2312" w:hAnsi="仿宋_GB2312" w:eastAsia="仿宋_GB2312" w:cs="仿宋_GB2312"/>
          <w:color w:val="auto"/>
          <w:sz w:val="32"/>
          <w:szCs w:val="32"/>
          <w:lang w:eastAsia="zh-CN"/>
        </w:rPr>
        <w:t>渐进式让渡股权</w:t>
      </w:r>
      <w:r>
        <w:rPr>
          <w:rFonts w:hint="eastAsia" w:ascii="仿宋_GB2312" w:hAnsi="仿宋_GB2312" w:eastAsia="仿宋_GB2312" w:cs="仿宋_GB2312"/>
          <w:color w:val="auto"/>
          <w:sz w:val="32"/>
          <w:szCs w:val="32"/>
        </w:rPr>
        <w:t>，与创始团队共风险、不争利，形成财政资金</w:t>
      </w:r>
      <w:r>
        <w:rPr>
          <w:rFonts w:hint="eastAsia" w:ascii="仿宋_GB2312" w:hAnsi="仿宋_GB2312" w:eastAsia="仿宋_GB2312" w:cs="仿宋_GB2312"/>
          <w:color w:val="auto"/>
          <w:sz w:val="32"/>
          <w:szCs w:val="32"/>
          <w:lang w:eastAsia="zh-CN"/>
        </w:rPr>
        <w:t>循环运行</w:t>
      </w:r>
      <w:r>
        <w:rPr>
          <w:rFonts w:hint="eastAsia" w:ascii="仿宋_GB2312" w:hAnsi="仿宋_GB2312" w:eastAsia="仿宋_GB2312" w:cs="仿宋_GB2312"/>
          <w:color w:val="auto"/>
          <w:sz w:val="32"/>
          <w:szCs w:val="32"/>
        </w:rPr>
        <w:t>有效支持成果转化的新模式。</w:t>
      </w:r>
    </w:p>
    <w:p w14:paraId="41E2CC53">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二、支持范围</w:t>
      </w:r>
    </w:p>
    <w:p w14:paraId="316D174F">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聚焦我区</w:t>
      </w:r>
      <w:r>
        <w:rPr>
          <w:rFonts w:hint="eastAsia" w:ascii="Times New Roman" w:hAnsi="Times New Roman" w:eastAsia="仿宋_GB2312" w:cs="Times New Roman"/>
          <w:color w:val="auto"/>
          <w:sz w:val="32"/>
          <w:szCs w:val="32"/>
          <w:lang w:eastAsia="zh-CN"/>
        </w:rPr>
        <w:t>人工智能、</w:t>
      </w:r>
      <w:r>
        <w:rPr>
          <w:rFonts w:ascii="Times New Roman" w:hAnsi="Times New Roman" w:eastAsia="仿宋_GB2312" w:cs="Times New Roman"/>
          <w:color w:val="auto"/>
          <w:sz w:val="32"/>
          <w:szCs w:val="32"/>
        </w:rPr>
        <w:t>高端装备制造、先进新材料、新一代信息技术、新能源及储能、生物医药等重点产业领域，支持一批技术达到国际国内领先水平，已实现核心技术攻关，市场前景好的科技成果转化产业化项目。重点支持确定落地我区需进一步打通技术到产品通道的自治区级及以上科技计划项目产出成果</w:t>
      </w:r>
      <w:r>
        <w:rPr>
          <w:rFonts w:hint="eastAsia" w:ascii="Times New Roman" w:hAnsi="Times New Roman" w:eastAsia="仿宋_GB2312" w:cs="Times New Roman"/>
          <w:color w:val="auto"/>
          <w:sz w:val="32"/>
          <w:szCs w:val="32"/>
          <w:lang w:eastAsia="zh-CN"/>
        </w:rPr>
        <w:t>和</w:t>
      </w:r>
      <w:r>
        <w:rPr>
          <w:rFonts w:ascii="Times New Roman" w:hAnsi="Times New Roman" w:eastAsia="仿宋_GB2312" w:cs="Times New Roman"/>
          <w:color w:val="auto"/>
          <w:sz w:val="32"/>
          <w:szCs w:val="32"/>
        </w:rPr>
        <w:t>国内外高校科研院所研发产出重大成果。支持的企业对象为</w:t>
      </w:r>
      <w:r>
        <w:rPr>
          <w:rFonts w:hint="eastAsia" w:ascii="Times New Roman" w:hAnsi="Times New Roman" w:eastAsia="仿宋_GB2312" w:cs="Times New Roman"/>
          <w:color w:val="auto"/>
          <w:sz w:val="32"/>
          <w:szCs w:val="32"/>
          <w:lang w:eastAsia="zh-CN"/>
        </w:rPr>
        <w:t>在</w:t>
      </w:r>
      <w:r>
        <w:rPr>
          <w:rFonts w:ascii="Times New Roman" w:hAnsi="Times New Roman" w:eastAsia="仿宋_GB2312" w:cs="Times New Roman"/>
          <w:color w:val="auto"/>
          <w:sz w:val="32"/>
          <w:szCs w:val="32"/>
        </w:rPr>
        <w:t>广西区内</w:t>
      </w:r>
      <w:r>
        <w:rPr>
          <w:rFonts w:hint="eastAsia" w:ascii="Times New Roman" w:hAnsi="Times New Roman" w:eastAsia="仿宋_GB2312" w:cs="Times New Roman"/>
          <w:color w:val="auto"/>
          <w:sz w:val="32"/>
          <w:szCs w:val="32"/>
          <w:lang w:eastAsia="zh-CN"/>
        </w:rPr>
        <w:t>开展</w:t>
      </w:r>
      <w:r>
        <w:rPr>
          <w:rFonts w:ascii="Times New Roman" w:hAnsi="Times New Roman" w:eastAsia="仿宋_GB2312" w:cs="Times New Roman"/>
          <w:color w:val="auto"/>
          <w:sz w:val="32"/>
          <w:szCs w:val="32"/>
        </w:rPr>
        <w:t>科技成果转化</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企业。拨付前</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企业的实缴资本不得低于拨付总金额的50</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w:t>
      </w:r>
    </w:p>
    <w:p w14:paraId="1B3314E5">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三、支持经费</w:t>
      </w:r>
    </w:p>
    <w:p w14:paraId="2E4DB406">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“拨转投”资金在</w:t>
      </w:r>
      <w:r>
        <w:rPr>
          <w:rFonts w:ascii="Times New Roman" w:hAnsi="Times New Roman" w:eastAsia="仿宋_GB2312" w:cs="Times New Roman"/>
          <w:color w:val="auto"/>
          <w:sz w:val="32"/>
          <w:szCs w:val="32"/>
        </w:rPr>
        <w:t>自治区创新驱动发展资金中安排，单个项目扶持资金一般不超过300万元，重大项目可</w:t>
      </w:r>
      <w:r>
        <w:rPr>
          <w:rFonts w:hint="eastAsia" w:ascii="仿宋_GB2312" w:hAnsi="仿宋_GB2312" w:eastAsia="仿宋_GB2312" w:cs="仿宋_GB2312"/>
          <w:color w:val="auto"/>
          <w:sz w:val="32"/>
          <w:szCs w:val="32"/>
        </w:rPr>
        <w:t>采取“一事一议”方式依法</w:t>
      </w:r>
      <w:r>
        <w:rPr>
          <w:rFonts w:ascii="Times New Roman" w:hAnsi="Times New Roman" w:eastAsia="仿宋_GB2312" w:cs="Times New Roman"/>
          <w:color w:val="auto"/>
          <w:sz w:val="32"/>
          <w:szCs w:val="32"/>
        </w:rPr>
        <w:t>给予支持。单个项目扶持资金原则上不超过项目总投入的50%。</w:t>
      </w:r>
    </w:p>
    <w:p w14:paraId="0F7D534E">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四、支持方式</w:t>
      </w:r>
    </w:p>
    <w:p w14:paraId="4782602C">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rPr>
        <w:t>“拨转投”资金在转股前由</w:t>
      </w:r>
      <w:r>
        <w:rPr>
          <w:rFonts w:hint="eastAsia" w:ascii="仿宋_GB2312" w:hAnsi="仿宋_GB2312" w:eastAsia="仿宋_GB2312" w:cs="仿宋_GB2312"/>
          <w:color w:val="auto"/>
          <w:sz w:val="32"/>
          <w:szCs w:val="32"/>
          <w:lang w:eastAsia="zh-CN"/>
        </w:rPr>
        <w:t>自治区科技厅委托</w:t>
      </w:r>
      <w:r>
        <w:rPr>
          <w:rFonts w:hint="eastAsia" w:ascii="仿宋_GB2312" w:hAnsi="仿宋_GB2312" w:eastAsia="仿宋_GB2312" w:cs="仿宋_GB2312"/>
          <w:color w:val="auto"/>
          <w:sz w:val="32"/>
          <w:szCs w:val="32"/>
        </w:rPr>
        <w:t>项目管理机构按照科技计划项目经费使用规定</w:t>
      </w:r>
      <w:r>
        <w:rPr>
          <w:rFonts w:hint="eastAsia" w:ascii="仿宋_GB2312" w:hAnsi="仿宋_GB2312" w:eastAsia="仿宋_GB2312" w:cs="仿宋_GB2312"/>
          <w:color w:val="auto"/>
          <w:sz w:val="32"/>
          <w:szCs w:val="32"/>
          <w:lang w:eastAsia="zh-CN"/>
        </w:rPr>
        <w:t>进行监督</w:t>
      </w:r>
      <w:r>
        <w:rPr>
          <w:rFonts w:hint="eastAsia" w:ascii="仿宋_GB2312" w:hAnsi="仿宋_GB2312" w:eastAsia="仿宋_GB2312" w:cs="仿宋_GB2312"/>
          <w:color w:val="auto"/>
          <w:sz w:val="32"/>
          <w:szCs w:val="32"/>
        </w:rPr>
        <w:t>管理。“拨转投”项目实施</w:t>
      </w:r>
      <w:r>
        <w:rPr>
          <w:rFonts w:ascii="Times New Roman" w:hAnsi="Times New Roman" w:eastAsia="仿宋_GB2312" w:cs="Times New Roman"/>
          <w:color w:val="auto"/>
          <w:sz w:val="32"/>
          <w:szCs w:val="32"/>
        </w:rPr>
        <w:t>周期</w:t>
      </w:r>
      <w:r>
        <w:rPr>
          <w:rFonts w:hint="eastAsia" w:ascii="Times New Roman" w:hAnsi="Times New Roman" w:eastAsia="仿宋_GB2312" w:cs="Times New Roman"/>
          <w:color w:val="auto"/>
          <w:sz w:val="32"/>
          <w:szCs w:val="32"/>
          <w:lang w:val="en-US" w:eastAsia="zh-CN"/>
        </w:rPr>
        <w:t>一般</w:t>
      </w:r>
      <w:r>
        <w:rPr>
          <w:rFonts w:ascii="Times New Roman" w:hAnsi="Times New Roman" w:eastAsia="仿宋_GB2312" w:cs="Times New Roman"/>
          <w:color w:val="auto"/>
          <w:sz w:val="32"/>
          <w:szCs w:val="32"/>
        </w:rPr>
        <w:t>不超过3年</w:t>
      </w:r>
      <w:r>
        <w:rPr>
          <w:rFonts w:hint="eastAsia" w:ascii="Times New Roman" w:hAnsi="Times New Roman" w:eastAsia="仿宋_GB2312" w:cs="Times New Roman"/>
          <w:color w:val="auto"/>
          <w:sz w:val="32"/>
          <w:szCs w:val="32"/>
          <w:lang w:eastAsia="zh-CN"/>
        </w:rPr>
        <w:t>，实施期满转股时限一般不超过</w:t>
      </w:r>
      <w:r>
        <w:rPr>
          <w:rFonts w:hint="eastAsia" w:ascii="Times New Roman" w:hAnsi="Times New Roman" w:eastAsia="仿宋_GB2312" w:cs="Times New Roman"/>
          <w:color w:val="auto"/>
          <w:sz w:val="32"/>
          <w:szCs w:val="32"/>
          <w:lang w:val="en-US" w:eastAsia="zh-CN"/>
        </w:rPr>
        <w:t>5年</w:t>
      </w:r>
      <w:r>
        <w:rPr>
          <w:rFonts w:ascii="Times New Roman" w:hAnsi="Times New Roman" w:eastAsia="仿宋_GB2312" w:cs="Times New Roman"/>
          <w:color w:val="auto"/>
          <w:sz w:val="32"/>
          <w:szCs w:val="32"/>
        </w:rPr>
        <w:t>。资金拨付后企业首次市场化股权</w:t>
      </w:r>
      <w:r>
        <w:rPr>
          <w:rFonts w:hint="eastAsia" w:ascii="仿宋_GB2312" w:hAnsi="仿宋_GB2312" w:eastAsia="仿宋_GB2312" w:cs="仿宋_GB2312"/>
          <w:color w:val="auto"/>
          <w:sz w:val="32"/>
          <w:szCs w:val="32"/>
        </w:rPr>
        <w:t>融资时，将“拨转投”资金转化为股权，转股估值参照市场化股权融资估值。转股后股权由</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rPr>
        <w:t>科技厅</w:t>
      </w:r>
      <w:r>
        <w:rPr>
          <w:rFonts w:hint="eastAsia" w:ascii="仿宋_GB2312" w:hAnsi="仿宋_GB2312" w:eastAsia="仿宋_GB2312" w:cs="仿宋_GB2312"/>
          <w:color w:val="auto"/>
          <w:sz w:val="32"/>
          <w:szCs w:val="32"/>
          <w:lang w:eastAsia="zh-CN"/>
        </w:rPr>
        <w:t>依法确定</w:t>
      </w:r>
      <w:r>
        <w:rPr>
          <w:rFonts w:hint="eastAsia" w:ascii="仿宋_GB2312" w:hAnsi="仿宋_GB2312" w:eastAsia="仿宋_GB2312" w:cs="仿宋_GB2312"/>
          <w:color w:val="auto"/>
          <w:sz w:val="32"/>
          <w:szCs w:val="32"/>
        </w:rPr>
        <w:t>的投资主体持有，按照国有股权管理相关规定执行。财政科技经费转股后原则上不成为被投企业第一大股东。转股后</w:t>
      </w:r>
      <w:r>
        <w:rPr>
          <w:rFonts w:hint="eastAsia" w:ascii="仿宋_GB2312" w:hAnsi="仿宋_GB2312" w:eastAsia="仿宋_GB2312" w:cs="仿宋_GB2312"/>
          <w:color w:val="auto"/>
          <w:sz w:val="32"/>
          <w:szCs w:val="32"/>
          <w:lang w:eastAsia="zh-CN"/>
        </w:rPr>
        <w:t>让</w:t>
      </w:r>
      <w:r>
        <w:rPr>
          <w:rFonts w:hint="eastAsia" w:ascii="Times New Roman" w:hAnsi="Times New Roman" w:eastAsia="仿宋_GB2312" w:cs="Times New Roman"/>
          <w:color w:val="auto"/>
          <w:sz w:val="32"/>
          <w:szCs w:val="32"/>
          <w:lang w:eastAsia="zh-CN"/>
        </w:rPr>
        <w:t>渡</w:t>
      </w:r>
      <w:r>
        <w:rPr>
          <w:rFonts w:ascii="Times New Roman" w:hAnsi="Times New Roman" w:eastAsia="仿宋_GB2312" w:cs="Times New Roman"/>
          <w:color w:val="auto"/>
          <w:sz w:val="32"/>
          <w:szCs w:val="32"/>
        </w:rPr>
        <w:t>期一般不超过5年，股权</w:t>
      </w:r>
      <w:r>
        <w:rPr>
          <w:rFonts w:hint="eastAsia" w:ascii="Times New Roman" w:hAnsi="Times New Roman" w:eastAsia="仿宋_GB2312" w:cs="Times New Roman"/>
          <w:color w:val="auto"/>
          <w:sz w:val="32"/>
          <w:szCs w:val="32"/>
          <w:lang w:eastAsia="zh-CN"/>
        </w:rPr>
        <w:t>让渡</w:t>
      </w:r>
      <w:r>
        <w:rPr>
          <w:rFonts w:ascii="Times New Roman" w:hAnsi="Times New Roman" w:eastAsia="仿宋_GB2312" w:cs="Times New Roman"/>
          <w:color w:val="auto"/>
          <w:sz w:val="32"/>
          <w:szCs w:val="32"/>
        </w:rPr>
        <w:t>后资金</w:t>
      </w:r>
      <w:r>
        <w:rPr>
          <w:rFonts w:hint="eastAsia" w:ascii="Times New Roman" w:hAnsi="Times New Roman" w:eastAsia="仿宋_GB2312" w:cs="Times New Roman"/>
          <w:color w:val="auto"/>
          <w:sz w:val="32"/>
          <w:szCs w:val="32"/>
          <w:lang w:eastAsia="zh-CN"/>
        </w:rPr>
        <w:t>收回投资主体</w:t>
      </w:r>
      <w:r>
        <w:rPr>
          <w:rFonts w:hint="eastAsia" w:ascii="Times New Roman" w:hAnsi="Times New Roman" w:eastAsia="仿宋_GB2312" w:cs="Times New Roman"/>
          <w:color w:val="auto"/>
          <w:sz w:val="32"/>
          <w:szCs w:val="32"/>
        </w:rPr>
        <w:t>继续滚动</w:t>
      </w:r>
      <w:r>
        <w:rPr>
          <w:rFonts w:hint="eastAsia" w:ascii="Times New Roman" w:hAnsi="Times New Roman" w:eastAsia="仿宋_GB2312" w:cs="Times New Roman"/>
          <w:color w:val="auto"/>
          <w:sz w:val="32"/>
          <w:szCs w:val="32"/>
          <w:lang w:eastAsia="zh-CN"/>
        </w:rPr>
        <w:t>用于投入科技成果转化基金，继续支持科技企业转化利用国内外各类先进科技成果。</w:t>
      </w:r>
    </w:p>
    <w:p w14:paraId="1EF4F9B2">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五、实施程序</w:t>
      </w:r>
    </w:p>
    <w:p w14:paraId="34FE1449">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rPr>
      </w:pPr>
      <w:r>
        <w:rPr>
          <w:rFonts w:hint="eastAsia" w:ascii="楷体_GB2312" w:hAnsi="Times New Roman" w:eastAsia="楷体_GB2312" w:cs="Times New Roman"/>
          <w:b/>
          <w:bCs/>
          <w:color w:val="auto"/>
          <w:sz w:val="32"/>
          <w:szCs w:val="32"/>
        </w:rPr>
        <w:t>（一）项目征集。</w:t>
      </w:r>
      <w:r>
        <w:rPr>
          <w:rFonts w:ascii="Times New Roman" w:hAnsi="Times New Roman" w:eastAsia="仿宋_GB2312" w:cs="Times New Roman"/>
          <w:color w:val="auto"/>
          <w:sz w:val="32"/>
          <w:szCs w:val="32"/>
        </w:rPr>
        <w:t>项目征集一般按照属地管理方式组织实施，自治区科技厅负责发布项目申报通知。项目申报单位按要求填写项目申报书，通过设区市科技局、高新区管委会等推荐单位报送</w:t>
      </w:r>
      <w:r>
        <w:rPr>
          <w:rFonts w:hint="eastAsia" w:ascii="Times New Roman" w:hAnsi="Times New Roman" w:eastAsia="仿宋_GB2312" w:cs="Times New Roman"/>
          <w:color w:val="auto"/>
          <w:sz w:val="32"/>
          <w:szCs w:val="32"/>
        </w:rPr>
        <w:t>自治区</w:t>
      </w:r>
      <w:r>
        <w:rPr>
          <w:rFonts w:ascii="Times New Roman" w:hAnsi="Times New Roman" w:eastAsia="仿宋_GB2312" w:cs="Times New Roman"/>
          <w:color w:val="auto"/>
          <w:sz w:val="32"/>
          <w:szCs w:val="32"/>
        </w:rPr>
        <w:t>科技厅。</w:t>
      </w:r>
    </w:p>
    <w:p w14:paraId="3E3036B5">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rPr>
      </w:pPr>
      <w:r>
        <w:rPr>
          <w:rFonts w:ascii="楷体_GB2312" w:hAnsi="Times New Roman" w:eastAsia="楷体_GB2312" w:cs="Times New Roman"/>
          <w:b/>
          <w:bCs/>
          <w:color w:val="auto"/>
          <w:sz w:val="32"/>
          <w:szCs w:val="32"/>
        </w:rPr>
        <w:t>（二）项目评审</w:t>
      </w:r>
      <w:r>
        <w:rPr>
          <w:rFonts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rPr>
        <w:t>自治区</w:t>
      </w:r>
      <w:r>
        <w:rPr>
          <w:rFonts w:ascii="Times New Roman" w:hAnsi="Times New Roman" w:eastAsia="仿宋_GB2312" w:cs="Times New Roman"/>
          <w:color w:val="auto"/>
          <w:sz w:val="32"/>
          <w:szCs w:val="32"/>
        </w:rPr>
        <w:t>科技厅委托管理机构组织技术、产业、财务、金融、投资等领域专家评估论证项目的技术水平、产业发展方向和投资前景等，出具评审意见。投资主体委托第三方机构对拟立项项目</w:t>
      </w:r>
      <w:r>
        <w:rPr>
          <w:rFonts w:hint="eastAsia" w:ascii="Times New Roman" w:hAnsi="Times New Roman" w:eastAsia="仿宋_GB2312" w:cs="Times New Roman"/>
          <w:color w:val="auto"/>
          <w:sz w:val="32"/>
          <w:szCs w:val="32"/>
          <w:lang w:eastAsia="zh-CN"/>
        </w:rPr>
        <w:t>承担单位</w:t>
      </w:r>
      <w:r>
        <w:rPr>
          <w:rFonts w:ascii="Times New Roman" w:hAnsi="Times New Roman" w:eastAsia="仿宋_GB2312" w:cs="Times New Roman"/>
          <w:color w:val="auto"/>
          <w:sz w:val="32"/>
          <w:szCs w:val="32"/>
        </w:rPr>
        <w:t>开展尽职调查，形成评估报告。</w:t>
      </w:r>
    </w:p>
    <w:p w14:paraId="050B8A5F">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rPr>
      </w:pPr>
      <w:r>
        <w:rPr>
          <w:rFonts w:ascii="楷体_GB2312" w:hAnsi="Times New Roman" w:eastAsia="楷体_GB2312" w:cs="Times New Roman"/>
          <w:b/>
          <w:bCs/>
          <w:color w:val="auto"/>
          <w:sz w:val="32"/>
          <w:szCs w:val="32"/>
        </w:rPr>
        <w:t>（三）项目立项和签约</w:t>
      </w:r>
      <w:r>
        <w:rPr>
          <w:rFonts w:ascii="Times New Roman" w:hAnsi="Times New Roman" w:eastAsia="仿宋_GB2312" w:cs="Times New Roman"/>
          <w:b/>
          <w:bCs/>
          <w:color w:val="auto"/>
          <w:sz w:val="32"/>
          <w:szCs w:val="32"/>
        </w:rPr>
        <w:t>。</w:t>
      </w:r>
      <w:r>
        <w:rPr>
          <w:rFonts w:ascii="Times New Roman" w:hAnsi="Times New Roman" w:eastAsia="仿宋_GB2312" w:cs="Times New Roman"/>
          <w:color w:val="auto"/>
          <w:sz w:val="32"/>
          <w:szCs w:val="32"/>
        </w:rPr>
        <w:t>项目经</w:t>
      </w:r>
      <w:r>
        <w:rPr>
          <w:rFonts w:hint="eastAsia" w:ascii="Times New Roman" w:hAnsi="Times New Roman" w:eastAsia="仿宋_GB2312" w:cs="Times New Roman"/>
          <w:color w:val="auto"/>
          <w:sz w:val="32"/>
          <w:szCs w:val="32"/>
        </w:rPr>
        <w:t>自治区</w:t>
      </w:r>
      <w:r>
        <w:rPr>
          <w:rFonts w:ascii="Times New Roman" w:hAnsi="Times New Roman" w:eastAsia="仿宋_GB2312" w:cs="Times New Roman"/>
          <w:color w:val="auto"/>
          <w:sz w:val="32"/>
          <w:szCs w:val="32"/>
        </w:rPr>
        <w:t>科技厅研究确定立项后，由</w:t>
      </w:r>
      <w:r>
        <w:rPr>
          <w:rFonts w:hint="eastAsia" w:ascii="Times New Roman" w:hAnsi="Times New Roman" w:eastAsia="仿宋_GB2312" w:cs="Times New Roman"/>
          <w:color w:val="auto"/>
          <w:sz w:val="32"/>
          <w:szCs w:val="32"/>
        </w:rPr>
        <w:t>自治区</w:t>
      </w:r>
      <w:r>
        <w:rPr>
          <w:rFonts w:ascii="Times New Roman" w:hAnsi="Times New Roman" w:eastAsia="仿宋_GB2312" w:cs="Times New Roman"/>
          <w:color w:val="auto"/>
          <w:sz w:val="32"/>
          <w:szCs w:val="32"/>
        </w:rPr>
        <w:t>科技厅、管理机构、投资主体与项目承担单位在平等协商基础上，签订项目</w:t>
      </w:r>
      <w:r>
        <w:rPr>
          <w:rFonts w:hint="eastAsia" w:ascii="Times New Roman" w:hAnsi="Times New Roman" w:eastAsia="仿宋_GB2312" w:cs="Times New Roman"/>
          <w:color w:val="auto"/>
          <w:sz w:val="32"/>
          <w:szCs w:val="32"/>
          <w:lang w:eastAsia="zh-CN"/>
        </w:rPr>
        <w:t>任务书</w:t>
      </w:r>
      <w:r>
        <w:rPr>
          <w:rFonts w:ascii="Times New Roman" w:hAnsi="Times New Roman" w:eastAsia="仿宋_GB2312" w:cs="Times New Roman"/>
          <w:color w:val="auto"/>
          <w:sz w:val="32"/>
          <w:szCs w:val="32"/>
        </w:rPr>
        <w:t>，明确各方权利义务、项目内容、知识产权归属、资助金额及方式、实施周期、转股条件及时限、股权转化及</w:t>
      </w:r>
      <w:r>
        <w:rPr>
          <w:rFonts w:hint="eastAsia" w:ascii="Times New Roman" w:hAnsi="Times New Roman" w:eastAsia="仿宋_GB2312" w:cs="Times New Roman"/>
          <w:color w:val="auto"/>
          <w:sz w:val="32"/>
          <w:szCs w:val="32"/>
          <w:lang w:eastAsia="zh-CN"/>
        </w:rPr>
        <w:t>让渡、违约责任</w:t>
      </w:r>
      <w:r>
        <w:rPr>
          <w:rFonts w:ascii="Times New Roman" w:hAnsi="Times New Roman" w:eastAsia="仿宋_GB2312" w:cs="Times New Roman"/>
          <w:color w:val="auto"/>
          <w:sz w:val="32"/>
          <w:szCs w:val="32"/>
        </w:rPr>
        <w:t>等事宜。</w:t>
      </w:r>
    </w:p>
    <w:p w14:paraId="6D3387F3">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auto"/>
          <w:sz w:val="32"/>
          <w:szCs w:val="32"/>
          <w:lang w:eastAsia="zh-CN"/>
        </w:rPr>
      </w:pPr>
      <w:r>
        <w:rPr>
          <w:rFonts w:ascii="楷体_GB2312" w:hAnsi="Times New Roman" w:eastAsia="楷体_GB2312" w:cs="Times New Roman"/>
          <w:b/>
          <w:bCs/>
          <w:color w:val="auto"/>
          <w:sz w:val="32"/>
          <w:szCs w:val="32"/>
        </w:rPr>
        <w:t>（四）转股前管理</w:t>
      </w:r>
      <w:r>
        <w:rPr>
          <w:rFonts w:ascii="Times New Roman" w:hAnsi="Times New Roman" w:eastAsia="仿宋_GB2312" w:cs="Times New Roman"/>
          <w:b/>
          <w:bCs/>
          <w:color w:val="auto"/>
          <w:sz w:val="32"/>
          <w:szCs w:val="32"/>
        </w:rPr>
        <w:t>。</w:t>
      </w:r>
      <w:r>
        <w:rPr>
          <w:rFonts w:ascii="Times New Roman" w:hAnsi="Times New Roman" w:eastAsia="仿宋_GB2312" w:cs="Times New Roman"/>
          <w:color w:val="auto"/>
          <w:sz w:val="32"/>
          <w:szCs w:val="32"/>
        </w:rPr>
        <w:t>项目签约后，根据项目</w:t>
      </w:r>
      <w:r>
        <w:rPr>
          <w:rFonts w:hint="eastAsia" w:ascii="Times New Roman" w:hAnsi="Times New Roman" w:eastAsia="仿宋_GB2312" w:cs="Times New Roman"/>
          <w:color w:val="auto"/>
          <w:sz w:val="32"/>
          <w:szCs w:val="32"/>
          <w:lang w:eastAsia="zh-CN"/>
        </w:rPr>
        <w:t>任务书</w:t>
      </w:r>
      <w:r>
        <w:rPr>
          <w:rFonts w:ascii="Times New Roman" w:hAnsi="Times New Roman" w:eastAsia="仿宋_GB2312" w:cs="Times New Roman"/>
          <w:color w:val="auto"/>
          <w:sz w:val="32"/>
          <w:szCs w:val="32"/>
        </w:rPr>
        <w:t>约定，</w:t>
      </w:r>
      <w:r>
        <w:rPr>
          <w:rFonts w:hint="eastAsia" w:ascii="Times New Roman" w:hAnsi="Times New Roman" w:eastAsia="仿宋_GB2312" w:cs="Times New Roman"/>
          <w:color w:val="auto"/>
          <w:sz w:val="32"/>
          <w:szCs w:val="32"/>
        </w:rPr>
        <w:t>自治区</w:t>
      </w:r>
      <w:r>
        <w:rPr>
          <w:rFonts w:ascii="Times New Roman" w:hAnsi="Times New Roman" w:eastAsia="仿宋_GB2312" w:cs="Times New Roman"/>
          <w:color w:val="auto"/>
          <w:sz w:val="32"/>
          <w:szCs w:val="32"/>
        </w:rPr>
        <w:t>科技厅按时</w:t>
      </w:r>
      <w:r>
        <w:rPr>
          <w:rFonts w:hint="eastAsia" w:ascii="仿宋_GB2312" w:hAnsi="仿宋_GB2312" w:eastAsia="仿宋_GB2312" w:cs="仿宋_GB2312"/>
          <w:color w:val="auto"/>
          <w:sz w:val="32"/>
          <w:szCs w:val="32"/>
        </w:rPr>
        <w:t>将“拨转投”资金</w:t>
      </w:r>
      <w:r>
        <w:rPr>
          <w:rFonts w:ascii="Times New Roman" w:hAnsi="Times New Roman" w:eastAsia="仿宋_GB2312" w:cs="Times New Roman"/>
          <w:color w:val="auto"/>
          <w:sz w:val="32"/>
          <w:szCs w:val="32"/>
        </w:rPr>
        <w:t>拨付给项目承担单位，项目承担单位按项目</w:t>
      </w:r>
      <w:r>
        <w:rPr>
          <w:rFonts w:hint="eastAsia" w:ascii="Times New Roman" w:hAnsi="Times New Roman" w:eastAsia="仿宋_GB2312" w:cs="Times New Roman"/>
          <w:color w:val="auto"/>
          <w:sz w:val="32"/>
          <w:szCs w:val="32"/>
          <w:lang w:eastAsia="zh-CN"/>
        </w:rPr>
        <w:t>任务书</w:t>
      </w:r>
      <w:r>
        <w:rPr>
          <w:rFonts w:ascii="Times New Roman" w:hAnsi="Times New Roman" w:eastAsia="仿宋_GB2312" w:cs="Times New Roman"/>
          <w:color w:val="auto"/>
          <w:sz w:val="32"/>
          <w:szCs w:val="32"/>
        </w:rPr>
        <w:t>约定组织实施。由</w:t>
      </w:r>
      <w:r>
        <w:rPr>
          <w:rFonts w:hint="eastAsia" w:ascii="Times New Roman" w:hAnsi="Times New Roman" w:eastAsia="仿宋_GB2312" w:cs="Times New Roman"/>
          <w:color w:val="auto"/>
          <w:sz w:val="32"/>
          <w:szCs w:val="32"/>
        </w:rPr>
        <w:t>自治区</w:t>
      </w:r>
      <w:r>
        <w:rPr>
          <w:rFonts w:ascii="Times New Roman" w:hAnsi="Times New Roman" w:eastAsia="仿宋_GB2312" w:cs="Times New Roman"/>
          <w:color w:val="auto"/>
          <w:sz w:val="32"/>
          <w:szCs w:val="32"/>
        </w:rPr>
        <w:t>科技厅指导管理机构参与项目管理和赋能，投资主体为被投企业提供运营管理、投融资对接等资源链接专业服务。</w:t>
      </w:r>
      <w:r>
        <w:rPr>
          <w:rFonts w:hint="eastAsia" w:ascii="Times New Roman" w:hAnsi="Times New Roman" w:eastAsia="仿宋_GB2312" w:cs="Times New Roman"/>
          <w:color w:val="auto"/>
          <w:sz w:val="32"/>
          <w:szCs w:val="32"/>
          <w:lang w:eastAsia="zh-CN"/>
        </w:rPr>
        <w:t>实施期满按科技项目有关规定和</w:t>
      </w:r>
      <w:r>
        <w:rPr>
          <w:rFonts w:hint="eastAsia" w:ascii="Times New Roman" w:hAnsi="Times New Roman" w:eastAsia="仿宋_GB2312" w:cs="Times New Roman"/>
          <w:color w:val="auto"/>
          <w:sz w:val="32"/>
          <w:szCs w:val="32"/>
        </w:rPr>
        <w:t>项目任务书约定</w:t>
      </w:r>
      <w:r>
        <w:rPr>
          <w:rFonts w:hint="eastAsia" w:ascii="Times New Roman" w:hAnsi="Times New Roman" w:eastAsia="仿宋_GB2312" w:cs="Times New Roman"/>
          <w:color w:val="auto"/>
          <w:sz w:val="32"/>
          <w:szCs w:val="32"/>
          <w:lang w:eastAsia="zh-CN"/>
        </w:rPr>
        <w:t>组织项目验收。项目验收未通过的</w:t>
      </w:r>
      <w:r>
        <w:rPr>
          <w:rFonts w:ascii="Times New Roman" w:hAnsi="Times New Roman" w:eastAsia="仿宋_GB2312" w:cs="Times New Roman"/>
          <w:color w:val="auto"/>
          <w:sz w:val="32"/>
          <w:szCs w:val="32"/>
        </w:rPr>
        <w:t>，由管理机构组织项目承担单位按原渠道退回结余资金</w:t>
      </w:r>
      <w:r>
        <w:rPr>
          <w:rFonts w:hint="eastAsia" w:ascii="Times New Roman" w:hAnsi="Times New Roman" w:eastAsia="仿宋_GB2312" w:cs="Times New Roman"/>
          <w:color w:val="auto"/>
          <w:sz w:val="32"/>
          <w:szCs w:val="32"/>
          <w:lang w:eastAsia="zh-CN"/>
        </w:rPr>
        <w:t>；项目承担单位</w:t>
      </w:r>
      <w:r>
        <w:rPr>
          <w:rFonts w:ascii="Times New Roman" w:hAnsi="Times New Roman" w:eastAsia="仿宋_GB2312" w:cs="Times New Roman"/>
          <w:color w:val="auto"/>
          <w:sz w:val="32"/>
          <w:szCs w:val="32"/>
        </w:rPr>
        <w:t>已使用的资金待项目达到条件后进行股权转化</w:t>
      </w:r>
      <w:r>
        <w:rPr>
          <w:rFonts w:hint="eastAsia" w:ascii="Times New Roman" w:hAnsi="Times New Roman" w:eastAsia="仿宋_GB2312" w:cs="Times New Roman"/>
          <w:color w:val="auto"/>
          <w:sz w:val="32"/>
          <w:szCs w:val="32"/>
          <w:lang w:eastAsia="zh-CN"/>
        </w:rPr>
        <w:t>。若实施期满前达到转股条件并完成转股的视同项目验收通过。</w:t>
      </w:r>
    </w:p>
    <w:p w14:paraId="0642176A">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ascii="楷体_GB2312" w:hAnsi="Times New Roman" w:eastAsia="楷体_GB2312" w:cs="Times New Roman"/>
          <w:b/>
          <w:bCs/>
          <w:color w:val="auto"/>
          <w:sz w:val="32"/>
          <w:szCs w:val="32"/>
        </w:rPr>
        <w:t>（五）股权转化</w:t>
      </w:r>
      <w:r>
        <w:rPr>
          <w:rFonts w:ascii="Times New Roman" w:hAnsi="Times New Roman" w:eastAsia="仿宋_GB2312" w:cs="Times New Roman"/>
          <w:b/>
          <w:bCs/>
          <w:color w:val="auto"/>
          <w:sz w:val="32"/>
          <w:szCs w:val="32"/>
        </w:rPr>
        <w:t>。</w:t>
      </w:r>
      <w:r>
        <w:rPr>
          <w:rFonts w:ascii="Times New Roman" w:hAnsi="Times New Roman" w:eastAsia="仿宋_GB2312" w:cs="Times New Roman"/>
          <w:color w:val="auto"/>
          <w:sz w:val="32"/>
          <w:szCs w:val="32"/>
        </w:rPr>
        <w:t>项目达到股权转化条件后，投资主体会同管理机构在规定时间内按照财政股权投资管理规定对企业开展股权转化，并签订股权投资协议，将拨付资金转化为股权。</w:t>
      </w:r>
      <w:r>
        <w:rPr>
          <w:rFonts w:hint="eastAsia" w:ascii="Times New Roman" w:hAnsi="Times New Roman" w:eastAsia="仿宋_GB2312" w:cs="Times New Roman"/>
          <w:color w:val="auto"/>
          <w:sz w:val="32"/>
          <w:szCs w:val="32"/>
          <w:lang w:eastAsia="zh-CN"/>
        </w:rPr>
        <w:t>转股时限内</w:t>
      </w:r>
      <w:r>
        <w:rPr>
          <w:rFonts w:ascii="Times New Roman" w:hAnsi="Times New Roman" w:eastAsia="仿宋_GB2312" w:cs="Times New Roman"/>
          <w:color w:val="auto"/>
          <w:sz w:val="32"/>
          <w:szCs w:val="32"/>
        </w:rPr>
        <w:t>达到转股条件不愿意转股的，项目承担单位需按原渠道退回</w:t>
      </w:r>
      <w:r>
        <w:rPr>
          <w:rFonts w:hint="eastAsia" w:ascii="Times New Roman" w:hAnsi="Times New Roman" w:eastAsia="仿宋_GB2312" w:cs="Times New Roman"/>
          <w:color w:val="auto"/>
          <w:sz w:val="32"/>
          <w:szCs w:val="32"/>
          <w:lang w:eastAsia="zh-CN"/>
        </w:rPr>
        <w:t>已拨财政</w:t>
      </w:r>
      <w:r>
        <w:rPr>
          <w:rFonts w:ascii="Times New Roman" w:hAnsi="Times New Roman" w:eastAsia="仿宋_GB2312" w:cs="Times New Roman"/>
          <w:color w:val="auto"/>
          <w:sz w:val="32"/>
          <w:szCs w:val="32"/>
        </w:rPr>
        <w:t>资金</w:t>
      </w:r>
      <w:r>
        <w:rPr>
          <w:rFonts w:hint="eastAsia" w:ascii="Times New Roman" w:hAnsi="Times New Roman" w:eastAsia="仿宋_GB2312" w:cs="Times New Roman"/>
          <w:color w:val="auto"/>
          <w:sz w:val="32"/>
          <w:szCs w:val="32"/>
          <w:lang w:eastAsia="zh-CN"/>
        </w:rPr>
        <w:t>，已退回的财政资金由自治区科技厅按规定上缴财政。转股时限已满未</w:t>
      </w:r>
      <w:r>
        <w:rPr>
          <w:rFonts w:ascii="Times New Roman" w:hAnsi="Times New Roman" w:eastAsia="仿宋_GB2312" w:cs="Times New Roman"/>
          <w:color w:val="auto"/>
          <w:sz w:val="32"/>
          <w:szCs w:val="32"/>
        </w:rPr>
        <w:t>达到转股条件</w:t>
      </w:r>
      <w:r>
        <w:rPr>
          <w:rFonts w:hint="eastAsia" w:ascii="Times New Roman" w:hAnsi="Times New Roman" w:eastAsia="仿宋_GB2312" w:cs="Times New Roman"/>
          <w:color w:val="auto"/>
          <w:sz w:val="32"/>
          <w:szCs w:val="32"/>
          <w:lang w:eastAsia="zh-CN"/>
        </w:rPr>
        <w:t>的，终止股权转化并报告自治区科技厅。</w:t>
      </w:r>
    </w:p>
    <w:p w14:paraId="45FE42DA">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rPr>
      </w:pPr>
      <w:r>
        <w:rPr>
          <w:rFonts w:ascii="楷体_GB2312" w:hAnsi="Times New Roman" w:eastAsia="楷体_GB2312" w:cs="Times New Roman"/>
          <w:b/>
          <w:bCs/>
          <w:color w:val="auto"/>
          <w:sz w:val="32"/>
          <w:szCs w:val="32"/>
        </w:rPr>
        <w:t>（六）转股后管理</w:t>
      </w:r>
      <w:r>
        <w:rPr>
          <w:rFonts w:ascii="Times New Roman" w:hAnsi="Times New Roman" w:eastAsia="仿宋_GB2312" w:cs="Times New Roman"/>
          <w:b/>
          <w:bCs/>
          <w:color w:val="auto"/>
          <w:sz w:val="32"/>
          <w:szCs w:val="32"/>
        </w:rPr>
        <w:t>。</w:t>
      </w:r>
      <w:r>
        <w:rPr>
          <w:rFonts w:ascii="Times New Roman" w:hAnsi="Times New Roman" w:eastAsia="仿宋_GB2312" w:cs="Times New Roman"/>
          <w:color w:val="auto"/>
          <w:sz w:val="32"/>
          <w:szCs w:val="32"/>
        </w:rPr>
        <w:t>股权转化后由投资主体行使股东权利，负责持股管理、股权</w:t>
      </w:r>
      <w:r>
        <w:rPr>
          <w:rFonts w:hint="eastAsia" w:ascii="Times New Roman" w:hAnsi="Times New Roman" w:eastAsia="仿宋_GB2312" w:cs="Times New Roman"/>
          <w:color w:val="auto"/>
          <w:sz w:val="32"/>
          <w:szCs w:val="32"/>
          <w:lang w:eastAsia="zh-CN"/>
        </w:rPr>
        <w:t>让渡</w:t>
      </w:r>
      <w:r>
        <w:rPr>
          <w:rFonts w:ascii="Times New Roman" w:hAnsi="Times New Roman" w:eastAsia="仿宋_GB2312" w:cs="Times New Roman"/>
          <w:color w:val="auto"/>
          <w:sz w:val="32"/>
          <w:szCs w:val="32"/>
        </w:rPr>
        <w:t>等工作。投资主体应定期回访被投企业，及时跟踪了解项目企业业务经营、股权变动、并购重组等事项，支持被投企业牵头建设新型研发平台，鼓励社会投资机构积极参与</w:t>
      </w:r>
      <w:r>
        <w:rPr>
          <w:rFonts w:hint="eastAsia" w:ascii="仿宋_GB2312" w:hAnsi="仿宋_GB2312" w:eastAsia="仿宋_GB2312" w:cs="仿宋_GB2312"/>
          <w:color w:val="auto"/>
          <w:sz w:val="32"/>
          <w:szCs w:val="32"/>
        </w:rPr>
        <w:t>投资“拨转投”项目，承接财政科</w:t>
      </w:r>
      <w:r>
        <w:rPr>
          <w:rFonts w:ascii="Times New Roman" w:hAnsi="Times New Roman" w:eastAsia="仿宋_GB2312" w:cs="Times New Roman"/>
          <w:color w:val="auto"/>
          <w:sz w:val="32"/>
          <w:szCs w:val="32"/>
        </w:rPr>
        <w:t>技经费转换的股权。</w:t>
      </w:r>
      <w:r>
        <w:rPr>
          <w:rFonts w:hint="eastAsia" w:ascii="Times New Roman" w:hAnsi="Times New Roman" w:eastAsia="仿宋_GB2312" w:cs="Times New Roman"/>
          <w:color w:val="auto"/>
          <w:sz w:val="32"/>
          <w:szCs w:val="32"/>
        </w:rPr>
        <w:t>投资主体</w:t>
      </w:r>
      <w:r>
        <w:rPr>
          <w:rFonts w:hint="eastAsia" w:ascii="Times New Roman" w:hAnsi="Times New Roman" w:eastAsia="仿宋_GB2312" w:cs="Times New Roman"/>
          <w:color w:val="auto"/>
          <w:sz w:val="32"/>
          <w:szCs w:val="32"/>
          <w:lang w:eastAsia="zh-CN"/>
        </w:rPr>
        <w:t>应向自治区科技厅提交股权管理情况年度报告。</w:t>
      </w:r>
      <w:r>
        <w:rPr>
          <w:rFonts w:ascii="Times New Roman" w:hAnsi="Times New Roman" w:eastAsia="仿宋_GB2312" w:cs="Times New Roman"/>
          <w:color w:val="auto"/>
          <w:sz w:val="32"/>
          <w:szCs w:val="32"/>
        </w:rPr>
        <w:t>对发现企业经营出现重大困难或发生重大违约等风险问题的，应及时向</w:t>
      </w:r>
      <w:r>
        <w:rPr>
          <w:rFonts w:hint="eastAsia" w:ascii="Times New Roman" w:hAnsi="Times New Roman" w:eastAsia="仿宋_GB2312" w:cs="Times New Roman"/>
          <w:color w:val="auto"/>
          <w:sz w:val="32"/>
          <w:szCs w:val="32"/>
          <w:lang w:eastAsia="zh-CN"/>
        </w:rPr>
        <w:t>自治区</w:t>
      </w:r>
      <w:r>
        <w:rPr>
          <w:rFonts w:ascii="Times New Roman" w:hAnsi="Times New Roman" w:eastAsia="仿宋_GB2312" w:cs="Times New Roman"/>
          <w:color w:val="auto"/>
          <w:sz w:val="32"/>
          <w:szCs w:val="32"/>
        </w:rPr>
        <w:t>科技厅报告。</w:t>
      </w:r>
    </w:p>
    <w:p w14:paraId="06B8C1AB">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rPr>
      </w:pPr>
      <w:r>
        <w:rPr>
          <w:rFonts w:ascii="楷体_GB2312" w:hAnsi="Times New Roman" w:eastAsia="楷体_GB2312" w:cs="Times New Roman"/>
          <w:b/>
          <w:bCs/>
          <w:color w:val="auto"/>
          <w:sz w:val="32"/>
          <w:szCs w:val="32"/>
        </w:rPr>
        <w:t>（七）股权</w:t>
      </w:r>
      <w:r>
        <w:rPr>
          <w:rFonts w:hint="eastAsia" w:ascii="楷体_GB2312" w:hAnsi="Times New Roman" w:eastAsia="楷体_GB2312" w:cs="Times New Roman"/>
          <w:b/>
          <w:bCs/>
          <w:color w:val="auto"/>
          <w:sz w:val="32"/>
          <w:szCs w:val="32"/>
          <w:lang w:eastAsia="zh-CN"/>
        </w:rPr>
        <w:t>让渡</w:t>
      </w:r>
      <w:r>
        <w:rPr>
          <w:rFonts w:ascii="Times New Roman" w:hAnsi="Times New Roman" w:eastAsia="仿宋_GB2312" w:cs="Times New Roman"/>
          <w:b/>
          <w:bCs/>
          <w:color w:val="auto"/>
          <w:sz w:val="32"/>
          <w:szCs w:val="32"/>
        </w:rPr>
        <w:t>。</w:t>
      </w:r>
      <w:r>
        <w:rPr>
          <w:rFonts w:ascii="Times New Roman" w:hAnsi="Times New Roman" w:eastAsia="仿宋_GB2312" w:cs="Times New Roman"/>
          <w:color w:val="auto"/>
          <w:sz w:val="32"/>
          <w:szCs w:val="32"/>
        </w:rPr>
        <w:t>财政股权投资资金根据协议约定，在实现预期盈利目标或达到一定的投资年限后，可采取股权回购、股权转让、并购重组、挂牌上市和清算等方式</w:t>
      </w:r>
      <w:r>
        <w:rPr>
          <w:rFonts w:hint="eastAsia" w:ascii="Times New Roman" w:hAnsi="Times New Roman" w:eastAsia="仿宋_GB2312" w:cs="Times New Roman"/>
          <w:color w:val="auto"/>
          <w:sz w:val="32"/>
          <w:szCs w:val="32"/>
          <w:lang w:eastAsia="zh-CN"/>
        </w:rPr>
        <w:t>逐步让渡股权</w:t>
      </w:r>
      <w:r>
        <w:rPr>
          <w:rFonts w:ascii="Times New Roman" w:hAnsi="Times New Roman" w:eastAsia="仿宋_GB2312" w:cs="Times New Roman"/>
          <w:color w:val="auto"/>
          <w:sz w:val="32"/>
          <w:szCs w:val="32"/>
        </w:rPr>
        <w:t>。</w:t>
      </w:r>
    </w:p>
    <w:p w14:paraId="1BEF0066">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rPr>
      </w:pPr>
      <w:r>
        <w:rPr>
          <w:rFonts w:ascii="楷体_GB2312" w:hAnsi="Times New Roman" w:eastAsia="楷体_GB2312" w:cs="Times New Roman"/>
          <w:b/>
          <w:bCs/>
          <w:color w:val="auto"/>
          <w:sz w:val="32"/>
          <w:szCs w:val="32"/>
        </w:rPr>
        <w:t>（八）收益管理</w:t>
      </w:r>
      <w:r>
        <w:rPr>
          <w:rFonts w:ascii="Times New Roman" w:hAnsi="Times New Roman" w:eastAsia="仿宋_GB2312" w:cs="Times New Roman"/>
          <w:b/>
          <w:bCs/>
          <w:color w:val="auto"/>
          <w:sz w:val="32"/>
          <w:szCs w:val="32"/>
        </w:rPr>
        <w:t>。</w:t>
      </w:r>
      <w:r>
        <w:rPr>
          <w:rFonts w:ascii="Times New Roman" w:hAnsi="Times New Roman" w:eastAsia="仿宋_GB2312" w:cs="Times New Roman"/>
          <w:color w:val="auto"/>
          <w:sz w:val="32"/>
          <w:szCs w:val="32"/>
        </w:rPr>
        <w:t>股权</w:t>
      </w:r>
      <w:r>
        <w:rPr>
          <w:rFonts w:hint="eastAsia" w:ascii="Times New Roman" w:hAnsi="Times New Roman" w:eastAsia="仿宋_GB2312" w:cs="Times New Roman"/>
          <w:color w:val="auto"/>
          <w:sz w:val="32"/>
          <w:szCs w:val="32"/>
          <w:lang w:eastAsia="zh-CN"/>
        </w:rPr>
        <w:t>让渡</w:t>
      </w:r>
      <w:r>
        <w:rPr>
          <w:rFonts w:ascii="Times New Roman" w:hAnsi="Times New Roman" w:eastAsia="仿宋_GB2312" w:cs="Times New Roman"/>
          <w:color w:val="auto"/>
          <w:sz w:val="32"/>
          <w:szCs w:val="32"/>
        </w:rPr>
        <w:t>后形成的资金，除支付投资主体必要的管理费用（管理费用比例不应超过所在地私募基金市场平均水平，并建立相应激励机制）支出</w:t>
      </w:r>
      <w:r>
        <w:rPr>
          <w:rFonts w:hint="eastAsia" w:ascii="Times New Roman" w:hAnsi="Times New Roman" w:eastAsia="仿宋_GB2312" w:cs="Times New Roman"/>
          <w:color w:val="auto"/>
          <w:sz w:val="32"/>
          <w:szCs w:val="32"/>
        </w:rPr>
        <w:t>和按规定应上缴的国有资本经营收益外，剩余资金由投资主体</w:t>
      </w:r>
      <w:r>
        <w:rPr>
          <w:rFonts w:hint="eastAsia" w:ascii="Times New Roman" w:hAnsi="Times New Roman" w:eastAsia="仿宋_GB2312" w:cs="Times New Roman"/>
          <w:color w:val="auto"/>
          <w:sz w:val="32"/>
          <w:szCs w:val="32"/>
          <w:lang w:eastAsia="zh-CN"/>
        </w:rPr>
        <w:t>投入</w:t>
      </w:r>
      <w:r>
        <w:rPr>
          <w:rFonts w:hint="eastAsia" w:ascii="Times New Roman" w:hAnsi="Times New Roman" w:eastAsia="仿宋_GB2312" w:cs="Times New Roman"/>
          <w:color w:val="auto"/>
          <w:sz w:val="32"/>
          <w:szCs w:val="32"/>
        </w:rPr>
        <w:t>科技成果转化基金，继续支持科技企业转化利用国内外各类先进科技成果。</w:t>
      </w:r>
    </w:p>
    <w:p w14:paraId="5A48AB9B">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w:t>
      </w:r>
      <w:r>
        <w:rPr>
          <w:rFonts w:hint="eastAsia" w:ascii="Times New Roman" w:hAnsi="Times New Roman" w:eastAsia="黑体" w:cs="Times New Roman"/>
          <w:color w:val="auto"/>
          <w:sz w:val="32"/>
          <w:szCs w:val="32"/>
          <w:lang w:eastAsia="zh-CN"/>
        </w:rPr>
        <w:t>支持</w:t>
      </w:r>
      <w:r>
        <w:rPr>
          <w:rFonts w:ascii="Times New Roman" w:hAnsi="Times New Roman" w:eastAsia="黑体" w:cs="Times New Roman"/>
          <w:color w:val="auto"/>
          <w:sz w:val="32"/>
          <w:szCs w:val="32"/>
        </w:rPr>
        <w:t>措施</w:t>
      </w:r>
    </w:p>
    <w:p w14:paraId="1FF949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ascii="Times New Roman" w:hAnsi="Times New Roman" w:eastAsia="仿宋_GB2312" w:cs="Times New Roman"/>
          <w:color w:val="auto"/>
          <w:sz w:val="32"/>
          <w:szCs w:val="32"/>
        </w:rPr>
        <w:t>自治区科技厅、财政厅等应</w:t>
      </w:r>
      <w:r>
        <w:rPr>
          <w:rFonts w:hint="eastAsia" w:ascii="Times New Roman" w:hAnsi="Times New Roman" w:eastAsia="仿宋_GB2312" w:cs="Times New Roman"/>
          <w:color w:val="auto"/>
          <w:sz w:val="32"/>
          <w:szCs w:val="32"/>
          <w:lang w:eastAsia="zh-CN"/>
        </w:rPr>
        <w:t>不</w:t>
      </w:r>
      <w:r>
        <w:rPr>
          <w:rFonts w:ascii="Times New Roman" w:hAnsi="Times New Roman" w:eastAsia="仿宋_GB2312" w:cs="Times New Roman"/>
          <w:color w:val="auto"/>
          <w:sz w:val="32"/>
          <w:szCs w:val="32"/>
        </w:rPr>
        <w:t>定期协商推进工作，研究</w:t>
      </w:r>
      <w:r>
        <w:rPr>
          <w:rFonts w:hint="eastAsia" w:ascii="仿宋_GB2312" w:hAnsi="仿宋_GB2312" w:eastAsia="仿宋_GB2312" w:cs="仿宋_GB2312"/>
          <w:color w:val="auto"/>
          <w:sz w:val="32"/>
          <w:szCs w:val="32"/>
        </w:rPr>
        <w:t>审议“拨转投”实施过程中的重大事项，协调解决相关问题，鼓励银行、保险等机构充分发挥各自专业优势，积极联动“拨转投”项目，服务科技成果转化。投资主体、管理机构与项目企业应切实强化内部管理，完善风险防控机制，为推进科技成果落地转化提供良好环境。</w:t>
      </w:r>
      <w:r>
        <w:rPr>
          <w:rFonts w:ascii="Times New Roman" w:hAnsi="Times New Roman" w:eastAsia="仿宋_GB2312" w:cs="Times New Roman"/>
          <w:color w:val="auto"/>
          <w:sz w:val="32"/>
          <w:szCs w:val="32"/>
        </w:rPr>
        <w:t>为鼓励先行先试，对未达到预期目标的项目，相关主管部门及投资主体勤勉尽责、没有谋取非法利益，相关项目投资决策符合规定条件、标准和程序的，可</w:t>
      </w:r>
      <w:r>
        <w:rPr>
          <w:rFonts w:hint="eastAsia" w:ascii="Times New Roman" w:hAnsi="Times New Roman" w:eastAsia="仿宋_GB2312" w:cs="Times New Roman"/>
          <w:color w:val="auto"/>
          <w:sz w:val="32"/>
          <w:szCs w:val="32"/>
          <w:lang w:eastAsia="zh-CN"/>
        </w:rPr>
        <w:t>依据有关规定</w:t>
      </w:r>
      <w:r>
        <w:rPr>
          <w:rFonts w:ascii="Times New Roman" w:hAnsi="Times New Roman" w:eastAsia="仿宋_GB2312" w:cs="Times New Roman"/>
          <w:color w:val="auto"/>
          <w:sz w:val="32"/>
          <w:szCs w:val="32"/>
        </w:rPr>
        <w:t>免除其决策和管理责任。对投资主体采取以项目服务及投后管理为核心的绩效考核，投资主体发生的投资损失经认定后及时核销处理，其盈亏暂不纳入绩效考核范畴。</w:t>
      </w:r>
    </w:p>
    <w:p w14:paraId="42EDD3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sz w:val="32"/>
          <w:szCs w:val="32"/>
          <w:lang w:eastAsia="zh-CN"/>
        </w:rPr>
      </w:pPr>
      <w:r>
        <w:rPr>
          <w:rFonts w:hint="eastAsia" w:ascii="Times New Roman" w:hAnsi="Times New Roman" w:eastAsia="黑体" w:cs="Times New Roman"/>
          <w:color w:val="auto"/>
          <w:sz w:val="32"/>
          <w:szCs w:val="32"/>
          <w:lang w:eastAsia="zh-CN"/>
        </w:rPr>
        <w:t>七</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rPr>
        <w:t>实施期限</w:t>
      </w:r>
    </w:p>
    <w:p w14:paraId="5D52E8C7">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default" w:ascii="Times New Roman" w:hAnsi="Times New Roman" w:eastAsia="仿宋_GB2312"/>
          <w:sz w:val="32"/>
          <w:szCs w:val="32"/>
          <w:lang w:eastAsia="zh-CN"/>
        </w:rPr>
        <w:t>本工作方案实施期限五年，自印发之日起实施</w:t>
      </w:r>
      <w:r>
        <w:rPr>
          <w:rFonts w:hint="eastAsia" w:ascii="Times New Roman" w:hAnsi="Times New Roman" w:eastAsia="仿宋_GB2312"/>
          <w:sz w:val="32"/>
          <w:szCs w:val="32"/>
          <w:lang w:eastAsia="zh-CN"/>
        </w:rPr>
        <w:t>。</w:t>
      </w:r>
    </w:p>
    <w:p w14:paraId="3E5F1BB7">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p>
    <w:p w14:paraId="78B1E387">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p>
    <w:p w14:paraId="31E39010">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p>
    <w:p w14:paraId="76128689">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p>
    <w:p w14:paraId="77F12488">
      <w:pPr>
        <w:pStyle w:val="9"/>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sz w:val="32"/>
          <w:szCs w:val="32"/>
          <w:lang w:val="en" w:eastAsia="zh-CN"/>
        </w:rPr>
      </w:pPr>
    </w:p>
    <w:p w14:paraId="663DC01D">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p>
    <w:p w14:paraId="112670D9">
      <w:pPr>
        <w:pStyle w:val="9"/>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sz w:val="32"/>
          <w:szCs w:val="32"/>
          <w:lang w:eastAsia="zh-CN"/>
        </w:rPr>
      </w:pPr>
    </w:p>
    <w:p w14:paraId="65451A1B">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p>
    <w:p w14:paraId="48C99610">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tbl>
      <w:tblPr>
        <w:tblStyle w:val="17"/>
        <w:tblW w:w="907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666579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1" w:type="dxa"/>
            <w:noWrap w:val="0"/>
            <w:vAlign w:val="center"/>
          </w:tcPr>
          <w:p w14:paraId="35848C44">
            <w:pPr>
              <w:keepNext w:val="0"/>
              <w:keepLines w:val="0"/>
              <w:pageBreakBefore w:val="0"/>
              <w:widowControl w:val="0"/>
              <w:kinsoku/>
              <w:wordWrap/>
              <w:overflowPunct/>
              <w:topLinePunct w:val="0"/>
              <w:autoSpaceDE/>
              <w:autoSpaceDN/>
              <w:bidi w:val="0"/>
              <w:adjustRightInd/>
              <w:snapToGrid/>
              <w:spacing w:line="360" w:lineRule="exact"/>
              <w:ind w:left="210" w:leftChars="100" w:right="210" w:rightChars="100"/>
              <w:jc w:val="both"/>
              <w:textAlignment w:val="auto"/>
              <w:rPr>
                <w:rFonts w:hint="eastAsia" w:eastAsia="仿宋_GB2312"/>
                <w:sz w:val="28"/>
                <w:szCs w:val="28"/>
                <w:lang w:eastAsia="zh-CN"/>
              </w:rPr>
            </w:pPr>
            <w:r>
              <w:rPr>
                <w:rFonts w:eastAsia="仿宋_GB2312"/>
                <w:sz w:val="28"/>
                <w:szCs w:val="28"/>
              </w:rPr>
              <w:t xml:space="preserve">广西壮族自治区科学技术厅办公室    </w:t>
            </w:r>
            <w:r>
              <w:rPr>
                <w:rFonts w:hint="default" w:eastAsia="仿宋_GB2312"/>
                <w:sz w:val="28"/>
                <w:szCs w:val="28"/>
                <w:lang w:val="en"/>
              </w:rPr>
              <w:t xml:space="preserve">  </w:t>
            </w:r>
            <w:r>
              <w:rPr>
                <w:rFonts w:eastAsia="仿宋_GB2312"/>
                <w:sz w:val="28"/>
                <w:szCs w:val="28"/>
              </w:rPr>
              <w:t xml:space="preserve"> </w:t>
            </w:r>
            <w:r>
              <w:rPr>
                <w:rFonts w:hint="default" w:eastAsia="仿宋_GB2312"/>
                <w:sz w:val="28"/>
                <w:szCs w:val="28"/>
                <w:lang w:val="en"/>
              </w:rPr>
              <w:t xml:space="preserve"> </w:t>
            </w:r>
            <w:r>
              <w:rPr>
                <w:rFonts w:hint="eastAsia" w:eastAsia="仿宋_GB2312"/>
                <w:sz w:val="28"/>
                <w:szCs w:val="28"/>
              </w:rPr>
              <w:t xml:space="preserve">  </w:t>
            </w:r>
            <w:r>
              <w:rPr>
                <w:rFonts w:ascii="Times New Roman" w:hAnsi="Times New Roman" w:eastAsia="仿宋_GB2312"/>
                <w:sz w:val="28"/>
                <w:szCs w:val="28"/>
                <w:lang w:val="en"/>
              </w:rPr>
              <w:t>202</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年</w:t>
            </w:r>
            <w:r>
              <w:rPr>
                <w:rFonts w:hint="default" w:ascii="Times New Roman" w:hAnsi="Times New Roman"/>
                <w:sz w:val="28"/>
                <w:szCs w:val="28"/>
                <w:lang w:val="en" w:eastAsia="zh-CN"/>
              </w:rPr>
              <w:t>12</w:t>
            </w:r>
            <w:r>
              <w:rPr>
                <w:rFonts w:ascii="Times New Roman" w:hAnsi="Times New Roman" w:eastAsia="仿宋_GB2312"/>
                <w:sz w:val="28"/>
                <w:szCs w:val="28"/>
              </w:rPr>
              <w:t>月</w:t>
            </w:r>
            <w:r>
              <w:rPr>
                <w:rFonts w:hint="default" w:ascii="Times New Roman" w:hAnsi="Times New Roman"/>
                <w:sz w:val="28"/>
                <w:szCs w:val="28"/>
                <w:lang w:val="en" w:eastAsia="zh-CN"/>
              </w:rPr>
              <w:t>17</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tc>
      </w:tr>
    </w:tbl>
    <w:p w14:paraId="42E0DA65">
      <w:pPr>
        <w:pStyle w:val="9"/>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Times New Roman" w:hAnsi="Times New Roman" w:eastAsia="仿宋_GB2312"/>
          <w:sz w:val="32"/>
          <w:szCs w:val="32"/>
          <w:lang w:eastAsia="zh-CN"/>
        </w:rPr>
      </w:pPr>
      <w:r>
        <w:rPr>
          <w:rFonts w:hint="default" w:ascii="Times New Roman" w:hAnsi="Times New Roman" w:eastAsia="仿宋_GB2312"/>
          <w:sz w:val="32"/>
          <w:szCs w:val="32"/>
          <w:lang w:val="en" w:eastAsia="zh-CN"/>
        </w:rPr>
        <w:drawing>
          <wp:anchor distT="0" distB="0" distL="114300" distR="114300" simplePos="0" relativeHeight="251660288" behindDoc="0" locked="0" layoutInCell="1" allowOverlap="1">
            <wp:simplePos x="0" y="0"/>
            <wp:positionH relativeFrom="column">
              <wp:posOffset>3787775</wp:posOffset>
            </wp:positionH>
            <wp:positionV relativeFrom="paragraph">
              <wp:posOffset>118745</wp:posOffset>
            </wp:positionV>
            <wp:extent cx="1790700" cy="476250"/>
            <wp:effectExtent l="0" t="0" r="7620" b="11430"/>
            <wp:wrapSquare wrapText="bothSides"/>
            <wp:docPr id="2" name="图片 4"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6"/>
                    <pic:cNvPicPr>
                      <a:picLocks noChangeAspect="1"/>
                    </pic:cNvPicPr>
                  </pic:nvPicPr>
                  <pic:blipFill>
                    <a:blip r:embed="rId8"/>
                    <a:stretch>
                      <a:fillRect/>
                    </a:stretch>
                  </pic:blipFill>
                  <pic:spPr>
                    <a:xfrm>
                      <a:off x="0" y="0"/>
                      <a:ext cx="1790700" cy="476250"/>
                    </a:xfrm>
                    <a:prstGeom prst="rect">
                      <a:avLst/>
                    </a:prstGeom>
                    <a:noFill/>
                    <a:ln>
                      <a:noFill/>
                    </a:ln>
                  </pic:spPr>
                </pic:pic>
              </a:graphicData>
            </a:graphic>
          </wp:anchor>
        </w:drawing>
      </w:r>
    </w:p>
    <w:sectPr>
      <w:headerReference r:id="rId4" w:type="first"/>
      <w:footerReference r:id="rId6" w:type="first"/>
      <w:headerReference r:id="rId3" w:type="default"/>
      <w:footerReference r:id="rId5" w:type="default"/>
      <w:pgSz w:w="11906" w:h="16838"/>
      <w:pgMar w:top="2098" w:right="1531" w:bottom="1701" w:left="1531" w:header="851" w:footer="1417" w:gutter="0"/>
      <w:paperSrc/>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EE02">
    <w:pPr>
      <w:pStyle w:val="12"/>
      <w:spacing w:line="360" w:lineRule="exact"/>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3" name="Text Box 5"/>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03A22233">
                          <w:pPr>
                            <w:pStyle w:val="12"/>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DsWsFA1AEAALsDAAAOAAAAZHJzL2Uyb0RvYy54bWytU9uO0zAQfUfi&#10;H6x5p0mzFyBqugKqRUgIkHb5ANdxGku+aew2KV/P2Em6sLzsAy/OeDw+c87xZHM3Gs1OEoNytoH1&#10;qgQmrXCtsocGfj7ev3kHLERuW66dlQ2cZYC77etXm8HXsnK9061ERiA21INvoI/R10URRC8NDyvn&#10;paXDzqHhkbZ4KFrkA6EbXVRleVsMDluPTsgQKLubDmFGxJcAuq5TQu6cOBpp44SKUvNIkkKvfIBt&#10;Ztt1UsTvXRdkZLoBUhrzSk0o3qe12G54fUDueyVmCvwlFJ5pMlxZanqB2vHI2RHVP1BGCXTBdXEl&#10;nCkmIdkRUrEun3nz0HMvsxayOviL6eH/wYpvpx/IVNvAFTDLDT34oxwj++hGdpPcGXyoqejBU1kc&#10;KU0zs+QDJZPosUOTviSH0Tl5e754m8AEJW+r6v3VDTBBR1V5ff02e188XfYY4mfpDEtBA0hPlx3l&#10;p68hEhEqXUpSL+vuldb5+bT9K0GFKVMk5hPDFMVxP85y9q49kxr6B6hP7/AXsIEmoAFLAw9Mf7Fk&#10;cBqWJcAl2C8Bt4IuNhCBTeGnOA3V0aM69IS7zuSD/3CMxDQLSDSm3jM7etOsa56/NDR/7nPV0z+3&#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WDyM0QAAAAMBAAAPAAAAAAAAAAEAIAAAACIAAABk&#10;cnMvZG93bnJldi54bWxQSwECFAAUAAAACACHTuJA7FrBQNQBAAC7AwAADgAAAAAAAAABACAAAAAg&#10;AQAAZHJzL2Uyb0RvYy54bWxQSwUGAAAAAAYABgBZAQAAZgUAAAAA&#10;">
              <v:fill on="f" focussize="0,0"/>
              <v:stroke on="f"/>
              <v:imagedata o:title=""/>
              <o:lock v:ext="edit" aspectratio="f"/>
              <v:textbox inset="0mm,0mm,0mm,0mm" style="mso-fit-shape-to-text:t;">
                <w:txbxContent>
                  <w:p w14:paraId="03A22233">
                    <w:pPr>
                      <w:pStyle w:val="12"/>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292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0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87AD13">
                          <w:pPr>
                            <w:pStyle w:val="1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rPr>
                            <w:t>—</w:t>
                          </w:r>
                        </w:p>
                      </w:txbxContent>
                    </wps:txbx>
                    <wps:bodyPr vert="horz" wrap="none" lIns="0" tIns="0" rIns="0" bIns="0" anchor="t" anchorCtr="0" upright="0">
                      <a:spAutoFit/>
                    </wps:bodyPr>
                  </wps:wsp>
                </a:graphicData>
              </a:graphic>
            </wp:anchor>
          </w:drawing>
        </mc:Choice>
        <mc:Fallback>
          <w:pict>
            <v:shape id="文本框 207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8K2OABAADBAwAADgAAAGRycy9lMm9Eb2MueG1srVPBjtMwEL0j8Q+W&#10;7zTZCkFVNV0B1SIkBEgLH+A6TmPJ9lget0n5APgDTly48139jh07SQu7lz3sJRnPjN/MezNeXffW&#10;sIMKqMFV/GpWcqachFq7XcW/fb15seAMo3C1MOBUxY8K+fX6+bNV55dqDi2YWgVGIA6Xna94G6Nf&#10;FgXKVlmBM/DKUbCBYEWkY9gVdRAdoVtTzMvyVdFBqH0AqRDJuxmCfEQMjwGEptFSbUDurXJxQA3K&#10;iEiUsNUe+Tp32zRKxs9NgyoyU3FiGvOXipC9Td9ivRLLXRC+1XJsQTymhXucrNCOip6hNiIKtg/6&#10;AZTVMgBCE2cSbDEQyYoQi6vynja3rfAqcyGp0Z9Fx6eDlZ8OXwLTdcVfcuaEpYGffv08/f57+vOD&#10;zcvXWaHO45ISbz2lxv4t9LQ3SbnkR3Im4n0TbPoTJUZx0vd41lf1kcl0aTFfLEoKSYpNB8IpLtd9&#10;wPhegWXJqHigAWZdxeEjxiF1SknVHNxoY/IQjfvPQZjJU1x6TFbst/3Y+BbqI/Ghl0B1WgjfOeto&#10;DyruaO05Mx8cyZxWZjLCZGwnQzhJFyseORvMd3FYrb0PetfmZUtNoX+zj9RpJpDaGGqP3dFkswTj&#10;FqbV+fecsy4vb3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HmPCtjgAQAAwQMAAA4AAAAA&#10;AAAAAQAgAAAAHgEAAGRycy9lMm9Eb2MueG1sUEsFBgAAAAAGAAYAWQEAAHAFAAAAAA==&#10;">
              <v:fill on="f" focussize="0,0"/>
              <v:stroke on="f"/>
              <v:imagedata o:title=""/>
              <o:lock v:ext="edit" aspectratio="f"/>
              <v:textbox inset="0mm,0mm,0mm,0mm" style="mso-fit-shape-to-text:t;">
                <w:txbxContent>
                  <w:p w14:paraId="3587AD13">
                    <w:pPr>
                      <w:pStyle w:val="1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77D1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E539">
    <w:pPr>
      <w:pStyle w:val="13"/>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hyphenationZone w:val="360"/>
  <w:drawingGridHorizontalSpacing w:val="210"/>
  <w:drawingGridVerticalSpacing w:val="158"/>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F1"/>
    <w:rsid w:val="00000F55"/>
    <w:rsid w:val="000045D6"/>
    <w:rsid w:val="00020D2A"/>
    <w:rsid w:val="00024006"/>
    <w:rsid w:val="000310D0"/>
    <w:rsid w:val="000332C3"/>
    <w:rsid w:val="000543BF"/>
    <w:rsid w:val="00056C43"/>
    <w:rsid w:val="00064356"/>
    <w:rsid w:val="000650BC"/>
    <w:rsid w:val="00074AA6"/>
    <w:rsid w:val="00075405"/>
    <w:rsid w:val="0007604C"/>
    <w:rsid w:val="00080ABC"/>
    <w:rsid w:val="00082B48"/>
    <w:rsid w:val="000848DC"/>
    <w:rsid w:val="00086F61"/>
    <w:rsid w:val="00090177"/>
    <w:rsid w:val="000958FB"/>
    <w:rsid w:val="00095A3D"/>
    <w:rsid w:val="000A2E76"/>
    <w:rsid w:val="000B6F89"/>
    <w:rsid w:val="000C12DE"/>
    <w:rsid w:val="000C1AE3"/>
    <w:rsid w:val="000D4071"/>
    <w:rsid w:val="000E4BB4"/>
    <w:rsid w:val="000F3210"/>
    <w:rsid w:val="000F369E"/>
    <w:rsid w:val="000F38E3"/>
    <w:rsid w:val="000F518C"/>
    <w:rsid w:val="000F6F50"/>
    <w:rsid w:val="000F7248"/>
    <w:rsid w:val="001011E4"/>
    <w:rsid w:val="001014C1"/>
    <w:rsid w:val="0011417A"/>
    <w:rsid w:val="001179BC"/>
    <w:rsid w:val="00122223"/>
    <w:rsid w:val="00124233"/>
    <w:rsid w:val="00143345"/>
    <w:rsid w:val="0014506C"/>
    <w:rsid w:val="001528C3"/>
    <w:rsid w:val="00157938"/>
    <w:rsid w:val="00157C4D"/>
    <w:rsid w:val="0016161B"/>
    <w:rsid w:val="0017337B"/>
    <w:rsid w:val="00173CC8"/>
    <w:rsid w:val="00183C60"/>
    <w:rsid w:val="00183E30"/>
    <w:rsid w:val="001910CE"/>
    <w:rsid w:val="00194269"/>
    <w:rsid w:val="001A3E4C"/>
    <w:rsid w:val="001A5CB6"/>
    <w:rsid w:val="001B2E7C"/>
    <w:rsid w:val="001B49F0"/>
    <w:rsid w:val="001C7F46"/>
    <w:rsid w:val="001D390D"/>
    <w:rsid w:val="001E6799"/>
    <w:rsid w:val="0021055E"/>
    <w:rsid w:val="002177BE"/>
    <w:rsid w:val="00221285"/>
    <w:rsid w:val="00224E91"/>
    <w:rsid w:val="00242EB2"/>
    <w:rsid w:val="0024545E"/>
    <w:rsid w:val="00251261"/>
    <w:rsid w:val="002513F4"/>
    <w:rsid w:val="002539DB"/>
    <w:rsid w:val="002546D9"/>
    <w:rsid w:val="0025551C"/>
    <w:rsid w:val="002718DF"/>
    <w:rsid w:val="00287AAE"/>
    <w:rsid w:val="00294BD7"/>
    <w:rsid w:val="002951A6"/>
    <w:rsid w:val="002975AC"/>
    <w:rsid w:val="002A3792"/>
    <w:rsid w:val="002C7CAD"/>
    <w:rsid w:val="002D02E5"/>
    <w:rsid w:val="002D1462"/>
    <w:rsid w:val="002E197D"/>
    <w:rsid w:val="002E22FF"/>
    <w:rsid w:val="00301927"/>
    <w:rsid w:val="00301B62"/>
    <w:rsid w:val="00310AA9"/>
    <w:rsid w:val="003172AC"/>
    <w:rsid w:val="0032056E"/>
    <w:rsid w:val="00326A0C"/>
    <w:rsid w:val="00340EAD"/>
    <w:rsid w:val="00355CA7"/>
    <w:rsid w:val="00366729"/>
    <w:rsid w:val="00375591"/>
    <w:rsid w:val="003758E4"/>
    <w:rsid w:val="00385E7E"/>
    <w:rsid w:val="00392B63"/>
    <w:rsid w:val="0039657C"/>
    <w:rsid w:val="00396CAE"/>
    <w:rsid w:val="003B364F"/>
    <w:rsid w:val="003C48E0"/>
    <w:rsid w:val="003C6B62"/>
    <w:rsid w:val="003D7A4F"/>
    <w:rsid w:val="003E2531"/>
    <w:rsid w:val="003E420D"/>
    <w:rsid w:val="003E5397"/>
    <w:rsid w:val="003F1CF8"/>
    <w:rsid w:val="003F1E2C"/>
    <w:rsid w:val="003F2513"/>
    <w:rsid w:val="003F66C8"/>
    <w:rsid w:val="00411A4B"/>
    <w:rsid w:val="00412DBE"/>
    <w:rsid w:val="00420312"/>
    <w:rsid w:val="00432939"/>
    <w:rsid w:val="00435EB9"/>
    <w:rsid w:val="00436309"/>
    <w:rsid w:val="00451939"/>
    <w:rsid w:val="0045446C"/>
    <w:rsid w:val="0046084D"/>
    <w:rsid w:val="00460B46"/>
    <w:rsid w:val="00461956"/>
    <w:rsid w:val="004652B3"/>
    <w:rsid w:val="00467301"/>
    <w:rsid w:val="00470EEC"/>
    <w:rsid w:val="00475153"/>
    <w:rsid w:val="00480D67"/>
    <w:rsid w:val="0048462D"/>
    <w:rsid w:val="00485383"/>
    <w:rsid w:val="00492057"/>
    <w:rsid w:val="00493B51"/>
    <w:rsid w:val="004B3D2A"/>
    <w:rsid w:val="004C449C"/>
    <w:rsid w:val="004C59C9"/>
    <w:rsid w:val="004D13BC"/>
    <w:rsid w:val="004D6EE5"/>
    <w:rsid w:val="004D72CB"/>
    <w:rsid w:val="004F0CAE"/>
    <w:rsid w:val="004F155E"/>
    <w:rsid w:val="00514691"/>
    <w:rsid w:val="005315A4"/>
    <w:rsid w:val="00543354"/>
    <w:rsid w:val="005530FE"/>
    <w:rsid w:val="00571856"/>
    <w:rsid w:val="005728CF"/>
    <w:rsid w:val="00576564"/>
    <w:rsid w:val="005802FA"/>
    <w:rsid w:val="00585CDF"/>
    <w:rsid w:val="0059366F"/>
    <w:rsid w:val="005A05FD"/>
    <w:rsid w:val="005A4022"/>
    <w:rsid w:val="005A45E7"/>
    <w:rsid w:val="005B5143"/>
    <w:rsid w:val="005C2387"/>
    <w:rsid w:val="005C550A"/>
    <w:rsid w:val="005D02FF"/>
    <w:rsid w:val="005D1EF7"/>
    <w:rsid w:val="005D3C02"/>
    <w:rsid w:val="005D5F9B"/>
    <w:rsid w:val="005E6BD3"/>
    <w:rsid w:val="005E7B75"/>
    <w:rsid w:val="005F0A3B"/>
    <w:rsid w:val="005F2501"/>
    <w:rsid w:val="005F2B35"/>
    <w:rsid w:val="00601A7A"/>
    <w:rsid w:val="006337F8"/>
    <w:rsid w:val="00646C4C"/>
    <w:rsid w:val="00647244"/>
    <w:rsid w:val="0066006F"/>
    <w:rsid w:val="00672C88"/>
    <w:rsid w:val="00673E4F"/>
    <w:rsid w:val="00692AB5"/>
    <w:rsid w:val="006937AE"/>
    <w:rsid w:val="006A11B1"/>
    <w:rsid w:val="006B1924"/>
    <w:rsid w:val="006D055A"/>
    <w:rsid w:val="006D70E0"/>
    <w:rsid w:val="006E68D3"/>
    <w:rsid w:val="00700D11"/>
    <w:rsid w:val="00715187"/>
    <w:rsid w:val="007236AF"/>
    <w:rsid w:val="00727900"/>
    <w:rsid w:val="00731295"/>
    <w:rsid w:val="007319E5"/>
    <w:rsid w:val="00732A3B"/>
    <w:rsid w:val="00736C57"/>
    <w:rsid w:val="00766A29"/>
    <w:rsid w:val="00780B22"/>
    <w:rsid w:val="00782B80"/>
    <w:rsid w:val="007900F7"/>
    <w:rsid w:val="007B578A"/>
    <w:rsid w:val="007B6E81"/>
    <w:rsid w:val="007B776C"/>
    <w:rsid w:val="007C330F"/>
    <w:rsid w:val="007C3DF2"/>
    <w:rsid w:val="007C7D17"/>
    <w:rsid w:val="007D5F53"/>
    <w:rsid w:val="007E5050"/>
    <w:rsid w:val="007E6699"/>
    <w:rsid w:val="008008A3"/>
    <w:rsid w:val="008011F2"/>
    <w:rsid w:val="00802E58"/>
    <w:rsid w:val="00807D66"/>
    <w:rsid w:val="008206C8"/>
    <w:rsid w:val="00824133"/>
    <w:rsid w:val="00824F7E"/>
    <w:rsid w:val="00827E39"/>
    <w:rsid w:val="00831804"/>
    <w:rsid w:val="00833F4B"/>
    <w:rsid w:val="00841148"/>
    <w:rsid w:val="00843766"/>
    <w:rsid w:val="00851578"/>
    <w:rsid w:val="00852B03"/>
    <w:rsid w:val="00871C90"/>
    <w:rsid w:val="00874932"/>
    <w:rsid w:val="0088764E"/>
    <w:rsid w:val="00894586"/>
    <w:rsid w:val="008B2639"/>
    <w:rsid w:val="008D4478"/>
    <w:rsid w:val="008E3D5E"/>
    <w:rsid w:val="008F3D02"/>
    <w:rsid w:val="008F6383"/>
    <w:rsid w:val="0090136C"/>
    <w:rsid w:val="00902B6F"/>
    <w:rsid w:val="00914BC9"/>
    <w:rsid w:val="0091512E"/>
    <w:rsid w:val="00921B71"/>
    <w:rsid w:val="009223CE"/>
    <w:rsid w:val="00924D4D"/>
    <w:rsid w:val="009274E2"/>
    <w:rsid w:val="00933C59"/>
    <w:rsid w:val="009411B9"/>
    <w:rsid w:val="0095073F"/>
    <w:rsid w:val="00957787"/>
    <w:rsid w:val="00957A9B"/>
    <w:rsid w:val="00964E62"/>
    <w:rsid w:val="009664B7"/>
    <w:rsid w:val="00971771"/>
    <w:rsid w:val="00981278"/>
    <w:rsid w:val="00990A61"/>
    <w:rsid w:val="00991840"/>
    <w:rsid w:val="00995E40"/>
    <w:rsid w:val="009A36EE"/>
    <w:rsid w:val="009A48ED"/>
    <w:rsid w:val="009B0742"/>
    <w:rsid w:val="009C5486"/>
    <w:rsid w:val="009D1A9E"/>
    <w:rsid w:val="009E086D"/>
    <w:rsid w:val="009E64BF"/>
    <w:rsid w:val="009F062D"/>
    <w:rsid w:val="009F1D81"/>
    <w:rsid w:val="009F38DA"/>
    <w:rsid w:val="009F7CAE"/>
    <w:rsid w:val="00A06A48"/>
    <w:rsid w:val="00A16656"/>
    <w:rsid w:val="00A21708"/>
    <w:rsid w:val="00A21EA2"/>
    <w:rsid w:val="00A22EA0"/>
    <w:rsid w:val="00A241EA"/>
    <w:rsid w:val="00A301F6"/>
    <w:rsid w:val="00A3236C"/>
    <w:rsid w:val="00A32D51"/>
    <w:rsid w:val="00A43BBB"/>
    <w:rsid w:val="00A469D1"/>
    <w:rsid w:val="00A4793B"/>
    <w:rsid w:val="00A50934"/>
    <w:rsid w:val="00A52EAA"/>
    <w:rsid w:val="00A55C92"/>
    <w:rsid w:val="00A56B53"/>
    <w:rsid w:val="00A56E5E"/>
    <w:rsid w:val="00A57520"/>
    <w:rsid w:val="00A62B2B"/>
    <w:rsid w:val="00A640D7"/>
    <w:rsid w:val="00A7698E"/>
    <w:rsid w:val="00A77A7C"/>
    <w:rsid w:val="00A922C5"/>
    <w:rsid w:val="00AA049C"/>
    <w:rsid w:val="00AB5361"/>
    <w:rsid w:val="00AC134C"/>
    <w:rsid w:val="00AC3DF7"/>
    <w:rsid w:val="00AC51D8"/>
    <w:rsid w:val="00AD4EEA"/>
    <w:rsid w:val="00AE0369"/>
    <w:rsid w:val="00AE4F06"/>
    <w:rsid w:val="00AE71C8"/>
    <w:rsid w:val="00AF0A05"/>
    <w:rsid w:val="00AF0B3E"/>
    <w:rsid w:val="00AF2244"/>
    <w:rsid w:val="00AF58CA"/>
    <w:rsid w:val="00AF5DE0"/>
    <w:rsid w:val="00B000BD"/>
    <w:rsid w:val="00B0207B"/>
    <w:rsid w:val="00B1275E"/>
    <w:rsid w:val="00B2484C"/>
    <w:rsid w:val="00B31F85"/>
    <w:rsid w:val="00B52205"/>
    <w:rsid w:val="00B6339F"/>
    <w:rsid w:val="00BA13CB"/>
    <w:rsid w:val="00BA4307"/>
    <w:rsid w:val="00BA52F7"/>
    <w:rsid w:val="00BB2FC6"/>
    <w:rsid w:val="00BC3BA6"/>
    <w:rsid w:val="00BD007D"/>
    <w:rsid w:val="00BD5664"/>
    <w:rsid w:val="00BD6D49"/>
    <w:rsid w:val="00BE2F0D"/>
    <w:rsid w:val="00BE532B"/>
    <w:rsid w:val="00BE797D"/>
    <w:rsid w:val="00BF1BD3"/>
    <w:rsid w:val="00BF33B8"/>
    <w:rsid w:val="00BF7728"/>
    <w:rsid w:val="00C06A55"/>
    <w:rsid w:val="00C1267B"/>
    <w:rsid w:val="00C22375"/>
    <w:rsid w:val="00C27326"/>
    <w:rsid w:val="00C2773E"/>
    <w:rsid w:val="00C32C34"/>
    <w:rsid w:val="00C355E8"/>
    <w:rsid w:val="00C44C95"/>
    <w:rsid w:val="00C4713B"/>
    <w:rsid w:val="00C50D26"/>
    <w:rsid w:val="00C52E2C"/>
    <w:rsid w:val="00C66A72"/>
    <w:rsid w:val="00C73C2A"/>
    <w:rsid w:val="00C75C33"/>
    <w:rsid w:val="00C76983"/>
    <w:rsid w:val="00C77FD8"/>
    <w:rsid w:val="00C80434"/>
    <w:rsid w:val="00C81658"/>
    <w:rsid w:val="00C85FE5"/>
    <w:rsid w:val="00C9192E"/>
    <w:rsid w:val="00C94256"/>
    <w:rsid w:val="00C95912"/>
    <w:rsid w:val="00C95C3C"/>
    <w:rsid w:val="00CA353A"/>
    <w:rsid w:val="00CA6196"/>
    <w:rsid w:val="00CC0100"/>
    <w:rsid w:val="00CC68AD"/>
    <w:rsid w:val="00CD4A58"/>
    <w:rsid w:val="00CE505D"/>
    <w:rsid w:val="00D16474"/>
    <w:rsid w:val="00D26E0D"/>
    <w:rsid w:val="00D3394E"/>
    <w:rsid w:val="00D46522"/>
    <w:rsid w:val="00D50D8A"/>
    <w:rsid w:val="00D60630"/>
    <w:rsid w:val="00D61433"/>
    <w:rsid w:val="00D62BFB"/>
    <w:rsid w:val="00D638BA"/>
    <w:rsid w:val="00D80D98"/>
    <w:rsid w:val="00DA58B3"/>
    <w:rsid w:val="00DC5977"/>
    <w:rsid w:val="00DD5BF7"/>
    <w:rsid w:val="00DE6CDC"/>
    <w:rsid w:val="00DF60A8"/>
    <w:rsid w:val="00E0750D"/>
    <w:rsid w:val="00E15FCA"/>
    <w:rsid w:val="00E16CFC"/>
    <w:rsid w:val="00E17C4D"/>
    <w:rsid w:val="00E21F7A"/>
    <w:rsid w:val="00E32D80"/>
    <w:rsid w:val="00E33C7F"/>
    <w:rsid w:val="00E34AF9"/>
    <w:rsid w:val="00E40241"/>
    <w:rsid w:val="00E4784D"/>
    <w:rsid w:val="00E66342"/>
    <w:rsid w:val="00E67D9B"/>
    <w:rsid w:val="00E724A0"/>
    <w:rsid w:val="00E76190"/>
    <w:rsid w:val="00E87771"/>
    <w:rsid w:val="00E9289F"/>
    <w:rsid w:val="00E95B2E"/>
    <w:rsid w:val="00E9621D"/>
    <w:rsid w:val="00EA24BA"/>
    <w:rsid w:val="00EC2EB8"/>
    <w:rsid w:val="00ED05A5"/>
    <w:rsid w:val="00EE269B"/>
    <w:rsid w:val="00EF4C03"/>
    <w:rsid w:val="00F028DA"/>
    <w:rsid w:val="00F03046"/>
    <w:rsid w:val="00F07C85"/>
    <w:rsid w:val="00F233D0"/>
    <w:rsid w:val="00F23782"/>
    <w:rsid w:val="00F3111F"/>
    <w:rsid w:val="00F31E23"/>
    <w:rsid w:val="00F33BCE"/>
    <w:rsid w:val="00F4571B"/>
    <w:rsid w:val="00F60DB5"/>
    <w:rsid w:val="00F62D3A"/>
    <w:rsid w:val="00F71396"/>
    <w:rsid w:val="00FA3C60"/>
    <w:rsid w:val="00FB0EA7"/>
    <w:rsid w:val="00FC6160"/>
    <w:rsid w:val="00FD12DB"/>
    <w:rsid w:val="00FD1FFE"/>
    <w:rsid w:val="00FD5E71"/>
    <w:rsid w:val="00FE46B3"/>
    <w:rsid w:val="00FF0E72"/>
    <w:rsid w:val="00FF2808"/>
    <w:rsid w:val="00FF3AC2"/>
    <w:rsid w:val="00FF3C7A"/>
    <w:rsid w:val="010630D0"/>
    <w:rsid w:val="034F6973"/>
    <w:rsid w:val="05A76B78"/>
    <w:rsid w:val="05CE6EB1"/>
    <w:rsid w:val="06982F19"/>
    <w:rsid w:val="087F6923"/>
    <w:rsid w:val="0B616901"/>
    <w:rsid w:val="0D445412"/>
    <w:rsid w:val="0EAA760A"/>
    <w:rsid w:val="113A6658"/>
    <w:rsid w:val="16295DD9"/>
    <w:rsid w:val="19BFC6E1"/>
    <w:rsid w:val="23E74FDF"/>
    <w:rsid w:val="25565D1A"/>
    <w:rsid w:val="27E239F2"/>
    <w:rsid w:val="280F74E7"/>
    <w:rsid w:val="2BC00920"/>
    <w:rsid w:val="2BE01BD6"/>
    <w:rsid w:val="2F564540"/>
    <w:rsid w:val="30B4648D"/>
    <w:rsid w:val="31E36869"/>
    <w:rsid w:val="335F56CE"/>
    <w:rsid w:val="3543C99B"/>
    <w:rsid w:val="355A3E1C"/>
    <w:rsid w:val="365A443E"/>
    <w:rsid w:val="373B525E"/>
    <w:rsid w:val="38FB5317"/>
    <w:rsid w:val="39B76556"/>
    <w:rsid w:val="3ACBA423"/>
    <w:rsid w:val="3B378168"/>
    <w:rsid w:val="3C730A48"/>
    <w:rsid w:val="3F6F1145"/>
    <w:rsid w:val="3F814D97"/>
    <w:rsid w:val="409A21BD"/>
    <w:rsid w:val="40C44895"/>
    <w:rsid w:val="44685444"/>
    <w:rsid w:val="448F25B4"/>
    <w:rsid w:val="49051EC1"/>
    <w:rsid w:val="49BF6941"/>
    <w:rsid w:val="4AEB42B2"/>
    <w:rsid w:val="4B0A3EDB"/>
    <w:rsid w:val="4D981343"/>
    <w:rsid w:val="4D9AFE69"/>
    <w:rsid w:val="4E80705D"/>
    <w:rsid w:val="4F9F7D77"/>
    <w:rsid w:val="51EEA292"/>
    <w:rsid w:val="526BFAD4"/>
    <w:rsid w:val="55625F0C"/>
    <w:rsid w:val="55F51A69"/>
    <w:rsid w:val="57DFBA42"/>
    <w:rsid w:val="5AF35FEF"/>
    <w:rsid w:val="5BDF3788"/>
    <w:rsid w:val="5CA5570E"/>
    <w:rsid w:val="5CC44C22"/>
    <w:rsid w:val="5CFE536C"/>
    <w:rsid w:val="5D1E7563"/>
    <w:rsid w:val="5E7F32B2"/>
    <w:rsid w:val="5EEF8C84"/>
    <w:rsid w:val="5FF772CF"/>
    <w:rsid w:val="6097591A"/>
    <w:rsid w:val="63317BAB"/>
    <w:rsid w:val="637B33CE"/>
    <w:rsid w:val="642971E3"/>
    <w:rsid w:val="65081EF0"/>
    <w:rsid w:val="66C9548A"/>
    <w:rsid w:val="66DC5137"/>
    <w:rsid w:val="68CB0E27"/>
    <w:rsid w:val="68EF1AEA"/>
    <w:rsid w:val="6B276B11"/>
    <w:rsid w:val="6BEFCD41"/>
    <w:rsid w:val="6BFFE9B7"/>
    <w:rsid w:val="6D7FD1C9"/>
    <w:rsid w:val="6EE567C2"/>
    <w:rsid w:val="6FA7D7F7"/>
    <w:rsid w:val="6FBD5DC6"/>
    <w:rsid w:val="700E0E59"/>
    <w:rsid w:val="708664A7"/>
    <w:rsid w:val="71AC61BE"/>
    <w:rsid w:val="71ED0839"/>
    <w:rsid w:val="73CC3568"/>
    <w:rsid w:val="746D3BA9"/>
    <w:rsid w:val="75477E01"/>
    <w:rsid w:val="76EFBFE8"/>
    <w:rsid w:val="771D4F71"/>
    <w:rsid w:val="77569E21"/>
    <w:rsid w:val="7804098D"/>
    <w:rsid w:val="7A5B709F"/>
    <w:rsid w:val="7B0423A9"/>
    <w:rsid w:val="7B672258"/>
    <w:rsid w:val="7B853083"/>
    <w:rsid w:val="7BCC0671"/>
    <w:rsid w:val="7D3E2945"/>
    <w:rsid w:val="7D766EB8"/>
    <w:rsid w:val="7DEBB7E3"/>
    <w:rsid w:val="7DFD531E"/>
    <w:rsid w:val="7E195214"/>
    <w:rsid w:val="7E721350"/>
    <w:rsid w:val="7EE718D5"/>
    <w:rsid w:val="7F5F6147"/>
    <w:rsid w:val="7F7FB280"/>
    <w:rsid w:val="7F9F188C"/>
    <w:rsid w:val="7FB9580D"/>
    <w:rsid w:val="7FD4F11A"/>
    <w:rsid w:val="7FDCEE19"/>
    <w:rsid w:val="7FFB6C78"/>
    <w:rsid w:val="7FFD8599"/>
    <w:rsid w:val="8D5F0A78"/>
    <w:rsid w:val="8FF731D0"/>
    <w:rsid w:val="97FE47F4"/>
    <w:rsid w:val="9F6DF08D"/>
    <w:rsid w:val="A5BBA65B"/>
    <w:rsid w:val="AC9F28CF"/>
    <w:rsid w:val="AFDD2337"/>
    <w:rsid w:val="B3E77939"/>
    <w:rsid w:val="B70FAA14"/>
    <w:rsid w:val="B7550E35"/>
    <w:rsid w:val="BCFE33B5"/>
    <w:rsid w:val="BD48E838"/>
    <w:rsid w:val="BDD42B31"/>
    <w:rsid w:val="BDFD4134"/>
    <w:rsid w:val="BE7FEB03"/>
    <w:rsid w:val="BF5E794E"/>
    <w:rsid w:val="BF7B0C10"/>
    <w:rsid w:val="BFB462E9"/>
    <w:rsid w:val="C7F73D2B"/>
    <w:rsid w:val="CBFF75BF"/>
    <w:rsid w:val="CCDB3AC2"/>
    <w:rsid w:val="CF778927"/>
    <w:rsid w:val="D5E7005E"/>
    <w:rsid w:val="D77FFBA2"/>
    <w:rsid w:val="D8F7CD20"/>
    <w:rsid w:val="DAB7CDBD"/>
    <w:rsid w:val="DDD2E013"/>
    <w:rsid w:val="DF7D5E6E"/>
    <w:rsid w:val="DFDBF448"/>
    <w:rsid w:val="DFE6E5B3"/>
    <w:rsid w:val="DFFA52D5"/>
    <w:rsid w:val="DFFF2B8A"/>
    <w:rsid w:val="DFFF8725"/>
    <w:rsid w:val="E3DF7FC2"/>
    <w:rsid w:val="E5BBE460"/>
    <w:rsid w:val="E7AB668E"/>
    <w:rsid w:val="E7FE0D98"/>
    <w:rsid w:val="EBDF0AF3"/>
    <w:rsid w:val="EC7FE9FF"/>
    <w:rsid w:val="EFCFDEDE"/>
    <w:rsid w:val="EFF5F5C6"/>
    <w:rsid w:val="F3F6A645"/>
    <w:rsid w:val="F6FFBB2E"/>
    <w:rsid w:val="F76AA324"/>
    <w:rsid w:val="F7FD2286"/>
    <w:rsid w:val="F8B58E7C"/>
    <w:rsid w:val="F8FB532A"/>
    <w:rsid w:val="FA7D4BD7"/>
    <w:rsid w:val="FBEBEF67"/>
    <w:rsid w:val="FCBFF98B"/>
    <w:rsid w:val="FDED1D7A"/>
    <w:rsid w:val="FDF674D9"/>
    <w:rsid w:val="FF3DCA61"/>
    <w:rsid w:val="FF3F8DFA"/>
    <w:rsid w:val="FF9A5B06"/>
    <w:rsid w:val="FFBF0FD9"/>
    <w:rsid w:val="FFD3ADA4"/>
    <w:rsid w:val="FFE4306F"/>
    <w:rsid w:val="FFEEE7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qFormat/>
    <w:uiPriority w:val="0"/>
    <w:pPr>
      <w:widowControl w:val="0"/>
      <w:suppressAutoHyphens/>
      <w:bidi w:val="0"/>
      <w:jc w:val="both"/>
      <w:textAlignment w:val="baseline"/>
    </w:pPr>
    <w:rPr>
      <w:rFonts w:hint="eastAsia" w:ascii="宋体" w:hAnsi="Courier New" w:eastAsia="宋体" w:cs="Times New Roman"/>
      <w:color w:val="auto"/>
      <w:kern w:val="2"/>
      <w:sz w:val="21"/>
      <w:szCs w:val="24"/>
      <w:lang w:val="en-US" w:eastAsia="zh-CN" w:bidi="ar-SA"/>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Normal Indent"/>
    <w:basedOn w:val="1"/>
    <w:next w:val="1"/>
    <w:qFormat/>
    <w:uiPriority w:val="99"/>
    <w:pPr>
      <w:ind w:firstLine="420" w:firstLineChars="200"/>
    </w:pPr>
    <w:rPr>
      <w:rFonts w:cs="Calibri"/>
      <w:szCs w:val="21"/>
    </w:rPr>
  </w:style>
  <w:style w:type="paragraph" w:styleId="6">
    <w:name w:val="annotation text"/>
    <w:basedOn w:val="1"/>
    <w:unhideWhenUsed/>
    <w:uiPriority w:val="0"/>
    <w:pPr>
      <w:jc w:val="left"/>
    </w:pPr>
  </w:style>
  <w:style w:type="paragraph" w:styleId="7">
    <w:name w:val="Body Text"/>
    <w:basedOn w:val="1"/>
    <w:next w:val="8"/>
    <w:qFormat/>
    <w:uiPriority w:val="0"/>
    <w:pPr>
      <w:spacing w:after="120" w:afterLines="0" w:afterAutospacing="0"/>
    </w:pPr>
  </w:style>
  <w:style w:type="paragraph" w:styleId="8">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9">
    <w:name w:val="Plain Text"/>
    <w:qFormat/>
    <w:uiPriority w:val="0"/>
    <w:pPr>
      <w:widowControl w:val="0"/>
      <w:suppressAutoHyphens/>
      <w:bidi w:val="0"/>
      <w:jc w:val="both"/>
    </w:pPr>
    <w:rPr>
      <w:rFonts w:ascii="宋体" w:hAnsi="Courier New" w:eastAsia="宋体" w:cs="Times New Roman"/>
      <w:color w:val="auto"/>
      <w:kern w:val="2"/>
      <w:sz w:val="21"/>
      <w:szCs w:val="24"/>
      <w:lang w:val="en-US" w:eastAsia="zh-CN" w:bidi="ar-SA"/>
    </w:rPr>
  </w:style>
  <w:style w:type="paragraph" w:styleId="10">
    <w:name w:val="Date"/>
    <w:basedOn w:val="1"/>
    <w:next w:val="1"/>
    <w:link w:val="20"/>
    <w:unhideWhenUsed/>
    <w:qFormat/>
    <w:uiPriority w:val="0"/>
    <w:pPr>
      <w:ind w:left="100" w:leftChars="2500"/>
    </w:pPr>
  </w:style>
  <w:style w:type="paragraph" w:styleId="11">
    <w:name w:val="Balloon Text"/>
    <w:basedOn w:val="1"/>
    <w:link w:val="21"/>
    <w:qFormat/>
    <w:uiPriority w:val="0"/>
    <w:rPr>
      <w:sz w:val="18"/>
      <w:szCs w:val="18"/>
    </w:rPr>
  </w:style>
  <w:style w:type="paragraph" w:styleId="12">
    <w:name w:val="footer"/>
    <w:basedOn w:val="1"/>
    <w:next w:val="10"/>
    <w:link w:val="22"/>
    <w:qFormat/>
    <w:uiPriority w:val="99"/>
    <w:pPr>
      <w:tabs>
        <w:tab w:val="center" w:pos="4153"/>
        <w:tab w:val="right" w:pos="8306"/>
      </w:tabs>
      <w:snapToGrid w:val="0"/>
      <w:jc w:val="left"/>
    </w:pPr>
    <w:rPr>
      <w:sz w:val="18"/>
      <w:szCs w:val="18"/>
    </w:rPr>
  </w:style>
  <w:style w:type="paragraph" w:styleId="13">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7">
    <w:name w:val="Table Grid"/>
    <w:basedOn w:val="16"/>
    <w:qFormat/>
    <w:uiPriority w:val="59"/>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style>
  <w:style w:type="character" w:customStyle="1" w:styleId="20">
    <w:name w:val="日期 Char"/>
    <w:link w:val="10"/>
    <w:semiHidden/>
    <w:qFormat/>
    <w:uiPriority w:val="0"/>
    <w:rPr>
      <w:kern w:val="2"/>
      <w:sz w:val="21"/>
      <w:szCs w:val="22"/>
    </w:rPr>
  </w:style>
  <w:style w:type="character" w:customStyle="1" w:styleId="21">
    <w:name w:val="批注框文本 Char"/>
    <w:link w:val="11"/>
    <w:qFormat/>
    <w:uiPriority w:val="0"/>
    <w:rPr>
      <w:kern w:val="2"/>
      <w:sz w:val="18"/>
      <w:szCs w:val="18"/>
    </w:rPr>
  </w:style>
  <w:style w:type="character" w:customStyle="1" w:styleId="22">
    <w:name w:val="页脚 Char"/>
    <w:link w:val="12"/>
    <w:qFormat/>
    <w:uiPriority w:val="99"/>
    <w:rPr>
      <w:kern w:val="2"/>
      <w:sz w:val="18"/>
      <w:szCs w:val="18"/>
    </w:rPr>
  </w:style>
  <w:style w:type="character" w:customStyle="1" w:styleId="23">
    <w:name w:val="页眉 Char"/>
    <w:link w:val="13"/>
    <w:qFormat/>
    <w:uiPriority w:val="99"/>
    <w:rPr>
      <w:kern w:val="2"/>
      <w:sz w:val="18"/>
      <w:szCs w:val="18"/>
    </w:rPr>
  </w:style>
  <w:style w:type="paragraph" w:customStyle="1" w:styleId="24">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5">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jc w:val="center"/>
    </w:pPr>
    <w:rPr>
      <w:rFonts w:ascii="宋体" w:hAnsi="宋体" w:eastAsia="宋体" w:cs="宋体"/>
      <w:color w:val="9C0006"/>
      <w:kern w:val="0"/>
      <w:sz w:val="24"/>
      <w:szCs w:val="24"/>
    </w:rPr>
  </w:style>
  <w:style w:type="paragraph" w:customStyle="1" w:styleId="26">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27">
    <w:name w:val="正文-公1"/>
    <w:qFormat/>
    <w:uiPriority w:val="0"/>
    <w:pPr>
      <w:widowControl w:val="0"/>
      <w:suppressAutoHyphens/>
      <w:bidi w:val="0"/>
      <w:ind w:firstLine="200" w:firstLineChars="200"/>
      <w:jc w:val="both"/>
    </w:pPr>
    <w:rPr>
      <w:rFonts w:ascii="Calibri" w:hAnsi="Calibri" w:eastAsia="宋体" w:cs="Times New Roman"/>
      <w:color w:val="000000"/>
      <w:kern w:val="2"/>
      <w:sz w:val="21"/>
      <w:szCs w:val="24"/>
      <w:lang w:val="en-US" w:eastAsia="zh-CN" w:bidi="ar-SA"/>
    </w:rPr>
  </w:style>
  <w:style w:type="paragraph" w:customStyle="1" w:styleId="28">
    <w:name w:val="et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宋体" w:hAnsi="宋体" w:eastAsia="宋体" w:cs="宋体"/>
      <w:kern w:val="0"/>
      <w:sz w:val="24"/>
      <w:szCs w:val="24"/>
    </w:rPr>
  </w:style>
  <w:style w:type="paragraph" w:customStyle="1" w:styleId="29">
    <w:name w:val="et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0">
    <w:name w:val="正文内容"/>
    <w:basedOn w:val="1"/>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 w:type="paragraph" w:styleId="31">
    <w:name w:val="List Paragraph"/>
    <w:basedOn w:val="1"/>
    <w:qFormat/>
    <w:uiPriority w:val="99"/>
    <w:pPr>
      <w:ind w:firstLine="420" w:firstLineChars="200"/>
    </w:pPr>
  </w:style>
  <w:style w:type="paragraph" w:customStyle="1" w:styleId="32">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4">
    <w:name w:val="正文1"/>
    <w:qFormat/>
    <w:uiPriority w:val="0"/>
    <w:pPr>
      <w:jc w:val="both"/>
    </w:pPr>
    <w:rPr>
      <w:rFonts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Gxsti</Company>
  <Pages>6</Pages>
  <Words>2423</Words>
  <Characters>2438</Characters>
  <Lines>25</Lines>
  <Paragraphs>7</Paragraphs>
  <TotalTime>15</TotalTime>
  <ScaleCrop>false</ScaleCrop>
  <LinksUpToDate>false</LinksUpToDate>
  <CharactersWithSpaces>2445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2023-01-28T03:12:00Z</dcterms:created>
  <dc:creator>梁晖</dc:creator>
  <cp:lastModifiedBy>墨迹夏子</cp:lastModifiedBy>
  <cp:lastPrinted>2025-12-18T17:26:20Z</cp:lastPrinted>
  <dcterms:modified xsi:type="dcterms:W3CDTF">2025-12-19T03:01:32Z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4C49F7E1FB994A45AE62E1DC71B18AD5_13</vt:lpwstr>
  </property>
  <property fmtid="{D5CDD505-2E9C-101B-9397-08002B2CF9AE}" pid="4" name="KSOTemplateDocerSaveRecord">
    <vt:lpwstr>eyJoZGlkIjoiYzY5ZDFkYjAwZjNhYTM1NDBlZTczZjFiNGMyNzYxN2IiLCJ1c2VySWQiOiIzNjAwMjk3NDgifQ==</vt:lpwstr>
  </property>
</Properties>
</file>