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33" w:rightChars="-104"/>
        <w:rPr>
          <w:rFonts w:hint="eastAsia" w:eastAsia="方正小标宋简体"/>
          <w:sz w:val="44"/>
          <w:szCs w:val="44"/>
        </w:rPr>
      </w:pPr>
      <w:bookmarkStart w:id="21" w:name="_GoBack"/>
      <w:bookmarkEnd w:id="21"/>
    </w:p>
    <w:p>
      <w:pPr>
        <w:pStyle w:val="2"/>
        <w:rPr>
          <w:rFonts w:eastAsia="方正小标宋简体"/>
          <w:sz w:val="44"/>
          <w:szCs w:val="44"/>
        </w:rPr>
      </w:pPr>
    </w:p>
    <w:p>
      <w:pPr>
        <w:pStyle w:val="3"/>
        <w:rPr>
          <w:rFonts w:ascii="Times New Roman" w:hAnsi="Times New Roman" w:eastAsia="方正小标宋简体"/>
          <w:sz w:val="44"/>
          <w:szCs w:val="44"/>
        </w:rPr>
      </w:pPr>
    </w:p>
    <w:p>
      <w:pPr>
        <w:pStyle w:val="2"/>
      </w:pPr>
    </w:p>
    <w:p>
      <w:pPr>
        <w:pStyle w:val="3"/>
        <w:rPr>
          <w:rFonts w:ascii="Times New Roman" w:hAnsi="Times New Roman"/>
        </w:rPr>
      </w:pPr>
    </w:p>
    <w:p>
      <w:pPr>
        <w:adjustRightInd w:val="0"/>
        <w:snapToGrid w:val="0"/>
        <w:spacing w:line="560" w:lineRule="exact"/>
        <w:ind w:right="-333" w:rightChars="-104"/>
        <w:jc w:val="center"/>
        <w:rPr>
          <w:rFonts w:eastAsia="方正小标宋简体"/>
          <w:sz w:val="44"/>
          <w:szCs w:val="44"/>
        </w:rPr>
      </w:pPr>
    </w:p>
    <w:p>
      <w:pPr>
        <w:adjustRightInd w:val="0"/>
        <w:snapToGrid w:val="0"/>
        <w:spacing w:line="360" w:lineRule="auto"/>
        <w:ind w:right="-333" w:rightChars="-104"/>
        <w:jc w:val="center"/>
        <w:rPr>
          <w:rFonts w:eastAsia="方正小标宋简体"/>
          <w:sz w:val="52"/>
          <w:szCs w:val="52"/>
        </w:rPr>
      </w:pPr>
      <w:r>
        <w:rPr>
          <w:rFonts w:eastAsia="方正小标宋简体"/>
          <w:sz w:val="52"/>
          <w:szCs w:val="52"/>
        </w:rPr>
        <w:t>广西壮族自治区经济社会技术发展</w:t>
      </w:r>
    </w:p>
    <w:p>
      <w:pPr>
        <w:adjustRightInd w:val="0"/>
        <w:snapToGrid w:val="0"/>
        <w:spacing w:line="360" w:lineRule="auto"/>
        <w:ind w:right="-333" w:rightChars="-104"/>
        <w:jc w:val="center"/>
        <w:rPr>
          <w:rFonts w:eastAsia="方正小标宋简体"/>
          <w:sz w:val="52"/>
          <w:szCs w:val="52"/>
        </w:rPr>
      </w:pPr>
      <w:r>
        <w:rPr>
          <w:rFonts w:eastAsia="方正小标宋简体"/>
          <w:sz w:val="52"/>
          <w:szCs w:val="52"/>
        </w:rPr>
        <w:t>研究所2024年单位预算</w:t>
      </w:r>
    </w:p>
    <w:p>
      <w:pPr>
        <w:adjustRightInd w:val="0"/>
        <w:snapToGrid w:val="0"/>
        <w:spacing w:line="600" w:lineRule="exact"/>
        <w:ind w:right="-333" w:rightChars="-104"/>
        <w:jc w:val="center"/>
        <w:rPr>
          <w:rFonts w:eastAsia="黑体"/>
          <w:sz w:val="36"/>
          <w:szCs w:val="36"/>
        </w:rPr>
      </w:pPr>
    </w:p>
    <w:p>
      <w:pPr>
        <w:adjustRightInd w:val="0"/>
        <w:snapToGrid w:val="0"/>
        <w:spacing w:line="600" w:lineRule="exact"/>
        <w:ind w:right="-333" w:rightChars="-104"/>
        <w:jc w:val="center"/>
        <w:rPr>
          <w:rFonts w:eastAsia="黑体"/>
          <w:sz w:val="36"/>
          <w:szCs w:val="36"/>
        </w:rPr>
      </w:pPr>
    </w:p>
    <w:p>
      <w:pPr>
        <w:adjustRightInd w:val="0"/>
        <w:snapToGrid w:val="0"/>
        <w:spacing w:line="600" w:lineRule="exact"/>
        <w:ind w:right="-333" w:rightChars="-104"/>
        <w:jc w:val="center"/>
        <w:rPr>
          <w:rFonts w:eastAsia="黑体"/>
          <w:sz w:val="36"/>
          <w:szCs w:val="36"/>
        </w:rPr>
      </w:pPr>
    </w:p>
    <w:p>
      <w:pPr>
        <w:adjustRightInd w:val="0"/>
        <w:snapToGrid w:val="0"/>
        <w:spacing w:line="600" w:lineRule="exact"/>
        <w:ind w:right="-333" w:rightChars="-104"/>
        <w:jc w:val="center"/>
        <w:rPr>
          <w:rFonts w:eastAsia="黑体"/>
          <w:sz w:val="36"/>
          <w:szCs w:val="36"/>
        </w:rPr>
      </w:pPr>
    </w:p>
    <w:p>
      <w:pPr>
        <w:adjustRightInd w:val="0"/>
        <w:snapToGrid w:val="0"/>
        <w:spacing w:line="600" w:lineRule="exact"/>
        <w:ind w:right="-333" w:rightChars="-104"/>
        <w:jc w:val="center"/>
        <w:rPr>
          <w:rFonts w:eastAsia="黑体"/>
          <w:sz w:val="36"/>
          <w:szCs w:val="36"/>
        </w:rPr>
      </w:pPr>
    </w:p>
    <w:p>
      <w:pPr>
        <w:adjustRightInd w:val="0"/>
        <w:snapToGrid w:val="0"/>
        <w:spacing w:line="600" w:lineRule="exact"/>
        <w:ind w:right="-333" w:rightChars="-104"/>
        <w:jc w:val="center"/>
        <w:rPr>
          <w:rFonts w:eastAsia="黑体"/>
          <w:sz w:val="36"/>
          <w:szCs w:val="36"/>
        </w:rPr>
      </w:pPr>
    </w:p>
    <w:p>
      <w:pPr>
        <w:adjustRightInd w:val="0"/>
        <w:snapToGrid w:val="0"/>
        <w:spacing w:line="600" w:lineRule="exact"/>
        <w:ind w:right="-333" w:rightChars="-104"/>
        <w:jc w:val="center"/>
        <w:rPr>
          <w:rFonts w:eastAsia="黑体"/>
          <w:sz w:val="36"/>
          <w:szCs w:val="36"/>
        </w:rPr>
      </w:pPr>
    </w:p>
    <w:p>
      <w:pPr>
        <w:adjustRightInd w:val="0"/>
        <w:snapToGrid w:val="0"/>
        <w:spacing w:line="600" w:lineRule="exact"/>
        <w:ind w:right="-333" w:rightChars="-104"/>
        <w:jc w:val="center"/>
        <w:rPr>
          <w:rFonts w:eastAsia="黑体"/>
          <w:sz w:val="36"/>
          <w:szCs w:val="36"/>
        </w:rPr>
      </w:pPr>
    </w:p>
    <w:p>
      <w:pPr>
        <w:adjustRightInd w:val="0"/>
        <w:snapToGrid w:val="0"/>
        <w:spacing w:line="600" w:lineRule="exact"/>
        <w:ind w:right="-333" w:rightChars="-104"/>
        <w:jc w:val="center"/>
        <w:rPr>
          <w:rFonts w:eastAsia="黑体"/>
          <w:sz w:val="36"/>
          <w:szCs w:val="36"/>
        </w:rPr>
      </w:pPr>
    </w:p>
    <w:p>
      <w:pPr>
        <w:adjustRightInd w:val="0"/>
        <w:snapToGrid w:val="0"/>
        <w:spacing w:line="600" w:lineRule="exact"/>
        <w:ind w:right="-333" w:rightChars="-104"/>
        <w:jc w:val="center"/>
        <w:rPr>
          <w:rFonts w:eastAsia="黑体"/>
          <w:sz w:val="36"/>
          <w:szCs w:val="36"/>
        </w:rPr>
      </w:pPr>
    </w:p>
    <w:p>
      <w:pPr>
        <w:adjustRightInd w:val="0"/>
        <w:snapToGrid w:val="0"/>
        <w:spacing w:line="600" w:lineRule="exact"/>
        <w:ind w:right="-333" w:rightChars="-104"/>
        <w:jc w:val="center"/>
        <w:rPr>
          <w:rFonts w:eastAsia="黑体"/>
          <w:sz w:val="36"/>
          <w:szCs w:val="36"/>
        </w:rPr>
      </w:pPr>
      <w:r>
        <w:rPr>
          <w:rFonts w:eastAsia="黑体"/>
          <w:sz w:val="36"/>
          <w:szCs w:val="36"/>
        </w:rPr>
        <w:t>二</w:t>
      </w:r>
      <w:r>
        <w:rPr>
          <w:rFonts w:hint="eastAsia" w:ascii="黑体" w:hAnsi="黑体" w:eastAsia="黑体"/>
          <w:sz w:val="36"/>
          <w:szCs w:val="36"/>
        </w:rPr>
        <w:t>〇</w:t>
      </w:r>
      <w:r>
        <w:rPr>
          <w:rFonts w:eastAsia="黑体"/>
          <w:sz w:val="36"/>
          <w:szCs w:val="36"/>
        </w:rPr>
        <w:t>二四年二月</w:t>
      </w:r>
    </w:p>
    <w:p>
      <w:pPr>
        <w:pStyle w:val="2"/>
        <w:rPr>
          <w:rFonts w:eastAsia="宋体"/>
        </w:rPr>
        <w:sectPr>
          <w:footerReference r:id="rId3" w:type="even"/>
          <w:type w:val="continuous"/>
          <w:pgSz w:w="11906" w:h="16838"/>
          <w:pgMar w:top="2098" w:right="1531" w:bottom="1418" w:left="1531" w:header="851" w:footer="1417" w:gutter="0"/>
          <w:pgNumType w:start="1"/>
          <w:cols w:space="720" w:num="1"/>
          <w:titlePg/>
          <w:docGrid w:linePitch="435" w:charSpace="0"/>
        </w:sectPr>
      </w:pPr>
    </w:p>
    <w:p>
      <w:pPr>
        <w:adjustRightInd w:val="0"/>
        <w:snapToGrid w:val="0"/>
        <w:spacing w:line="560" w:lineRule="exact"/>
        <w:ind w:right="-333" w:rightChars="-104"/>
        <w:jc w:val="center"/>
        <w:rPr>
          <w:rFonts w:eastAsia="黑体"/>
          <w:bCs/>
          <w:szCs w:val="32"/>
        </w:rPr>
      </w:pPr>
    </w:p>
    <w:p>
      <w:pPr>
        <w:adjustRightInd w:val="0"/>
        <w:snapToGrid w:val="0"/>
        <w:spacing w:line="560" w:lineRule="exact"/>
        <w:ind w:right="-333" w:rightChars="-104"/>
        <w:jc w:val="center"/>
        <w:rPr>
          <w:rFonts w:eastAsia="黑体"/>
          <w:bCs/>
          <w:szCs w:val="32"/>
        </w:rPr>
      </w:pPr>
      <w:r>
        <w:rPr>
          <w:rFonts w:eastAsia="黑体"/>
          <w:bCs/>
          <w:szCs w:val="32"/>
        </w:rPr>
        <w:t>目  录</w:t>
      </w: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r>
        <w:rPr>
          <w:rFonts w:eastAsia="黑体"/>
          <w:bCs/>
          <w:szCs w:val="32"/>
        </w:rPr>
        <w:t>第一部分：单位概况</w:t>
      </w: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r>
        <w:rPr>
          <w:rFonts w:eastAsia="黑体"/>
          <w:szCs w:val="32"/>
        </w:rPr>
        <w:t>第二部分：广西壮族自治区经济社会技术发展研究所2024年单位预算情况说明</w:t>
      </w: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r>
        <w:rPr>
          <w:rFonts w:eastAsia="黑体"/>
          <w:szCs w:val="32"/>
        </w:rPr>
        <w:t>第三部分：名词解释</w:t>
      </w: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r>
        <w:rPr>
          <w:rFonts w:eastAsia="黑体"/>
          <w:bCs/>
          <w:szCs w:val="32"/>
        </w:rPr>
        <w:t>第四部分：</w:t>
      </w:r>
      <w:r>
        <w:rPr>
          <w:rFonts w:eastAsia="黑体"/>
          <w:szCs w:val="32"/>
        </w:rPr>
        <w:t>广西壮族自治区经济社会技术发展研究所2024年单位预算公开报表</w:t>
      </w: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pPr>
    </w:p>
    <w:p>
      <w:pPr>
        <w:adjustRightInd w:val="0"/>
        <w:snapToGrid w:val="0"/>
        <w:spacing w:line="560" w:lineRule="exact"/>
        <w:ind w:right="-333" w:rightChars="-104" w:firstLine="640" w:firstLineChars="200"/>
        <w:rPr>
          <w:rFonts w:eastAsia="黑体"/>
          <w:bCs/>
          <w:szCs w:val="32"/>
        </w:rPr>
        <w:sectPr>
          <w:footerReference r:id="rId4" w:type="default"/>
          <w:footerReference r:id="rId5" w:type="even"/>
          <w:type w:val="continuous"/>
          <w:pgSz w:w="11906" w:h="16838"/>
          <w:pgMar w:top="2098" w:right="1417" w:bottom="1984" w:left="1587" w:header="851" w:footer="992" w:gutter="0"/>
          <w:pgNumType w:start="1"/>
          <w:cols w:space="720" w:num="1"/>
          <w:docGrid w:linePitch="634" w:charSpace="-2109"/>
        </w:sectPr>
      </w:pPr>
    </w:p>
    <w:p>
      <w:pPr>
        <w:adjustRightInd w:val="0"/>
        <w:snapToGrid w:val="0"/>
        <w:spacing w:line="560" w:lineRule="exact"/>
        <w:ind w:right="-333" w:rightChars="-104" w:firstLine="640" w:firstLineChars="200"/>
        <w:rPr>
          <w:rFonts w:eastAsia="黑体"/>
          <w:bCs/>
          <w:szCs w:val="32"/>
        </w:rPr>
      </w:pPr>
      <w:r>
        <w:rPr>
          <w:rFonts w:eastAsia="黑体"/>
          <w:bCs/>
          <w:szCs w:val="32"/>
        </w:rPr>
        <w:t>第一部分：单位概况</w:t>
      </w:r>
    </w:p>
    <w:p>
      <w:pPr>
        <w:adjustRightInd w:val="0"/>
        <w:snapToGrid w:val="0"/>
        <w:spacing w:line="560" w:lineRule="exact"/>
        <w:ind w:right="-333" w:rightChars="-104" w:firstLine="640" w:firstLineChars="200"/>
        <w:rPr>
          <w:rFonts w:eastAsia="黑体"/>
          <w:szCs w:val="32"/>
        </w:rPr>
      </w:pPr>
      <w:r>
        <w:rPr>
          <w:rFonts w:eastAsia="黑体"/>
          <w:bCs/>
          <w:szCs w:val="32"/>
        </w:rPr>
        <w:t>一</w:t>
      </w:r>
      <w:r>
        <w:rPr>
          <w:rFonts w:eastAsia="黑体"/>
          <w:szCs w:val="32"/>
        </w:rPr>
        <w:t>、单位主要职能</w:t>
      </w:r>
    </w:p>
    <w:p>
      <w:pPr>
        <w:adjustRightInd w:val="0"/>
        <w:snapToGrid w:val="0"/>
        <w:spacing w:line="570" w:lineRule="exact"/>
        <w:ind w:firstLine="640" w:firstLineChars="200"/>
        <w:rPr>
          <w:snapToGrid w:val="0"/>
          <w:color w:val="000000"/>
          <w:szCs w:val="32"/>
        </w:rPr>
      </w:pPr>
      <w:r>
        <w:rPr>
          <w:snapToGrid w:val="0"/>
          <w:color w:val="000000"/>
          <w:szCs w:val="32"/>
        </w:rPr>
        <w:t>广西壮族自治区经济社会技术发展研究所是自治区科技厅直属的财政全额拨款公益一类事业单位，执行《政府会计准则制度》。主要职能：</w:t>
      </w:r>
    </w:p>
    <w:p>
      <w:pPr>
        <w:snapToGrid w:val="0"/>
        <w:spacing w:line="600" w:lineRule="exact"/>
        <w:ind w:firstLine="640" w:firstLineChars="200"/>
        <w:rPr>
          <w:szCs w:val="32"/>
        </w:rPr>
      </w:pPr>
      <w:r>
        <w:rPr>
          <w:szCs w:val="32"/>
        </w:rPr>
        <w:t>（一）</w:t>
      </w:r>
      <w:r>
        <w:rPr>
          <w:snapToGrid w:val="0"/>
          <w:color w:val="000000"/>
          <w:szCs w:val="32"/>
        </w:rPr>
        <w:t>为政府部门科学决策提供研究和咨询服务；</w:t>
      </w:r>
    </w:p>
    <w:p>
      <w:pPr>
        <w:snapToGrid w:val="0"/>
        <w:spacing w:line="600" w:lineRule="exact"/>
        <w:ind w:firstLine="640" w:firstLineChars="200"/>
        <w:rPr>
          <w:szCs w:val="32"/>
        </w:rPr>
      </w:pPr>
      <w:r>
        <w:rPr>
          <w:szCs w:val="32"/>
        </w:rPr>
        <w:t>（二）</w:t>
      </w:r>
      <w:r>
        <w:rPr>
          <w:snapToGrid w:val="0"/>
          <w:color w:val="000000"/>
          <w:szCs w:val="32"/>
        </w:rPr>
        <w:t>接受相关部门委托编制科技、经济和社会发展规划；</w:t>
      </w:r>
    </w:p>
    <w:p>
      <w:pPr>
        <w:adjustRightInd w:val="0"/>
        <w:snapToGrid w:val="0"/>
        <w:spacing w:line="560" w:lineRule="exact"/>
        <w:ind w:right="-333" w:rightChars="-104" w:firstLine="640" w:firstLineChars="200"/>
        <w:rPr>
          <w:szCs w:val="32"/>
        </w:rPr>
      </w:pPr>
      <w:r>
        <w:rPr>
          <w:szCs w:val="32"/>
        </w:rPr>
        <w:t>（三）</w:t>
      </w:r>
      <w:r>
        <w:rPr>
          <w:snapToGrid w:val="0"/>
          <w:color w:val="000000"/>
          <w:szCs w:val="32"/>
        </w:rPr>
        <w:t>提供研究咨询服务，促进广西经济社会技术进步。</w:t>
      </w:r>
    </w:p>
    <w:p>
      <w:pPr>
        <w:spacing w:line="560" w:lineRule="exact"/>
        <w:ind w:firstLine="640" w:firstLineChars="200"/>
        <w:rPr>
          <w:rFonts w:eastAsia="黑体"/>
          <w:szCs w:val="32"/>
        </w:rPr>
      </w:pPr>
      <w:r>
        <w:rPr>
          <w:rFonts w:eastAsia="黑体"/>
          <w:szCs w:val="32"/>
        </w:rPr>
        <w:t>二、机构设置情况</w:t>
      </w:r>
    </w:p>
    <w:p>
      <w:pPr>
        <w:snapToGrid w:val="0"/>
        <w:spacing w:line="600" w:lineRule="exact"/>
        <w:ind w:firstLine="640" w:firstLineChars="200"/>
        <w:rPr>
          <w:szCs w:val="32"/>
        </w:rPr>
      </w:pPr>
      <w:r>
        <w:rPr>
          <w:snapToGrid w:val="0"/>
          <w:color w:val="000000"/>
          <w:szCs w:val="32"/>
        </w:rPr>
        <w:t>广西壮族自治区经济社会技术发展研究所是正处级事业单位，设置</w:t>
      </w:r>
      <w:r>
        <w:rPr>
          <w:szCs w:val="32"/>
        </w:rPr>
        <w:t>6个</w:t>
      </w:r>
      <w:r>
        <w:rPr>
          <w:snapToGrid w:val="0"/>
          <w:color w:val="000000"/>
          <w:szCs w:val="32"/>
        </w:rPr>
        <w:t>部门，部门设置如下：办公室、人事科、财务室、综合研究室、战略研究室、产业研究室。广西壮族自治区经济社会技术发展研究所是二级预算单位，单户录入，无下属单位。</w:t>
      </w:r>
    </w:p>
    <w:p>
      <w:pPr>
        <w:snapToGrid w:val="0"/>
        <w:spacing w:line="600" w:lineRule="exact"/>
        <w:ind w:firstLine="640" w:firstLineChars="200"/>
        <w:rPr>
          <w:rFonts w:eastAsia="黑体"/>
          <w:szCs w:val="32"/>
        </w:rPr>
      </w:pPr>
      <w:r>
        <w:rPr>
          <w:szCs w:val="32"/>
        </w:rPr>
        <w:br w:type="page"/>
      </w:r>
      <w:r>
        <w:rPr>
          <w:rFonts w:eastAsia="黑体"/>
          <w:szCs w:val="32"/>
        </w:rPr>
        <w:t>第二部分：广西壮族自治区经济社会技术发展研究所2024年单位预算情况说明</w:t>
      </w:r>
    </w:p>
    <w:p>
      <w:pPr>
        <w:tabs>
          <w:tab w:val="center" w:pos="4475"/>
        </w:tabs>
        <w:spacing w:line="560" w:lineRule="exact"/>
        <w:ind w:firstLine="645"/>
        <w:rPr>
          <w:rFonts w:eastAsia="黑体"/>
          <w:szCs w:val="32"/>
        </w:rPr>
      </w:pPr>
      <w:r>
        <w:rPr>
          <w:rFonts w:eastAsia="黑体"/>
          <w:szCs w:val="32"/>
        </w:rPr>
        <w:t>一、单位收支总体情况说明</w:t>
      </w:r>
    </w:p>
    <w:p>
      <w:pPr>
        <w:tabs>
          <w:tab w:val="center" w:pos="4475"/>
        </w:tabs>
        <w:spacing w:line="560" w:lineRule="exact"/>
        <w:ind w:firstLine="645"/>
        <w:rPr>
          <w:szCs w:val="32"/>
        </w:rPr>
      </w:pPr>
      <w:r>
        <w:rPr>
          <w:szCs w:val="32"/>
        </w:rPr>
        <w:t>我单位总收入1,051.23万元，总支出1,051.23万元（不含财政拨款上年未列支结转收支数）。总收入较上年增加66.88万元，增长6.79%，主要原因是新增</w:t>
      </w:r>
      <w:r>
        <w:rPr>
          <w:rFonts w:hint="eastAsia"/>
          <w:szCs w:val="32"/>
        </w:rPr>
        <w:t>了广西八桂学者考核和广西壮族自治区院士后备人选培养工程期满考核等</w:t>
      </w:r>
      <w:r>
        <w:rPr>
          <w:szCs w:val="32"/>
        </w:rPr>
        <w:t>工作任务，一般公共预算收入</w:t>
      </w:r>
      <w:r>
        <w:rPr>
          <w:rFonts w:hint="eastAsia"/>
          <w:szCs w:val="32"/>
        </w:rPr>
        <w:t>相应</w:t>
      </w:r>
      <w:r>
        <w:rPr>
          <w:szCs w:val="32"/>
        </w:rPr>
        <w:t>增加。总支出较上年增加66.88万元，增长6.79%，主要原因是新增</w:t>
      </w:r>
      <w:r>
        <w:rPr>
          <w:rFonts w:hint="eastAsia"/>
          <w:szCs w:val="32"/>
        </w:rPr>
        <w:t>了广西八桂学者考核和广西壮族自治区院士后备人选培养工程期满考核等</w:t>
      </w:r>
      <w:r>
        <w:rPr>
          <w:szCs w:val="32"/>
        </w:rPr>
        <w:t>工作任务，一般公共预算</w:t>
      </w:r>
      <w:r>
        <w:rPr>
          <w:rFonts w:hint="eastAsia"/>
          <w:szCs w:val="32"/>
        </w:rPr>
        <w:t>支出相应</w:t>
      </w:r>
      <w:r>
        <w:rPr>
          <w:szCs w:val="32"/>
        </w:rPr>
        <w:t>增加。</w:t>
      </w:r>
    </w:p>
    <w:p>
      <w:pPr>
        <w:tabs>
          <w:tab w:val="center" w:pos="4475"/>
        </w:tabs>
        <w:spacing w:line="560" w:lineRule="exact"/>
        <w:ind w:firstLine="645"/>
        <w:rPr>
          <w:szCs w:val="32"/>
        </w:rPr>
      </w:pPr>
      <w:r>
        <w:rPr>
          <w:szCs w:val="32"/>
        </w:rPr>
        <w:t>收入包括一般公共预算拨款收入801.23万元，事业收入65万元，上年结转结余收入185万元；支出包括科学技术支出928.98万元，社会保障和就业支出72.99万元，卫生健康支出18.79万元，住房保障支出30.47万元。</w:t>
      </w:r>
    </w:p>
    <w:p>
      <w:pPr>
        <w:tabs>
          <w:tab w:val="center" w:pos="4475"/>
        </w:tabs>
        <w:spacing w:line="560" w:lineRule="exact"/>
        <w:ind w:firstLine="645"/>
        <w:rPr>
          <w:rFonts w:eastAsia="黑体"/>
          <w:szCs w:val="32"/>
        </w:rPr>
      </w:pPr>
      <w:r>
        <w:rPr>
          <w:rFonts w:eastAsia="黑体"/>
          <w:szCs w:val="32"/>
        </w:rPr>
        <w:t>二、单位收入总体情况说明</w:t>
      </w:r>
    </w:p>
    <w:p>
      <w:pPr>
        <w:tabs>
          <w:tab w:val="center" w:pos="4475"/>
        </w:tabs>
        <w:spacing w:line="560" w:lineRule="exact"/>
        <w:ind w:firstLine="645"/>
        <w:rPr>
          <w:szCs w:val="32"/>
        </w:rPr>
      </w:pPr>
      <w:r>
        <w:rPr>
          <w:szCs w:val="32"/>
        </w:rPr>
        <w:t>我单位总收入1,051.23万元，较上年增加66.88万元，增长6.79%，主要原因是新增</w:t>
      </w:r>
      <w:r>
        <w:rPr>
          <w:rFonts w:hint="eastAsia"/>
          <w:szCs w:val="32"/>
        </w:rPr>
        <w:t>了广西八桂学者考核和广西壮族自治区院士后备人选培养工程期满考核等</w:t>
      </w:r>
      <w:r>
        <w:rPr>
          <w:szCs w:val="32"/>
        </w:rPr>
        <w:t>工作任务，一般公共预算收入</w:t>
      </w:r>
      <w:r>
        <w:rPr>
          <w:rFonts w:hint="eastAsia"/>
          <w:szCs w:val="32"/>
        </w:rPr>
        <w:t>相应</w:t>
      </w:r>
      <w:r>
        <w:rPr>
          <w:szCs w:val="32"/>
        </w:rPr>
        <w:t>增加。</w:t>
      </w:r>
    </w:p>
    <w:p>
      <w:pPr>
        <w:tabs>
          <w:tab w:val="center" w:pos="4475"/>
        </w:tabs>
        <w:spacing w:line="560" w:lineRule="exact"/>
        <w:ind w:firstLine="645"/>
        <w:rPr>
          <w:szCs w:val="32"/>
        </w:rPr>
      </w:pPr>
      <w:r>
        <w:rPr>
          <w:szCs w:val="32"/>
        </w:rPr>
        <w:t>收入主要包括：本年收入866.23万元，上年结转结余收入185万元。</w:t>
      </w:r>
    </w:p>
    <w:p>
      <w:pPr>
        <w:tabs>
          <w:tab w:val="center" w:pos="4475"/>
        </w:tabs>
        <w:spacing w:line="560" w:lineRule="exact"/>
        <w:ind w:firstLine="645"/>
        <w:rPr>
          <w:rFonts w:eastAsia="黑体"/>
          <w:szCs w:val="32"/>
        </w:rPr>
      </w:pPr>
      <w:r>
        <w:rPr>
          <w:rFonts w:eastAsia="黑体"/>
          <w:szCs w:val="32"/>
        </w:rPr>
        <w:t>三、单位支出总体情况说明</w:t>
      </w:r>
    </w:p>
    <w:p>
      <w:pPr>
        <w:tabs>
          <w:tab w:val="center" w:pos="4475"/>
        </w:tabs>
        <w:spacing w:line="560" w:lineRule="exact"/>
        <w:ind w:firstLine="645"/>
        <w:rPr>
          <w:szCs w:val="32"/>
        </w:rPr>
      </w:pPr>
      <w:r>
        <w:rPr>
          <w:szCs w:val="32"/>
        </w:rPr>
        <w:t>我单位总支出1,051.23万元，较上年增加66.88万元，增长6.79%，主要原因是新增</w:t>
      </w:r>
      <w:r>
        <w:rPr>
          <w:rFonts w:hint="eastAsia"/>
          <w:szCs w:val="32"/>
        </w:rPr>
        <w:t>了广西八桂学者考核和广西壮族自治区院士后备人选培养工程期满考核等</w:t>
      </w:r>
      <w:r>
        <w:rPr>
          <w:szCs w:val="32"/>
        </w:rPr>
        <w:t>工作任务，一般公共预算</w:t>
      </w:r>
      <w:r>
        <w:rPr>
          <w:rFonts w:hint="eastAsia"/>
          <w:szCs w:val="32"/>
        </w:rPr>
        <w:t>支出相应</w:t>
      </w:r>
      <w:r>
        <w:rPr>
          <w:szCs w:val="32"/>
        </w:rPr>
        <w:t>增加。</w:t>
      </w:r>
    </w:p>
    <w:p>
      <w:pPr>
        <w:tabs>
          <w:tab w:val="center" w:pos="4475"/>
        </w:tabs>
        <w:spacing w:line="560" w:lineRule="exact"/>
        <w:ind w:firstLine="645"/>
        <w:rPr>
          <w:rFonts w:eastAsia="黑体"/>
          <w:szCs w:val="32"/>
        </w:rPr>
      </w:pPr>
      <w:r>
        <w:rPr>
          <w:szCs w:val="32"/>
        </w:rPr>
        <w:t>支出主要包括：基</w:t>
      </w:r>
      <w:r>
        <w:rPr>
          <w:spacing w:val="-18"/>
          <w:szCs w:val="32"/>
        </w:rPr>
        <w:t>本支</w:t>
      </w:r>
      <w:r>
        <w:rPr>
          <w:szCs w:val="32"/>
        </w:rPr>
        <w:t>出575.30万元，</w:t>
      </w:r>
      <w:r>
        <w:rPr>
          <w:spacing w:val="-18"/>
          <w:szCs w:val="32"/>
        </w:rPr>
        <w:t>项目</w:t>
      </w:r>
      <w:r>
        <w:rPr>
          <w:szCs w:val="32"/>
        </w:rPr>
        <w:t>支</w:t>
      </w:r>
      <w:r>
        <w:rPr>
          <w:spacing w:val="-18"/>
          <w:szCs w:val="32"/>
        </w:rPr>
        <w:t>出475.</w:t>
      </w:r>
      <w:r>
        <w:rPr>
          <w:szCs w:val="32"/>
        </w:rPr>
        <w:t>93万元。</w:t>
      </w:r>
    </w:p>
    <w:p>
      <w:pPr>
        <w:tabs>
          <w:tab w:val="center" w:pos="4475"/>
        </w:tabs>
        <w:spacing w:line="560" w:lineRule="exact"/>
        <w:ind w:firstLine="645"/>
        <w:rPr>
          <w:rFonts w:eastAsia="黑体"/>
          <w:szCs w:val="32"/>
        </w:rPr>
      </w:pPr>
      <w:r>
        <w:rPr>
          <w:rFonts w:eastAsia="黑体"/>
          <w:szCs w:val="32"/>
        </w:rPr>
        <w:t>四、财政拨款收支总体情况说明</w:t>
      </w:r>
    </w:p>
    <w:p>
      <w:pPr>
        <w:tabs>
          <w:tab w:val="center" w:pos="4475"/>
        </w:tabs>
        <w:spacing w:line="560" w:lineRule="exact"/>
        <w:ind w:firstLine="645"/>
        <w:rPr>
          <w:rFonts w:hint="eastAsia"/>
          <w:szCs w:val="32"/>
        </w:rPr>
      </w:pPr>
      <w:r>
        <w:rPr>
          <w:szCs w:val="32"/>
        </w:rPr>
        <w:t>我单位财政拨款总收入801.23万元，总支出801.23万元（不含财政拨款上年未列支结转收支数）。财政拨款总收入较上年增加66.88万元，增长9.11%，主要原因是新增</w:t>
      </w:r>
      <w:r>
        <w:rPr>
          <w:rFonts w:hint="eastAsia"/>
          <w:szCs w:val="32"/>
        </w:rPr>
        <w:t>了广西八桂学者考核和广西壮族自治区院士后备人选培养工程期满考核等</w:t>
      </w:r>
      <w:r>
        <w:rPr>
          <w:szCs w:val="32"/>
        </w:rPr>
        <w:t>工作任务，一般公共预算收入</w:t>
      </w:r>
      <w:r>
        <w:rPr>
          <w:rFonts w:hint="eastAsia"/>
          <w:szCs w:val="32"/>
        </w:rPr>
        <w:t>相应</w:t>
      </w:r>
      <w:r>
        <w:rPr>
          <w:szCs w:val="32"/>
        </w:rPr>
        <w:t>增加。财政拨款总支出较上年增加66.88万元，增长9.11%，主要原因是新增</w:t>
      </w:r>
      <w:r>
        <w:rPr>
          <w:rFonts w:hint="eastAsia"/>
          <w:szCs w:val="32"/>
        </w:rPr>
        <w:t>了广西八桂学者考核和广西壮族自治区院士后备人选培养工程期满考核等</w:t>
      </w:r>
      <w:r>
        <w:rPr>
          <w:szCs w:val="32"/>
        </w:rPr>
        <w:t>工作任务，一般公共预算</w:t>
      </w:r>
      <w:r>
        <w:rPr>
          <w:rFonts w:hint="eastAsia"/>
          <w:szCs w:val="32"/>
        </w:rPr>
        <w:t>支出相应</w:t>
      </w:r>
      <w:r>
        <w:rPr>
          <w:szCs w:val="32"/>
        </w:rPr>
        <w:t>增加。</w:t>
      </w:r>
    </w:p>
    <w:p>
      <w:pPr>
        <w:tabs>
          <w:tab w:val="center" w:pos="4475"/>
        </w:tabs>
        <w:spacing w:line="560" w:lineRule="exact"/>
        <w:ind w:firstLine="645"/>
        <w:rPr>
          <w:szCs w:val="32"/>
        </w:rPr>
      </w:pPr>
      <w:r>
        <w:rPr>
          <w:szCs w:val="32"/>
        </w:rPr>
        <w:t>收入包括本级财政拨款收入801.23万元；支出包括科学技术支出678.98万元，社会保障和就业支出72.99万元，卫生健康支出18.79万元，住房保障支出30.47万元。</w:t>
      </w:r>
    </w:p>
    <w:p>
      <w:pPr>
        <w:tabs>
          <w:tab w:val="center" w:pos="4475"/>
        </w:tabs>
        <w:spacing w:line="560" w:lineRule="exact"/>
        <w:ind w:firstLine="645"/>
        <w:rPr>
          <w:rFonts w:eastAsia="黑体"/>
          <w:szCs w:val="32"/>
        </w:rPr>
      </w:pPr>
      <w:r>
        <w:rPr>
          <w:rFonts w:eastAsia="黑体"/>
          <w:szCs w:val="32"/>
        </w:rPr>
        <w:t>五、一般公共预算支出情况说明</w:t>
      </w:r>
    </w:p>
    <w:p>
      <w:pPr>
        <w:tabs>
          <w:tab w:val="center" w:pos="4475"/>
        </w:tabs>
        <w:spacing w:line="560" w:lineRule="exact"/>
        <w:ind w:firstLine="645"/>
        <w:rPr>
          <w:szCs w:val="32"/>
        </w:rPr>
      </w:pPr>
      <w:r>
        <w:rPr>
          <w:szCs w:val="32"/>
        </w:rPr>
        <w:t>我单位一般公共预算支出共801.23万元，较上年增加66.88万元，增长9.11%，主要原因是新增</w:t>
      </w:r>
      <w:r>
        <w:rPr>
          <w:rFonts w:hint="eastAsia"/>
          <w:szCs w:val="32"/>
        </w:rPr>
        <w:t>了广西八桂学者考核和广西壮族自治区院士后备人选培养工程期满考核等</w:t>
      </w:r>
      <w:r>
        <w:rPr>
          <w:szCs w:val="32"/>
        </w:rPr>
        <w:t>工作任务，一般公共预算收入</w:t>
      </w:r>
      <w:r>
        <w:rPr>
          <w:rFonts w:hint="eastAsia"/>
          <w:szCs w:val="32"/>
        </w:rPr>
        <w:t>相应</w:t>
      </w:r>
      <w:r>
        <w:rPr>
          <w:szCs w:val="32"/>
        </w:rPr>
        <w:t>增加。中央提前下达2024年一般公共预算转移支付资金安排的支出</w:t>
      </w:r>
      <w:r>
        <w:rPr>
          <w:snapToGrid w:val="0"/>
          <w:color w:val="000000"/>
          <w:szCs w:val="32"/>
        </w:rPr>
        <w:t>0</w:t>
      </w:r>
      <w:r>
        <w:rPr>
          <w:szCs w:val="32"/>
        </w:rPr>
        <w:t>万元。具体情况为：</w:t>
      </w:r>
    </w:p>
    <w:p>
      <w:pPr>
        <w:tabs>
          <w:tab w:val="center" w:pos="4475"/>
        </w:tabs>
        <w:spacing w:line="560" w:lineRule="exact"/>
        <w:ind w:firstLine="645"/>
        <w:rPr>
          <w:szCs w:val="32"/>
        </w:rPr>
      </w:pPr>
      <w:r>
        <w:rPr>
          <w:szCs w:val="32"/>
        </w:rPr>
        <w:t>（一）206类科学技术支出678.98万元，较上年增加55.41万元，增长8.89%。其中：</w:t>
      </w:r>
    </w:p>
    <w:p>
      <w:pPr>
        <w:tabs>
          <w:tab w:val="center" w:pos="4475"/>
        </w:tabs>
        <w:spacing w:line="560" w:lineRule="exact"/>
        <w:ind w:firstLine="645"/>
        <w:rPr>
          <w:szCs w:val="32"/>
        </w:rPr>
      </w:pPr>
      <w:r>
        <w:rPr>
          <w:szCs w:val="32"/>
        </w:rPr>
        <w:t>2060301机构运行 453.05万元，较上年增加161.89万元，增长55.60%；</w:t>
      </w:r>
    </w:p>
    <w:p>
      <w:pPr>
        <w:tabs>
          <w:tab w:val="center" w:pos="4475"/>
        </w:tabs>
        <w:spacing w:line="560" w:lineRule="exact"/>
        <w:ind w:firstLine="645"/>
        <w:rPr>
          <w:szCs w:val="32"/>
        </w:rPr>
      </w:pPr>
      <w:r>
        <w:rPr>
          <w:szCs w:val="32"/>
        </w:rPr>
        <w:t>2060302社会公益研究24万元，较上年增加24万元；</w:t>
      </w:r>
    </w:p>
    <w:p>
      <w:pPr>
        <w:tabs>
          <w:tab w:val="center" w:pos="4475"/>
        </w:tabs>
        <w:spacing w:line="560" w:lineRule="exact"/>
        <w:ind w:firstLine="645"/>
        <w:rPr>
          <w:szCs w:val="32"/>
        </w:rPr>
      </w:pPr>
      <w:r>
        <w:rPr>
          <w:szCs w:val="32"/>
        </w:rPr>
        <w:t>2060399其他应用研究支出201.93万元，较上年减少130.48万元，下降39.25%；</w:t>
      </w:r>
    </w:p>
    <w:p>
      <w:pPr>
        <w:tabs>
          <w:tab w:val="center" w:pos="4475"/>
        </w:tabs>
        <w:spacing w:line="560" w:lineRule="exact"/>
        <w:ind w:firstLine="645"/>
        <w:rPr>
          <w:szCs w:val="32"/>
        </w:rPr>
      </w:pPr>
      <w:r>
        <w:rPr>
          <w:szCs w:val="32"/>
        </w:rPr>
        <w:t>（二）208类社会保障和就业支出72.99万元，较上年增加8.28万元，增长12.80%。其中：</w:t>
      </w:r>
    </w:p>
    <w:p>
      <w:pPr>
        <w:tabs>
          <w:tab w:val="center" w:pos="4475"/>
        </w:tabs>
        <w:spacing w:line="560" w:lineRule="exact"/>
        <w:ind w:firstLine="645"/>
        <w:rPr>
          <w:szCs w:val="32"/>
        </w:rPr>
      </w:pPr>
      <w:r>
        <w:rPr>
          <w:szCs w:val="32"/>
        </w:rPr>
        <w:t>2080502事业单位离退休12.05万元，较上年增加4.33万元，增长56.09%；</w:t>
      </w:r>
    </w:p>
    <w:p>
      <w:pPr>
        <w:tabs>
          <w:tab w:val="center" w:pos="4475"/>
        </w:tabs>
        <w:spacing w:line="560" w:lineRule="exact"/>
        <w:ind w:firstLine="645"/>
        <w:rPr>
          <w:szCs w:val="32"/>
        </w:rPr>
      </w:pPr>
      <w:r>
        <w:rPr>
          <w:szCs w:val="32"/>
        </w:rPr>
        <w:t>2080505机关事业单位基本养老保险缴费支出40.63万元，较上年增加2.64万元，增长6.95%；</w:t>
      </w:r>
    </w:p>
    <w:p>
      <w:pPr>
        <w:tabs>
          <w:tab w:val="center" w:pos="4475"/>
        </w:tabs>
        <w:spacing w:line="560" w:lineRule="exact"/>
        <w:ind w:firstLine="645"/>
        <w:rPr>
          <w:szCs w:val="32"/>
        </w:rPr>
      </w:pPr>
      <w:r>
        <w:rPr>
          <w:szCs w:val="32"/>
        </w:rPr>
        <w:t>2080506机关事业单位职业年金缴费支出20.31万元，较上年增加1.31万元，增长6.89%。</w:t>
      </w:r>
    </w:p>
    <w:p>
      <w:pPr>
        <w:tabs>
          <w:tab w:val="center" w:pos="4475"/>
        </w:tabs>
        <w:spacing w:line="560" w:lineRule="exact"/>
        <w:ind w:firstLine="645"/>
        <w:rPr>
          <w:szCs w:val="32"/>
        </w:rPr>
      </w:pPr>
      <w:r>
        <w:rPr>
          <w:szCs w:val="32"/>
        </w:rPr>
        <w:t>（三）210类卫生健康支出18.79万元，较上年增加1.22万元，增长6.94%。其中：</w:t>
      </w:r>
    </w:p>
    <w:p>
      <w:pPr>
        <w:tabs>
          <w:tab w:val="center" w:pos="4475"/>
        </w:tabs>
        <w:spacing w:line="560" w:lineRule="exact"/>
        <w:ind w:firstLine="645"/>
        <w:rPr>
          <w:szCs w:val="32"/>
        </w:rPr>
      </w:pPr>
      <w:r>
        <w:rPr>
          <w:szCs w:val="32"/>
        </w:rPr>
        <w:t>2101102事业单位医疗18.79万元，较上年增加1.22万元，增长6.94%。</w:t>
      </w:r>
    </w:p>
    <w:p>
      <w:pPr>
        <w:tabs>
          <w:tab w:val="center" w:pos="4475"/>
        </w:tabs>
        <w:spacing w:line="560" w:lineRule="exact"/>
        <w:ind w:firstLine="645"/>
        <w:rPr>
          <w:szCs w:val="32"/>
        </w:rPr>
      </w:pPr>
      <w:r>
        <w:rPr>
          <w:szCs w:val="32"/>
        </w:rPr>
        <w:t>（四）221类住房保障支出30.47万元，较上年增加1.97万元，增长6.91%。其中：</w:t>
      </w:r>
    </w:p>
    <w:p>
      <w:pPr>
        <w:tabs>
          <w:tab w:val="center" w:pos="4475"/>
        </w:tabs>
        <w:spacing w:line="560" w:lineRule="exact"/>
        <w:ind w:firstLine="645"/>
        <w:rPr>
          <w:szCs w:val="32"/>
        </w:rPr>
      </w:pPr>
      <w:r>
        <w:rPr>
          <w:szCs w:val="32"/>
        </w:rPr>
        <w:t>2210201住房公积金30.47万元，较上年增加1.97万元，增长6.91%。</w:t>
      </w:r>
    </w:p>
    <w:p>
      <w:pPr>
        <w:tabs>
          <w:tab w:val="center" w:pos="4475"/>
        </w:tabs>
        <w:spacing w:line="560" w:lineRule="exact"/>
        <w:ind w:firstLine="645"/>
        <w:rPr>
          <w:rFonts w:eastAsia="黑体"/>
          <w:szCs w:val="32"/>
        </w:rPr>
      </w:pPr>
      <w:r>
        <w:rPr>
          <w:rFonts w:eastAsia="黑体"/>
          <w:szCs w:val="32"/>
        </w:rPr>
        <w:t>六、一般公共预算基本支出情况说明</w:t>
      </w:r>
    </w:p>
    <w:p>
      <w:pPr>
        <w:tabs>
          <w:tab w:val="center" w:pos="4475"/>
        </w:tabs>
        <w:spacing w:line="560" w:lineRule="exact"/>
        <w:ind w:firstLine="645"/>
        <w:rPr>
          <w:szCs w:val="32"/>
        </w:rPr>
      </w:pPr>
      <w:r>
        <w:rPr>
          <w:szCs w:val="32"/>
        </w:rPr>
        <w:t>我单位一般公共预算基本支出共575.30万元，较上年增加173.36万元，增长43.13%，主要原因是根据2024年部门预算编制要求将编外长聘人员经费项目纳入基本支出；随工资福利支出增加而按比例相应增加的其他对个人和家庭的补助、公积金、医疗保险等。具体情况为：</w:t>
      </w:r>
    </w:p>
    <w:p>
      <w:pPr>
        <w:tabs>
          <w:tab w:val="center" w:pos="4475"/>
        </w:tabs>
        <w:spacing w:line="560" w:lineRule="exact"/>
        <w:ind w:firstLine="645"/>
        <w:rPr>
          <w:szCs w:val="32"/>
        </w:rPr>
      </w:pPr>
      <w:r>
        <w:rPr>
          <w:szCs w:val="32"/>
        </w:rPr>
        <w:t>（一）301类工资福利支出514.41万元，较上年增加167.86万元，增长48.44%。其中：</w:t>
      </w:r>
    </w:p>
    <w:p>
      <w:pPr>
        <w:tabs>
          <w:tab w:val="center" w:pos="4475"/>
        </w:tabs>
        <w:spacing w:line="560" w:lineRule="exact"/>
        <w:ind w:firstLine="645"/>
        <w:rPr>
          <w:szCs w:val="32"/>
        </w:rPr>
      </w:pPr>
      <w:r>
        <w:rPr>
          <w:szCs w:val="32"/>
        </w:rPr>
        <w:t>30101基本工资82.35万元，较上年减少2.23万元，下降2.64%；</w:t>
      </w:r>
    </w:p>
    <w:p>
      <w:pPr>
        <w:tabs>
          <w:tab w:val="center" w:pos="4475"/>
        </w:tabs>
        <w:spacing w:line="560" w:lineRule="exact"/>
        <w:ind w:firstLine="645"/>
        <w:rPr>
          <w:szCs w:val="32"/>
        </w:rPr>
      </w:pPr>
      <w:r>
        <w:rPr>
          <w:szCs w:val="32"/>
        </w:rPr>
        <w:t>30102津贴补贴3.41万元，较上年减少0.05万元，下降1.45%；</w:t>
      </w:r>
    </w:p>
    <w:p>
      <w:pPr>
        <w:tabs>
          <w:tab w:val="center" w:pos="4475"/>
        </w:tabs>
        <w:spacing w:line="560" w:lineRule="exact"/>
        <w:ind w:firstLine="645"/>
        <w:rPr>
          <w:szCs w:val="32"/>
        </w:rPr>
      </w:pPr>
      <w:r>
        <w:rPr>
          <w:szCs w:val="32"/>
        </w:rPr>
        <w:t>30103奖金0.90万元，与上年持平；</w:t>
      </w:r>
    </w:p>
    <w:p>
      <w:pPr>
        <w:tabs>
          <w:tab w:val="center" w:pos="4475"/>
        </w:tabs>
        <w:spacing w:line="560" w:lineRule="exact"/>
        <w:ind w:firstLine="645"/>
        <w:rPr>
          <w:szCs w:val="32"/>
        </w:rPr>
      </w:pPr>
      <w:r>
        <w:rPr>
          <w:szCs w:val="32"/>
        </w:rPr>
        <w:t>30107绩效工资171.57万元，较上年增加18.68万元，增长12.22%；</w:t>
      </w:r>
    </w:p>
    <w:p>
      <w:pPr>
        <w:tabs>
          <w:tab w:val="center" w:pos="4475"/>
        </w:tabs>
        <w:spacing w:line="560" w:lineRule="exact"/>
        <w:ind w:firstLine="645"/>
        <w:rPr>
          <w:szCs w:val="32"/>
        </w:rPr>
      </w:pPr>
      <w:r>
        <w:rPr>
          <w:szCs w:val="32"/>
        </w:rPr>
        <w:t>30108机关事业单位基本养老保险缴费</w:t>
      </w:r>
      <w:r>
        <w:rPr>
          <w:snapToGrid w:val="0"/>
          <w:color w:val="000000"/>
          <w:szCs w:val="32"/>
        </w:rPr>
        <w:t>40.63</w:t>
      </w:r>
      <w:r>
        <w:rPr>
          <w:szCs w:val="32"/>
        </w:rPr>
        <w:t>万元，较上年增加2.64万元，增长6.95%；</w:t>
      </w:r>
    </w:p>
    <w:p>
      <w:pPr>
        <w:tabs>
          <w:tab w:val="center" w:pos="4475"/>
        </w:tabs>
        <w:spacing w:line="560" w:lineRule="exact"/>
        <w:ind w:firstLine="645"/>
        <w:rPr>
          <w:szCs w:val="32"/>
        </w:rPr>
      </w:pPr>
      <w:r>
        <w:rPr>
          <w:szCs w:val="32"/>
        </w:rPr>
        <w:t>30109职业年金缴费20.31万元，较上年增加1.31万元，增长6.89%；</w:t>
      </w:r>
    </w:p>
    <w:p>
      <w:pPr>
        <w:tabs>
          <w:tab w:val="center" w:pos="4475"/>
        </w:tabs>
        <w:spacing w:line="560" w:lineRule="exact"/>
        <w:ind w:firstLine="645"/>
        <w:rPr>
          <w:szCs w:val="32"/>
        </w:rPr>
      </w:pPr>
      <w:r>
        <w:rPr>
          <w:szCs w:val="32"/>
        </w:rPr>
        <w:t>30110职工基本医疗保险缴费18.79万元，较上年增加1.22万元，增长6.94%；</w:t>
      </w:r>
    </w:p>
    <w:p>
      <w:pPr>
        <w:tabs>
          <w:tab w:val="center" w:pos="4475"/>
        </w:tabs>
        <w:spacing w:line="560" w:lineRule="exact"/>
        <w:ind w:firstLine="645"/>
        <w:rPr>
          <w:szCs w:val="32"/>
        </w:rPr>
      </w:pPr>
      <w:r>
        <w:rPr>
          <w:szCs w:val="32"/>
        </w:rPr>
        <w:t>30112其他社会保障缴费1.78万元，较上年增加0.12万元，增长7.23%；</w:t>
      </w:r>
    </w:p>
    <w:p>
      <w:pPr>
        <w:tabs>
          <w:tab w:val="center" w:pos="4475"/>
        </w:tabs>
        <w:spacing w:line="560" w:lineRule="exact"/>
        <w:ind w:firstLine="645"/>
        <w:rPr>
          <w:szCs w:val="32"/>
        </w:rPr>
      </w:pPr>
      <w:r>
        <w:rPr>
          <w:szCs w:val="32"/>
        </w:rPr>
        <w:t>30113住房公积金30.47万元，较上年增加1.97万元，增长6.91%；</w:t>
      </w:r>
    </w:p>
    <w:p>
      <w:pPr>
        <w:tabs>
          <w:tab w:val="center" w:pos="4475"/>
        </w:tabs>
        <w:spacing w:line="560" w:lineRule="exact"/>
        <w:ind w:firstLine="645"/>
        <w:rPr>
          <w:szCs w:val="32"/>
        </w:rPr>
      </w:pPr>
      <w:r>
        <w:rPr>
          <w:szCs w:val="32"/>
        </w:rPr>
        <w:t>30199其他工资福利支出144.2万元，较上年增加144.2万元。</w:t>
      </w:r>
    </w:p>
    <w:p>
      <w:pPr>
        <w:tabs>
          <w:tab w:val="center" w:pos="4475"/>
        </w:tabs>
        <w:spacing w:line="560" w:lineRule="exact"/>
        <w:ind w:firstLine="645"/>
        <w:rPr>
          <w:szCs w:val="32"/>
        </w:rPr>
      </w:pPr>
      <w:r>
        <w:t>（二）</w:t>
      </w:r>
      <w:r>
        <w:rPr>
          <w:szCs w:val="32"/>
        </w:rPr>
        <w:t>302类商品和服务支出37.01万元，较上年增加0.47万元，增长1.29%。其中：</w:t>
      </w:r>
    </w:p>
    <w:p>
      <w:pPr>
        <w:tabs>
          <w:tab w:val="center" w:pos="4475"/>
        </w:tabs>
        <w:spacing w:line="560" w:lineRule="exact"/>
        <w:ind w:firstLine="645"/>
        <w:rPr>
          <w:szCs w:val="32"/>
        </w:rPr>
      </w:pPr>
      <w:r>
        <w:rPr>
          <w:szCs w:val="32"/>
        </w:rPr>
        <w:t>30201办公费2.94万元，较上年减少0.85万元，下降22.43%；</w:t>
      </w:r>
    </w:p>
    <w:p>
      <w:pPr>
        <w:tabs>
          <w:tab w:val="center" w:pos="4475"/>
        </w:tabs>
        <w:spacing w:line="560" w:lineRule="exact"/>
        <w:ind w:firstLine="645"/>
        <w:rPr>
          <w:szCs w:val="32"/>
        </w:rPr>
      </w:pPr>
      <w:r>
        <w:rPr>
          <w:szCs w:val="32"/>
        </w:rPr>
        <w:t>30205水费0.1万元，较上年减少0.05万元，下降33.33%；</w:t>
      </w:r>
    </w:p>
    <w:p>
      <w:pPr>
        <w:tabs>
          <w:tab w:val="center" w:pos="4475"/>
        </w:tabs>
        <w:spacing w:line="560" w:lineRule="exact"/>
        <w:ind w:firstLine="645"/>
        <w:rPr>
          <w:szCs w:val="32"/>
        </w:rPr>
      </w:pPr>
      <w:r>
        <w:rPr>
          <w:szCs w:val="32"/>
        </w:rPr>
        <w:t>30206电费1.6万元，与上年持平；</w:t>
      </w:r>
    </w:p>
    <w:p>
      <w:pPr>
        <w:tabs>
          <w:tab w:val="center" w:pos="4475"/>
        </w:tabs>
        <w:spacing w:line="560" w:lineRule="exact"/>
        <w:ind w:firstLine="645"/>
        <w:rPr>
          <w:szCs w:val="32"/>
        </w:rPr>
      </w:pPr>
      <w:r>
        <w:rPr>
          <w:szCs w:val="32"/>
        </w:rPr>
        <w:t>30207邮电费1.4万元，较上年减少0.6万元，下降30%；</w:t>
      </w:r>
    </w:p>
    <w:p>
      <w:pPr>
        <w:tabs>
          <w:tab w:val="center" w:pos="4475"/>
        </w:tabs>
        <w:spacing w:line="560" w:lineRule="exact"/>
        <w:ind w:firstLine="645"/>
        <w:rPr>
          <w:szCs w:val="32"/>
        </w:rPr>
      </w:pPr>
      <w:r>
        <w:rPr>
          <w:szCs w:val="32"/>
        </w:rPr>
        <w:t>30211差旅费3.5万元，较上年减少1.5万元，下降30%；</w:t>
      </w:r>
    </w:p>
    <w:p>
      <w:pPr>
        <w:tabs>
          <w:tab w:val="center" w:pos="4475"/>
        </w:tabs>
        <w:spacing w:line="560" w:lineRule="exact"/>
        <w:ind w:firstLine="645"/>
        <w:rPr>
          <w:szCs w:val="32"/>
        </w:rPr>
      </w:pPr>
      <w:r>
        <w:rPr>
          <w:szCs w:val="32"/>
        </w:rPr>
        <w:t>30213维修（护）费3万元，较上年增加3万元；</w:t>
      </w:r>
    </w:p>
    <w:p>
      <w:pPr>
        <w:tabs>
          <w:tab w:val="center" w:pos="4475"/>
        </w:tabs>
        <w:spacing w:line="560" w:lineRule="exact"/>
        <w:ind w:firstLine="645"/>
        <w:rPr>
          <w:szCs w:val="32"/>
        </w:rPr>
      </w:pPr>
      <w:r>
        <w:rPr>
          <w:szCs w:val="32"/>
        </w:rPr>
        <w:t>30215会议费1.76万元，与上年持平；</w:t>
      </w:r>
    </w:p>
    <w:p>
      <w:pPr>
        <w:tabs>
          <w:tab w:val="center" w:pos="4475"/>
        </w:tabs>
        <w:spacing w:line="560" w:lineRule="exact"/>
        <w:ind w:firstLine="645"/>
        <w:rPr>
          <w:szCs w:val="32"/>
        </w:rPr>
      </w:pPr>
      <w:r>
        <w:rPr>
          <w:szCs w:val="32"/>
        </w:rPr>
        <w:t>30216培训费0.6万元，与上年持平；</w:t>
      </w:r>
    </w:p>
    <w:p>
      <w:pPr>
        <w:tabs>
          <w:tab w:val="center" w:pos="4475"/>
        </w:tabs>
        <w:spacing w:line="560" w:lineRule="exact"/>
        <w:ind w:firstLine="645"/>
        <w:rPr>
          <w:szCs w:val="32"/>
        </w:rPr>
      </w:pPr>
      <w:r>
        <w:rPr>
          <w:szCs w:val="32"/>
        </w:rPr>
        <w:t>30217公务接待费0.23万元，与上年持平；</w:t>
      </w:r>
    </w:p>
    <w:p>
      <w:pPr>
        <w:tabs>
          <w:tab w:val="center" w:pos="4475"/>
        </w:tabs>
        <w:spacing w:line="560" w:lineRule="exact"/>
        <w:ind w:firstLine="645"/>
        <w:rPr>
          <w:szCs w:val="32"/>
        </w:rPr>
      </w:pPr>
      <w:r>
        <w:rPr>
          <w:szCs w:val="32"/>
        </w:rPr>
        <w:t>30226劳务费3万元，与上年持平；</w:t>
      </w:r>
    </w:p>
    <w:p>
      <w:pPr>
        <w:tabs>
          <w:tab w:val="center" w:pos="4475"/>
        </w:tabs>
        <w:spacing w:line="560" w:lineRule="exact"/>
        <w:ind w:firstLine="645"/>
        <w:rPr>
          <w:szCs w:val="32"/>
        </w:rPr>
      </w:pPr>
      <w:r>
        <w:rPr>
          <w:szCs w:val="32"/>
        </w:rPr>
        <w:t>30228工会经费5.08万元，较上年增加0.33万元，增长6.95%；</w:t>
      </w:r>
    </w:p>
    <w:p>
      <w:pPr>
        <w:tabs>
          <w:tab w:val="center" w:pos="4475"/>
        </w:tabs>
        <w:spacing w:line="560" w:lineRule="exact"/>
        <w:ind w:firstLine="645"/>
        <w:rPr>
          <w:szCs w:val="32"/>
        </w:rPr>
      </w:pPr>
      <w:r>
        <w:rPr>
          <w:szCs w:val="32"/>
        </w:rPr>
        <w:t>30229福利费1.55万元，与上年持平；</w:t>
      </w:r>
    </w:p>
    <w:p>
      <w:pPr>
        <w:tabs>
          <w:tab w:val="center" w:pos="4475"/>
        </w:tabs>
        <w:spacing w:line="560" w:lineRule="exact"/>
        <w:ind w:firstLine="645"/>
        <w:rPr>
          <w:szCs w:val="32"/>
        </w:rPr>
      </w:pPr>
      <w:r>
        <w:rPr>
          <w:szCs w:val="32"/>
        </w:rPr>
        <w:t>30231公务用车运行维护费3.49万元，与上年持平；</w:t>
      </w:r>
    </w:p>
    <w:p>
      <w:pPr>
        <w:tabs>
          <w:tab w:val="center" w:pos="4475"/>
        </w:tabs>
        <w:spacing w:line="560" w:lineRule="exact"/>
        <w:ind w:firstLine="645"/>
        <w:rPr>
          <w:szCs w:val="32"/>
        </w:rPr>
      </w:pPr>
      <w:r>
        <w:rPr>
          <w:szCs w:val="32"/>
        </w:rPr>
        <w:t>30239其他交通费用1.48万元，与上年持平；</w:t>
      </w:r>
    </w:p>
    <w:p>
      <w:pPr>
        <w:tabs>
          <w:tab w:val="center" w:pos="4475"/>
        </w:tabs>
        <w:spacing w:line="560" w:lineRule="exact"/>
        <w:ind w:firstLine="645"/>
        <w:rPr>
          <w:szCs w:val="32"/>
        </w:rPr>
      </w:pPr>
      <w:r>
        <w:rPr>
          <w:szCs w:val="32"/>
        </w:rPr>
        <w:t>30299其他商品和服务支出7.27万元，较上年增加0.13万元，增长1.82%。</w:t>
      </w:r>
    </w:p>
    <w:p>
      <w:pPr>
        <w:tabs>
          <w:tab w:val="center" w:pos="4475"/>
        </w:tabs>
        <w:spacing w:line="560" w:lineRule="exact"/>
        <w:ind w:firstLine="645"/>
        <w:rPr>
          <w:szCs w:val="32"/>
        </w:rPr>
      </w:pPr>
      <w:r>
        <w:rPr>
          <w:szCs w:val="32"/>
        </w:rPr>
        <w:t>（三）303类对个人和家庭的补助23.88万元，较上年增加5.03万元，增长26.68%。其中：</w:t>
      </w:r>
    </w:p>
    <w:p>
      <w:pPr>
        <w:tabs>
          <w:tab w:val="center" w:pos="4475"/>
        </w:tabs>
        <w:spacing w:line="560" w:lineRule="exact"/>
        <w:ind w:firstLine="645"/>
        <w:rPr>
          <w:szCs w:val="32"/>
        </w:rPr>
      </w:pPr>
      <w:r>
        <w:rPr>
          <w:szCs w:val="32"/>
        </w:rPr>
        <w:t>30302退休费11.18万元，较上年增加4.20万元，增长60.17%；</w:t>
      </w:r>
    </w:p>
    <w:p>
      <w:pPr>
        <w:tabs>
          <w:tab w:val="center" w:pos="4475"/>
        </w:tabs>
        <w:spacing w:line="560" w:lineRule="exact"/>
        <w:ind w:firstLine="645"/>
      </w:pPr>
      <w:r>
        <w:rPr>
          <w:szCs w:val="32"/>
        </w:rPr>
        <w:t>30399其他对个人和家庭的补助12.70万元，较上年增加0.83万元，增长6.99%。</w:t>
      </w:r>
    </w:p>
    <w:p>
      <w:pPr>
        <w:tabs>
          <w:tab w:val="center" w:pos="4475"/>
        </w:tabs>
        <w:spacing w:line="560" w:lineRule="exact"/>
        <w:ind w:firstLine="645"/>
        <w:rPr>
          <w:rFonts w:eastAsia="黑体"/>
          <w:szCs w:val="32"/>
        </w:rPr>
      </w:pPr>
      <w:r>
        <w:rPr>
          <w:rFonts w:eastAsia="黑体"/>
          <w:szCs w:val="32"/>
        </w:rPr>
        <w:t>七、一般公共预算“三公”经费支出情况说明</w:t>
      </w:r>
    </w:p>
    <w:p>
      <w:pPr>
        <w:tabs>
          <w:tab w:val="center" w:pos="4475"/>
        </w:tabs>
        <w:spacing w:line="560" w:lineRule="exact"/>
        <w:ind w:firstLine="645"/>
        <w:rPr>
          <w:szCs w:val="32"/>
        </w:rPr>
      </w:pPr>
      <w:r>
        <w:rPr>
          <w:szCs w:val="32"/>
        </w:rPr>
        <w:t>我单位</w:t>
      </w:r>
      <w:r>
        <w:t>2024年一般公共预算</w:t>
      </w:r>
      <w:r>
        <w:rPr>
          <w:bCs/>
        </w:rPr>
        <w:t>安排的“三公”经费支出预算3.72万元，同口径比2023年增加0万元，具体如下：</w:t>
      </w:r>
    </w:p>
    <w:p>
      <w:pPr>
        <w:tabs>
          <w:tab w:val="center" w:pos="4475"/>
        </w:tabs>
        <w:spacing w:line="560" w:lineRule="exact"/>
        <w:ind w:firstLine="645"/>
        <w:rPr>
          <w:kern w:val="0"/>
        </w:rPr>
      </w:pPr>
      <w:r>
        <w:rPr>
          <w:rFonts w:hint="eastAsia"/>
        </w:rPr>
        <w:t>（一）</w:t>
      </w:r>
      <w:r>
        <w:t>因公出国（境）费</w:t>
      </w:r>
      <w:r>
        <w:rPr>
          <w:szCs w:val="32"/>
        </w:rPr>
        <w:t>2024年预算安排0万元，与上年持平</w:t>
      </w:r>
      <w:r>
        <w:rPr>
          <w:kern w:val="0"/>
        </w:rPr>
        <w:t>。</w:t>
      </w:r>
    </w:p>
    <w:p>
      <w:pPr>
        <w:tabs>
          <w:tab w:val="center" w:pos="4475"/>
        </w:tabs>
        <w:spacing w:line="560" w:lineRule="exact"/>
        <w:ind w:firstLine="645"/>
        <w:rPr>
          <w:kern w:val="0"/>
        </w:rPr>
      </w:pPr>
      <w:r>
        <w:rPr>
          <w:rFonts w:hint="eastAsia"/>
        </w:rPr>
        <w:t>（二）</w:t>
      </w:r>
      <w:r>
        <w:t>公务接待费</w:t>
      </w:r>
      <w:r>
        <w:rPr>
          <w:szCs w:val="32"/>
        </w:rPr>
        <w:t>2024年预算安排0.23万元，与上年持平</w:t>
      </w:r>
      <w:r>
        <w:rPr>
          <w:kern w:val="0"/>
        </w:rPr>
        <w:t>。</w:t>
      </w:r>
    </w:p>
    <w:p>
      <w:pPr>
        <w:tabs>
          <w:tab w:val="center" w:pos="4475"/>
        </w:tabs>
        <w:spacing w:line="560" w:lineRule="exact"/>
        <w:ind w:firstLine="645"/>
        <w:rPr>
          <w:szCs w:val="32"/>
        </w:rPr>
      </w:pPr>
      <w:r>
        <w:rPr>
          <w:rFonts w:hint="eastAsia"/>
        </w:rPr>
        <w:t>（三）</w:t>
      </w:r>
      <w:r>
        <w:t>公务用车购置及运行费</w:t>
      </w:r>
      <w:r>
        <w:rPr>
          <w:szCs w:val="32"/>
        </w:rPr>
        <w:t>2024年预算安排3.49万元，与上年持平，其中：</w:t>
      </w:r>
    </w:p>
    <w:p>
      <w:pPr>
        <w:tabs>
          <w:tab w:val="center" w:pos="4475"/>
        </w:tabs>
        <w:spacing w:line="560" w:lineRule="exact"/>
        <w:ind w:firstLine="645"/>
        <w:rPr>
          <w:kern w:val="0"/>
        </w:rPr>
      </w:pPr>
      <w:r>
        <w:rPr>
          <w:szCs w:val="32"/>
        </w:rPr>
        <w:t>公务用车购置费2024年预算安排0万元，与上年持平</w:t>
      </w:r>
      <w:r>
        <w:rPr>
          <w:kern w:val="0"/>
        </w:rPr>
        <w:t>；</w:t>
      </w:r>
    </w:p>
    <w:p>
      <w:pPr>
        <w:tabs>
          <w:tab w:val="center" w:pos="4475"/>
        </w:tabs>
        <w:spacing w:line="560" w:lineRule="exact"/>
        <w:ind w:firstLine="645"/>
        <w:rPr>
          <w:kern w:val="0"/>
        </w:rPr>
      </w:pPr>
      <w:r>
        <w:rPr>
          <w:szCs w:val="32"/>
        </w:rPr>
        <w:t>公务用车运行维护费2024年预算安排3.4</w:t>
      </w:r>
      <w:r>
        <w:rPr>
          <w:spacing w:val="-18"/>
          <w:szCs w:val="32"/>
        </w:rPr>
        <w:t>9万元，与</w:t>
      </w:r>
      <w:r>
        <w:rPr>
          <w:szCs w:val="32"/>
        </w:rPr>
        <w:t>上年持平</w:t>
      </w:r>
      <w:r>
        <w:rPr>
          <w:kern w:val="0"/>
        </w:rPr>
        <w:t>。</w:t>
      </w:r>
    </w:p>
    <w:p>
      <w:pPr>
        <w:tabs>
          <w:tab w:val="center" w:pos="4475"/>
        </w:tabs>
        <w:spacing w:line="560" w:lineRule="exact"/>
        <w:ind w:firstLine="645"/>
        <w:rPr>
          <w:rFonts w:eastAsia="黑体"/>
          <w:szCs w:val="32"/>
        </w:rPr>
      </w:pPr>
      <w:r>
        <w:rPr>
          <w:rFonts w:eastAsia="黑体"/>
          <w:szCs w:val="32"/>
        </w:rPr>
        <w:t>八、政府性基金预算支出情况说明</w:t>
      </w:r>
    </w:p>
    <w:p>
      <w:pPr>
        <w:tabs>
          <w:tab w:val="center" w:pos="4475"/>
        </w:tabs>
        <w:spacing w:line="560" w:lineRule="exact"/>
        <w:ind w:firstLine="645"/>
        <w:rPr>
          <w:szCs w:val="32"/>
        </w:rPr>
      </w:pPr>
      <w:r>
        <w:rPr>
          <w:szCs w:val="32"/>
        </w:rPr>
        <w:t>我单位2024年单位预算无政府性基金预算。</w:t>
      </w:r>
    </w:p>
    <w:p>
      <w:pPr>
        <w:tabs>
          <w:tab w:val="center" w:pos="4475"/>
        </w:tabs>
        <w:spacing w:line="560" w:lineRule="exact"/>
        <w:ind w:firstLine="645"/>
        <w:rPr>
          <w:rFonts w:eastAsia="黑体"/>
          <w:szCs w:val="32"/>
          <w:highlight w:val="yellow"/>
        </w:rPr>
      </w:pPr>
      <w:r>
        <w:rPr>
          <w:rFonts w:eastAsia="黑体"/>
          <w:szCs w:val="32"/>
        </w:rPr>
        <w:t>九、国有资本经营预算支出情况说明</w:t>
      </w:r>
    </w:p>
    <w:p>
      <w:pPr>
        <w:tabs>
          <w:tab w:val="center" w:pos="4475"/>
        </w:tabs>
        <w:spacing w:line="560" w:lineRule="exact"/>
        <w:ind w:firstLine="645"/>
        <w:rPr>
          <w:szCs w:val="32"/>
          <w:u w:val="single"/>
        </w:rPr>
      </w:pPr>
      <w:r>
        <w:rPr>
          <w:szCs w:val="32"/>
        </w:rPr>
        <w:t>我单位2024年单位预算无国有资本经营预算。</w:t>
      </w:r>
    </w:p>
    <w:p>
      <w:pPr>
        <w:tabs>
          <w:tab w:val="center" w:pos="4475"/>
        </w:tabs>
        <w:spacing w:line="560" w:lineRule="exact"/>
        <w:ind w:firstLine="645"/>
        <w:rPr>
          <w:rFonts w:eastAsia="黑体"/>
          <w:szCs w:val="32"/>
        </w:rPr>
      </w:pPr>
      <w:r>
        <w:rPr>
          <w:rFonts w:eastAsia="黑体"/>
          <w:szCs w:val="32"/>
        </w:rPr>
        <w:t>十、其他重要事项情况说明</w:t>
      </w:r>
    </w:p>
    <w:p>
      <w:pPr>
        <w:tabs>
          <w:tab w:val="center" w:pos="4475"/>
        </w:tabs>
        <w:spacing w:line="560" w:lineRule="exact"/>
        <w:ind w:firstLine="645"/>
        <w:rPr>
          <w:rFonts w:eastAsia="楷体_GB2312"/>
          <w:szCs w:val="32"/>
        </w:rPr>
      </w:pPr>
      <w:r>
        <w:rPr>
          <w:rFonts w:eastAsia="楷体_GB2312"/>
          <w:szCs w:val="32"/>
        </w:rPr>
        <w:t>（一）事业单位运行经费安排情况说明</w:t>
      </w:r>
    </w:p>
    <w:p>
      <w:pPr>
        <w:tabs>
          <w:tab w:val="center" w:pos="4475"/>
        </w:tabs>
        <w:spacing w:line="560" w:lineRule="exact"/>
        <w:ind w:firstLine="645"/>
        <w:rPr>
          <w:rFonts w:eastAsia="黑体"/>
          <w:szCs w:val="32"/>
        </w:rPr>
      </w:pPr>
      <w:r>
        <w:rPr>
          <w:szCs w:val="32"/>
        </w:rPr>
        <w:t>2024年事业单位运行经费预算37.01万元，比上年增加0.47万元，增长1.29%。主要用于事业单位为保证日常运转发生的办公费、水电费、培训费、差旅费、会议费等日常公用经费支出。增加的主要原因是</w:t>
      </w:r>
      <w:r>
        <w:rPr>
          <w:rFonts w:hint="eastAsia"/>
          <w:szCs w:val="32"/>
        </w:rPr>
        <w:t>薪级工资调增而</w:t>
      </w:r>
      <w:r>
        <w:rPr>
          <w:szCs w:val="32"/>
        </w:rPr>
        <w:t>按比例计提的工会</w:t>
      </w:r>
      <w:r>
        <w:rPr>
          <w:rFonts w:hint="eastAsia"/>
          <w:szCs w:val="32"/>
        </w:rPr>
        <w:t>经</w:t>
      </w:r>
      <w:r>
        <w:rPr>
          <w:szCs w:val="32"/>
        </w:rPr>
        <w:t>费相应增加等。</w:t>
      </w:r>
    </w:p>
    <w:p>
      <w:pPr>
        <w:tabs>
          <w:tab w:val="center" w:pos="4475"/>
        </w:tabs>
        <w:spacing w:line="560" w:lineRule="exact"/>
        <w:ind w:firstLine="645"/>
        <w:rPr>
          <w:rFonts w:eastAsia="楷体_GB2312"/>
          <w:kern w:val="0"/>
        </w:rPr>
      </w:pPr>
      <w:r>
        <w:rPr>
          <w:rFonts w:eastAsia="楷体_GB2312"/>
          <w:szCs w:val="32"/>
        </w:rPr>
        <w:t>（二）</w:t>
      </w:r>
      <w:r>
        <w:rPr>
          <w:rFonts w:eastAsia="楷体_GB2312"/>
          <w:kern w:val="0"/>
        </w:rPr>
        <w:t>政府采购预算安排情况说明</w:t>
      </w:r>
    </w:p>
    <w:p>
      <w:pPr>
        <w:tabs>
          <w:tab w:val="center" w:pos="4475"/>
        </w:tabs>
        <w:spacing w:line="560" w:lineRule="exact"/>
        <w:ind w:firstLine="645"/>
        <w:rPr>
          <w:szCs w:val="32"/>
        </w:rPr>
      </w:pPr>
      <w:r>
        <w:rPr>
          <w:szCs w:val="32"/>
        </w:rPr>
        <w:t>我单位2024年政府采购预算总金额19.15万元，同比减少7.50万元，下降28.14%。减少的主要原因是严格遵守</w:t>
      </w:r>
      <w:r>
        <w:rPr>
          <w:rFonts w:hint="eastAsia"/>
          <w:szCs w:val="32"/>
          <w:lang w:eastAsia="zh-CN"/>
        </w:rPr>
        <w:t>中央八项规定精神</w:t>
      </w:r>
      <w:r>
        <w:rPr>
          <w:szCs w:val="32"/>
        </w:rPr>
        <w:t>，本着厉行节俭的原则，大力压减一般性支出。其中：货物类采购1.15万元、工程类采购0万元、服务类采购18.00万元。</w:t>
      </w:r>
    </w:p>
    <w:p>
      <w:pPr>
        <w:tabs>
          <w:tab w:val="center" w:pos="4475"/>
        </w:tabs>
        <w:spacing w:line="560" w:lineRule="exact"/>
        <w:ind w:firstLine="645"/>
        <w:rPr>
          <w:rFonts w:eastAsia="楷体_GB2312"/>
          <w:kern w:val="0"/>
        </w:rPr>
      </w:pPr>
      <w:r>
        <w:rPr>
          <w:rFonts w:eastAsia="楷体_GB2312"/>
          <w:kern w:val="0"/>
        </w:rPr>
        <w:t>（三）国有资产占用情况说明</w:t>
      </w:r>
    </w:p>
    <w:p>
      <w:pPr>
        <w:tabs>
          <w:tab w:val="center" w:pos="4475"/>
        </w:tabs>
        <w:spacing w:line="560" w:lineRule="exact"/>
        <w:ind w:firstLine="645"/>
        <w:rPr>
          <w:rFonts w:eastAsia="黑体"/>
          <w:kern w:val="0"/>
        </w:rPr>
      </w:pPr>
      <w:r>
        <w:rPr>
          <w:szCs w:val="32"/>
        </w:rPr>
        <w:t>我单位公务用车编制数为1辆，编内车辆实有数1辆。其中，旅行越野车1辆。</w:t>
      </w:r>
    </w:p>
    <w:p>
      <w:pPr>
        <w:tabs>
          <w:tab w:val="center" w:pos="4475"/>
        </w:tabs>
        <w:spacing w:line="560" w:lineRule="exact"/>
        <w:ind w:firstLine="645"/>
        <w:rPr>
          <w:rFonts w:eastAsia="楷体_GB2312"/>
          <w:szCs w:val="32"/>
        </w:rPr>
      </w:pPr>
      <w:r>
        <w:rPr>
          <w:rFonts w:eastAsia="楷体_GB2312"/>
          <w:szCs w:val="32"/>
        </w:rPr>
        <w:t>（四）预算绩效目标情况说明</w:t>
      </w:r>
    </w:p>
    <w:p>
      <w:pPr>
        <w:tabs>
          <w:tab w:val="center" w:pos="4475"/>
        </w:tabs>
        <w:spacing w:line="560" w:lineRule="exact"/>
        <w:ind w:firstLine="645"/>
        <w:rPr>
          <w:szCs w:val="32"/>
        </w:rPr>
      </w:pPr>
      <w:r>
        <w:rPr>
          <w:szCs w:val="32"/>
        </w:rPr>
        <w:t>1.</w:t>
      </w:r>
      <w:r>
        <w:rPr>
          <w:rFonts w:hint="eastAsia"/>
          <w:szCs w:val="32"/>
        </w:rPr>
        <w:t xml:space="preserve"> </w:t>
      </w:r>
      <w:r>
        <w:rPr>
          <w:szCs w:val="32"/>
        </w:rPr>
        <w:t>我单位2024年所有项目支出全面实施绩效目标管理，涉及自治区本级项目10个，预算资金475.93万元；对下转移支付项目0个，预算资金0万元。绩效目标情况详见报表（日常运转类项目、工资类人员经费项目和涉密项目等除外）。</w:t>
      </w:r>
    </w:p>
    <w:p>
      <w:pPr>
        <w:tabs>
          <w:tab w:val="center" w:pos="4475"/>
        </w:tabs>
        <w:spacing w:line="560" w:lineRule="exact"/>
        <w:ind w:firstLine="645"/>
        <w:rPr>
          <w:szCs w:val="32"/>
        </w:rPr>
      </w:pPr>
      <w:r>
        <w:rPr>
          <w:szCs w:val="32"/>
        </w:rPr>
        <w:t>2.</w:t>
      </w:r>
      <w:r>
        <w:rPr>
          <w:rFonts w:hint="eastAsia"/>
          <w:szCs w:val="32"/>
        </w:rPr>
        <w:t xml:space="preserve"> </w:t>
      </w:r>
      <w:r>
        <w:rPr>
          <w:szCs w:val="32"/>
        </w:rPr>
        <w:t>重点项目预算绩效目标说明。</w:t>
      </w:r>
    </w:p>
    <w:p>
      <w:pPr>
        <w:tabs>
          <w:tab w:val="center" w:pos="4475"/>
        </w:tabs>
        <w:spacing w:line="560" w:lineRule="exact"/>
        <w:ind w:firstLine="645"/>
        <w:rPr>
          <w:szCs w:val="32"/>
        </w:rPr>
      </w:pPr>
      <w:r>
        <w:rPr>
          <w:szCs w:val="32"/>
        </w:rPr>
        <w:t>重点项目：广西科技创新调研评估及政策综合服务，预算资金76.40万元，2024年度绩效目标为2024年度内投入财政资金76.40万元，开展工程中心、技术创新中心、院士工作站等创新平台的评估评审工作，开展政策评估、科技调研、内部刊物编辑、研究成果管理等方面工作，进一步加强承担单位研究团队建设，提高承担重大委托事项的服务能力，为自治区党委、政府和自治区科技厅决策提供参考和支撑。设7条数量指标：数量指标1.开展课题研究数量≥1项；数量指标2.决策咨询研究队伍≥5人；数量指标3.完成工程中心、技术创新中心、院士工作站等创新平台的评估评审项目数量≥30个；数量指标4.信息数据收集整理≥5000条；数量指标5.完成《自治区科技厅简报》≥10期；数量指标6.完成《科技政策法规汇编（2023）》≥200册；数量指标7.完成《广西科技要情手册（2024）》≥150册。设1条质量指标：课题验收通过率＝100%。设1条时效指标：专项工作完成及时率≥90%。设1条成本指标：项目总成本≤76.4万元。设1条社会效益指标：累计推动院士工作站、工程中心、技术创新中心建设数量≥30个。设1条满意度指标：评审专家满意度≥90%。</w:t>
      </w:r>
    </w:p>
    <w:p>
      <w:pPr>
        <w:tabs>
          <w:tab w:val="center" w:pos="4475"/>
        </w:tabs>
        <w:spacing w:line="560" w:lineRule="exact"/>
        <w:ind w:firstLine="645"/>
        <w:rPr>
          <w:rFonts w:hint="eastAsia" w:eastAsia="黑体"/>
          <w:szCs w:val="32"/>
        </w:rPr>
      </w:pPr>
    </w:p>
    <w:p>
      <w:pPr>
        <w:tabs>
          <w:tab w:val="center" w:pos="4475"/>
        </w:tabs>
        <w:spacing w:line="560" w:lineRule="exact"/>
        <w:ind w:firstLine="645"/>
        <w:rPr>
          <w:rFonts w:hint="eastAsia" w:eastAsia="黑体"/>
          <w:szCs w:val="32"/>
        </w:rPr>
      </w:pPr>
    </w:p>
    <w:p>
      <w:pPr>
        <w:tabs>
          <w:tab w:val="center" w:pos="4475"/>
        </w:tabs>
        <w:spacing w:line="560" w:lineRule="exact"/>
        <w:ind w:firstLine="645"/>
        <w:rPr>
          <w:rFonts w:hint="eastAsia" w:eastAsia="黑体"/>
          <w:szCs w:val="32"/>
        </w:rPr>
      </w:pPr>
    </w:p>
    <w:p>
      <w:pPr>
        <w:tabs>
          <w:tab w:val="center" w:pos="4475"/>
        </w:tabs>
        <w:spacing w:line="560" w:lineRule="exact"/>
        <w:ind w:firstLine="645"/>
        <w:rPr>
          <w:rFonts w:eastAsia="黑体"/>
          <w:szCs w:val="32"/>
        </w:rPr>
      </w:pPr>
      <w:r>
        <w:rPr>
          <w:rFonts w:eastAsia="黑体"/>
          <w:szCs w:val="32"/>
        </w:rPr>
        <w:t>第三部分：名词解释</w:t>
      </w:r>
    </w:p>
    <w:p>
      <w:pPr>
        <w:spacing w:line="560" w:lineRule="exact"/>
        <w:ind w:firstLine="640" w:firstLineChars="200"/>
        <w:rPr>
          <w:rFonts w:eastAsia="黑体"/>
          <w:szCs w:val="32"/>
        </w:rPr>
      </w:pPr>
      <w:r>
        <w:rPr>
          <w:rFonts w:eastAsia="黑体"/>
          <w:szCs w:val="32"/>
        </w:rPr>
        <w:t>一、收入科目</w:t>
      </w:r>
    </w:p>
    <w:p>
      <w:pPr>
        <w:spacing w:line="560" w:lineRule="exact"/>
        <w:ind w:firstLine="640" w:firstLineChars="200"/>
        <w:rPr>
          <w:szCs w:val="32"/>
        </w:rPr>
      </w:pPr>
      <w:r>
        <w:rPr>
          <w:rFonts w:eastAsia="楷体_GB2312"/>
          <w:szCs w:val="32"/>
        </w:rPr>
        <w:t>（一）一般公共预算拨款收入：</w:t>
      </w:r>
      <w:r>
        <w:rPr>
          <w:szCs w:val="32"/>
        </w:rPr>
        <w:t>指自治区财政当年拨付的资金。</w:t>
      </w:r>
    </w:p>
    <w:p>
      <w:pPr>
        <w:spacing w:line="560" w:lineRule="exact"/>
        <w:ind w:firstLine="640" w:firstLineChars="200"/>
        <w:rPr>
          <w:szCs w:val="32"/>
        </w:rPr>
      </w:pPr>
      <w:r>
        <w:rPr>
          <w:rFonts w:eastAsia="楷体_GB2312"/>
          <w:szCs w:val="32"/>
        </w:rPr>
        <w:t>（二）事业收入：</w:t>
      </w:r>
      <w:r>
        <w:rPr>
          <w:szCs w:val="32"/>
        </w:rPr>
        <w:t>指事业单位开展专业业务活动及辅助活动所取得的收入。</w:t>
      </w:r>
    </w:p>
    <w:p>
      <w:pPr>
        <w:spacing w:line="560" w:lineRule="exact"/>
        <w:ind w:firstLine="640" w:firstLineChars="200"/>
        <w:rPr>
          <w:szCs w:val="32"/>
        </w:rPr>
      </w:pPr>
      <w:r>
        <w:rPr>
          <w:rFonts w:eastAsia="楷体_GB2312"/>
          <w:szCs w:val="32"/>
        </w:rPr>
        <w:t>（三）事业单位经营收入：</w:t>
      </w:r>
      <w:r>
        <w:rPr>
          <w:szCs w:val="32"/>
        </w:rPr>
        <w:t>指事业单位在专业业务活动及其辅助活动之外开展非独立核算经营活动取得的收入。</w:t>
      </w:r>
    </w:p>
    <w:p>
      <w:pPr>
        <w:spacing w:line="560" w:lineRule="exact"/>
        <w:ind w:firstLine="640" w:firstLineChars="200"/>
        <w:rPr>
          <w:szCs w:val="32"/>
        </w:rPr>
      </w:pPr>
      <w:r>
        <w:rPr>
          <w:rFonts w:eastAsia="楷体_GB2312"/>
          <w:szCs w:val="32"/>
        </w:rPr>
        <w:t>（四）其他收入：</w:t>
      </w:r>
      <w:r>
        <w:rPr>
          <w:szCs w:val="32"/>
        </w:rPr>
        <w:t>指除上述“一般公共预算拨款收入”“事业收入”“经营收入”等以外的收入。</w:t>
      </w:r>
    </w:p>
    <w:p>
      <w:pPr>
        <w:spacing w:line="560" w:lineRule="exact"/>
        <w:ind w:firstLine="640" w:firstLineChars="200"/>
        <w:rPr>
          <w:szCs w:val="32"/>
        </w:rPr>
      </w:pPr>
      <w:r>
        <w:rPr>
          <w:rFonts w:eastAsia="楷体_GB2312"/>
          <w:szCs w:val="32"/>
        </w:rPr>
        <w:t>（五）上年结转：</w:t>
      </w:r>
      <w:r>
        <w:rPr>
          <w:szCs w:val="32"/>
        </w:rPr>
        <w:t>指以前年度尚未完成、结转到本年仍按原规定用途继续使用的资金。</w:t>
      </w:r>
    </w:p>
    <w:p>
      <w:pPr>
        <w:spacing w:line="560" w:lineRule="exact"/>
        <w:ind w:firstLine="640" w:firstLineChars="200"/>
        <w:rPr>
          <w:rFonts w:eastAsia="黑体"/>
          <w:szCs w:val="32"/>
        </w:rPr>
      </w:pPr>
      <w:r>
        <w:rPr>
          <w:rFonts w:eastAsia="黑体"/>
          <w:szCs w:val="32"/>
        </w:rPr>
        <w:t>二、支出科目</w:t>
      </w:r>
    </w:p>
    <w:p>
      <w:pPr>
        <w:spacing w:line="560" w:lineRule="exact"/>
        <w:ind w:firstLine="640" w:firstLineChars="200"/>
        <w:rPr>
          <w:szCs w:val="32"/>
        </w:rPr>
      </w:pPr>
      <w:r>
        <w:rPr>
          <w:szCs w:val="32"/>
        </w:rPr>
        <w:t>（一）</w:t>
      </w:r>
      <w:r>
        <w:rPr>
          <w:b/>
          <w:bCs/>
          <w:szCs w:val="32"/>
        </w:rPr>
        <w:t>基本支出：</w:t>
      </w:r>
      <w:r>
        <w:rPr>
          <w:szCs w:val="32"/>
        </w:rPr>
        <w:t>指为保障机构正常运转、完成日常工作任务而发生的人员支出和公用支出。</w:t>
      </w:r>
    </w:p>
    <w:p>
      <w:pPr>
        <w:spacing w:line="560" w:lineRule="exact"/>
        <w:ind w:firstLine="640" w:firstLineChars="200"/>
        <w:rPr>
          <w:szCs w:val="32"/>
        </w:rPr>
      </w:pPr>
      <w:r>
        <w:rPr>
          <w:szCs w:val="32"/>
        </w:rPr>
        <w:t>（二）</w:t>
      </w:r>
      <w:r>
        <w:rPr>
          <w:b/>
          <w:bCs/>
          <w:szCs w:val="32"/>
        </w:rPr>
        <w:t>项目支出：</w:t>
      </w:r>
      <w:r>
        <w:rPr>
          <w:szCs w:val="32"/>
        </w:rPr>
        <w:t>指在基本支出之外为完成特定行政任务和事业发展目标所发生的支出。</w:t>
      </w:r>
    </w:p>
    <w:p>
      <w:pPr>
        <w:spacing w:line="560" w:lineRule="exact"/>
        <w:ind w:firstLine="640" w:firstLineChars="200"/>
        <w:rPr>
          <w:szCs w:val="32"/>
        </w:rPr>
      </w:pPr>
      <w:r>
        <w:rPr>
          <w:rFonts w:eastAsia="黑体"/>
          <w:szCs w:val="32"/>
        </w:rPr>
        <w:t>三、“三公”经费：</w:t>
      </w:r>
      <w:r>
        <w:rPr>
          <w:szCs w:val="32"/>
        </w:rPr>
        <w:t>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tabs>
          <w:tab w:val="center" w:pos="4475"/>
        </w:tabs>
        <w:spacing w:line="560" w:lineRule="exact"/>
        <w:ind w:firstLine="645"/>
        <w:rPr>
          <w:szCs w:val="32"/>
          <w:highlight w:val="yellow"/>
        </w:rPr>
      </w:pPr>
      <w:r>
        <w:rPr>
          <w:rFonts w:eastAsia="黑体"/>
          <w:szCs w:val="32"/>
        </w:rPr>
        <w:t>四、事业单位运行经费：</w:t>
      </w:r>
      <w:r>
        <w:rPr>
          <w:szCs w:val="32"/>
        </w:rPr>
        <w:t>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pacing w:line="560" w:lineRule="exact"/>
        <w:ind w:firstLine="645"/>
        <w:rPr>
          <w:rFonts w:eastAsia="黑体"/>
          <w:szCs w:val="32"/>
        </w:rPr>
      </w:pPr>
      <w:r>
        <w:rPr>
          <w:rFonts w:eastAsia="黑体"/>
          <w:szCs w:val="32"/>
        </w:rPr>
        <w:br w:type="page"/>
      </w:r>
      <w:r>
        <w:rPr>
          <w:rFonts w:eastAsia="黑体"/>
          <w:szCs w:val="32"/>
        </w:rPr>
        <w:t>第四部分：广西壮族自治区经济社会技术发展研究所2024年单位预算公开报表</w:t>
      </w:r>
    </w:p>
    <w:p>
      <w:pPr>
        <w:pStyle w:val="2"/>
      </w:pPr>
    </w:p>
    <w:p>
      <w:pPr>
        <w:spacing w:line="560" w:lineRule="exact"/>
        <w:ind w:firstLine="640" w:firstLineChars="200"/>
        <w:rPr>
          <w:rFonts w:eastAsia="黑体"/>
          <w:szCs w:val="32"/>
        </w:rPr>
      </w:pPr>
      <w:r>
        <w:rPr>
          <w:rFonts w:eastAsia="黑体"/>
          <w:szCs w:val="32"/>
        </w:rPr>
        <w:t>一、单位收支总体情况表</w:t>
      </w:r>
    </w:p>
    <w:p>
      <w:pPr>
        <w:spacing w:line="560" w:lineRule="exact"/>
        <w:ind w:firstLine="640" w:firstLineChars="200"/>
        <w:rPr>
          <w:rFonts w:eastAsia="黑体"/>
          <w:szCs w:val="32"/>
        </w:rPr>
      </w:pPr>
      <w:bookmarkStart w:id="0" w:name="_Toc965980"/>
      <w:bookmarkStart w:id="1" w:name="_Toc32222067"/>
      <w:bookmarkStart w:id="2" w:name="_Toc989521"/>
      <w:r>
        <w:rPr>
          <w:rFonts w:eastAsia="黑体"/>
          <w:szCs w:val="32"/>
        </w:rPr>
        <w:t>二</w:t>
      </w:r>
      <w:bookmarkEnd w:id="0"/>
      <w:bookmarkEnd w:id="1"/>
      <w:bookmarkEnd w:id="2"/>
      <w:r>
        <w:rPr>
          <w:rFonts w:eastAsia="黑体"/>
          <w:szCs w:val="32"/>
        </w:rPr>
        <w:t>、单位收入总体情况表</w:t>
      </w:r>
    </w:p>
    <w:p>
      <w:pPr>
        <w:spacing w:line="560" w:lineRule="exact"/>
        <w:ind w:firstLine="640" w:firstLineChars="200"/>
        <w:rPr>
          <w:rFonts w:eastAsia="黑体"/>
          <w:szCs w:val="32"/>
        </w:rPr>
      </w:pPr>
      <w:bookmarkStart w:id="3" w:name="_Toc965981"/>
      <w:bookmarkStart w:id="4" w:name="_Toc32222068"/>
      <w:bookmarkStart w:id="5" w:name="_Toc989522"/>
      <w:r>
        <w:rPr>
          <w:rFonts w:eastAsia="黑体"/>
          <w:szCs w:val="32"/>
        </w:rPr>
        <w:t>三</w:t>
      </w:r>
      <w:bookmarkEnd w:id="3"/>
      <w:bookmarkEnd w:id="4"/>
      <w:bookmarkEnd w:id="5"/>
      <w:r>
        <w:rPr>
          <w:rFonts w:eastAsia="黑体"/>
          <w:szCs w:val="32"/>
        </w:rPr>
        <w:t>、单位支出总体情况表</w:t>
      </w:r>
    </w:p>
    <w:p>
      <w:pPr>
        <w:spacing w:line="560" w:lineRule="exact"/>
        <w:ind w:firstLine="640" w:firstLineChars="200"/>
        <w:rPr>
          <w:rFonts w:eastAsia="黑体"/>
          <w:szCs w:val="32"/>
        </w:rPr>
      </w:pPr>
      <w:bookmarkStart w:id="6" w:name="_Toc989523"/>
      <w:bookmarkStart w:id="7" w:name="_Toc965982"/>
      <w:bookmarkStart w:id="8" w:name="_Toc32222069"/>
      <w:r>
        <w:rPr>
          <w:rFonts w:eastAsia="黑体"/>
          <w:szCs w:val="32"/>
        </w:rPr>
        <w:t>四</w:t>
      </w:r>
      <w:bookmarkEnd w:id="6"/>
      <w:bookmarkEnd w:id="7"/>
      <w:bookmarkEnd w:id="8"/>
      <w:r>
        <w:rPr>
          <w:rFonts w:eastAsia="黑体"/>
          <w:szCs w:val="32"/>
        </w:rPr>
        <w:t>、财政拨款收支总体情况表</w:t>
      </w:r>
    </w:p>
    <w:p>
      <w:pPr>
        <w:spacing w:line="560" w:lineRule="exact"/>
        <w:ind w:firstLine="640" w:firstLineChars="200"/>
        <w:rPr>
          <w:rFonts w:eastAsia="黑体"/>
          <w:szCs w:val="32"/>
        </w:rPr>
      </w:pPr>
      <w:bookmarkStart w:id="9" w:name="_Toc965983"/>
      <w:bookmarkStart w:id="10" w:name="_Toc989524"/>
      <w:bookmarkStart w:id="11" w:name="_Toc32222070"/>
      <w:r>
        <w:rPr>
          <w:rFonts w:eastAsia="黑体"/>
          <w:szCs w:val="32"/>
        </w:rPr>
        <w:t>五</w:t>
      </w:r>
      <w:bookmarkEnd w:id="9"/>
      <w:bookmarkEnd w:id="10"/>
      <w:bookmarkEnd w:id="11"/>
      <w:r>
        <w:rPr>
          <w:rFonts w:eastAsia="黑体"/>
          <w:szCs w:val="32"/>
        </w:rPr>
        <w:t>、一般公共预算支出情况表</w:t>
      </w:r>
    </w:p>
    <w:p>
      <w:pPr>
        <w:spacing w:line="560" w:lineRule="exact"/>
        <w:ind w:firstLine="640" w:firstLineChars="200"/>
        <w:rPr>
          <w:rFonts w:eastAsia="黑体"/>
          <w:szCs w:val="32"/>
        </w:rPr>
      </w:pPr>
      <w:bookmarkStart w:id="12" w:name="_Toc989525"/>
      <w:bookmarkStart w:id="13" w:name="_Toc32222071"/>
      <w:bookmarkStart w:id="14" w:name="_Toc965984"/>
      <w:r>
        <w:rPr>
          <w:rFonts w:eastAsia="黑体"/>
          <w:szCs w:val="32"/>
        </w:rPr>
        <w:t>六</w:t>
      </w:r>
      <w:bookmarkEnd w:id="12"/>
      <w:bookmarkEnd w:id="13"/>
      <w:bookmarkEnd w:id="14"/>
      <w:r>
        <w:rPr>
          <w:rFonts w:eastAsia="黑体"/>
          <w:szCs w:val="32"/>
        </w:rPr>
        <w:t>、一般公共预算基本支出情况表</w:t>
      </w:r>
    </w:p>
    <w:p>
      <w:pPr>
        <w:spacing w:line="560" w:lineRule="exact"/>
        <w:ind w:firstLine="640" w:firstLineChars="200"/>
        <w:rPr>
          <w:rFonts w:eastAsia="黑体"/>
          <w:szCs w:val="32"/>
        </w:rPr>
      </w:pPr>
      <w:bookmarkStart w:id="15" w:name="_Toc965985"/>
      <w:bookmarkStart w:id="16" w:name="_Toc32222072"/>
      <w:bookmarkStart w:id="17" w:name="_Toc989526"/>
      <w:r>
        <w:rPr>
          <w:rFonts w:eastAsia="黑体"/>
          <w:szCs w:val="32"/>
        </w:rPr>
        <w:t>七</w:t>
      </w:r>
      <w:bookmarkEnd w:id="15"/>
      <w:bookmarkEnd w:id="16"/>
      <w:bookmarkEnd w:id="17"/>
      <w:r>
        <w:rPr>
          <w:rFonts w:eastAsia="黑体"/>
          <w:szCs w:val="32"/>
        </w:rPr>
        <w:t>、财政拨款“三公”经费、会议费和培训费支出情况表</w:t>
      </w:r>
    </w:p>
    <w:p>
      <w:pPr>
        <w:spacing w:line="560" w:lineRule="exact"/>
        <w:ind w:firstLine="640" w:firstLineChars="200"/>
        <w:rPr>
          <w:rFonts w:eastAsia="黑体"/>
          <w:szCs w:val="32"/>
        </w:rPr>
      </w:pPr>
      <w:bookmarkStart w:id="18" w:name="_Toc965986"/>
      <w:bookmarkStart w:id="19" w:name="_Toc989527"/>
      <w:bookmarkStart w:id="20" w:name="_Toc32222073"/>
      <w:r>
        <w:rPr>
          <w:rFonts w:eastAsia="黑体"/>
          <w:szCs w:val="32"/>
        </w:rPr>
        <w:t>八</w:t>
      </w:r>
      <w:bookmarkEnd w:id="18"/>
      <w:bookmarkEnd w:id="19"/>
      <w:bookmarkEnd w:id="20"/>
      <w:r>
        <w:rPr>
          <w:rFonts w:eastAsia="黑体"/>
          <w:szCs w:val="32"/>
        </w:rPr>
        <w:t>、政府性基金预算支出情况表</w:t>
      </w:r>
    </w:p>
    <w:p>
      <w:pPr>
        <w:spacing w:line="560" w:lineRule="exact"/>
        <w:ind w:firstLine="640" w:firstLineChars="200"/>
        <w:rPr>
          <w:rFonts w:eastAsia="黑体"/>
          <w:szCs w:val="32"/>
        </w:rPr>
      </w:pPr>
      <w:r>
        <w:rPr>
          <w:rFonts w:eastAsia="黑体"/>
          <w:szCs w:val="32"/>
        </w:rPr>
        <w:t>九、国有资本经营预算支出情况表</w:t>
      </w:r>
    </w:p>
    <w:p>
      <w:pPr>
        <w:spacing w:line="560" w:lineRule="exact"/>
        <w:ind w:firstLine="640" w:firstLineChars="200"/>
        <w:rPr>
          <w:rFonts w:eastAsia="黑体"/>
          <w:szCs w:val="32"/>
        </w:rPr>
      </w:pPr>
      <w:r>
        <w:rPr>
          <w:rFonts w:eastAsia="黑体"/>
          <w:szCs w:val="32"/>
        </w:rPr>
        <w:t>十、自治区本级项目绩效目标公开表</w:t>
      </w:r>
    </w:p>
    <w:p>
      <w:pPr>
        <w:spacing w:line="560" w:lineRule="exact"/>
        <w:ind w:firstLine="640" w:firstLineChars="200"/>
        <w:rPr>
          <w:rFonts w:eastAsia="黑体"/>
          <w:szCs w:val="32"/>
        </w:rPr>
      </w:pPr>
      <w:r>
        <w:rPr>
          <w:rFonts w:eastAsia="黑体"/>
          <w:szCs w:val="32"/>
        </w:rPr>
        <w:t>十一、自治区对下转移支付项目绩效目标公开表</w:t>
      </w:r>
    </w:p>
    <w:p>
      <w:pPr>
        <w:spacing w:line="560" w:lineRule="exact"/>
        <w:ind w:firstLine="640" w:firstLineChars="200"/>
      </w:pPr>
      <w:r>
        <w:rPr>
          <w:rFonts w:eastAsia="黑体"/>
          <w:szCs w:val="32"/>
        </w:rPr>
        <w:t>上述报表详见附件：广西壮族自治区经济社会技术发展研究所2024年单位预算公开表</w:t>
      </w:r>
    </w:p>
    <w:p>
      <w:pPr>
        <w:tabs>
          <w:tab w:val="center" w:pos="4475"/>
        </w:tabs>
        <w:spacing w:line="560" w:lineRule="exact"/>
        <w:ind w:firstLine="645"/>
        <w:rPr>
          <w:szCs w:val="32"/>
          <w:u w:val="single"/>
        </w:rPr>
        <w:sectPr>
          <w:footerReference r:id="rId6" w:type="default"/>
          <w:pgSz w:w="11906" w:h="16838"/>
          <w:pgMar w:top="2098" w:right="1417" w:bottom="1984" w:left="1587" w:header="851" w:footer="992" w:gutter="0"/>
          <w:pgNumType w:start="1"/>
          <w:cols w:space="720" w:num="1"/>
          <w:docGrid w:linePitch="634" w:charSpace="-2109"/>
        </w:sectPr>
      </w:pPr>
    </w:p>
    <w:p>
      <w:pPr>
        <w:pStyle w:val="2"/>
      </w:pPr>
    </w:p>
    <w:sectPr>
      <w:type w:val="continuous"/>
      <w:pgSz w:w="11906" w:h="16838"/>
      <w:pgMar w:top="2098" w:right="1417" w:bottom="1984" w:left="1587" w:header="851" w:footer="992" w:gutter="0"/>
      <w:pgNumType w:start="8"/>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Ph8RW3pAQAA&#10;tgMAAA4AAAAAAAAAAQAgAAAAHgEAAGRycy9lMm9Eb2MueG1sUEsFBgAAAAAGAAYAWQEAAHkFAAAA&#10;AA==&#10;">
              <v:fill on="f" focussize="0,0"/>
              <v:stroke on="f"/>
              <v:imagedata o:title=""/>
              <o:lock v:ext="edit" aspectratio="f"/>
              <v:textbox inset="0mm,0mm,0mm,0mm" style="mso-fit-shape-to-text:t;">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pStyle w:val="7"/>
                            <w:rPr>
                              <w:rStyle w:val="12"/>
                              <w:rFonts w:hint="eastAsia" w:ascii="宋体" w:hAnsi="宋体" w:cs="宋体"/>
                              <w:sz w:val="32"/>
                              <w:szCs w:val="32"/>
                            </w:rPr>
                          </w:pPr>
                          <w:r>
                            <w:rPr>
                              <w:rStyle w:val="12"/>
                              <w:rFonts w:hint="eastAsia" w:ascii="宋体" w:hAnsi="宋体" w:cs="宋体"/>
                              <w:sz w:val="28"/>
                              <w:szCs w:val="28"/>
                            </w:rPr>
                            <w:t xml:space="preserve">— </w:t>
                          </w:r>
                          <w:r>
                            <w:rPr>
                              <w:rStyle w:val="12"/>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Style w:val="12"/>
                              <w:rFonts w:hint="eastAsia" w:ascii="宋体" w:hAnsi="宋体" w:cs="宋体"/>
                              <w:sz w:val="28"/>
                              <w:szCs w:val="28"/>
                            </w:rPr>
                            <w:fldChar w:fldCharType="separate"/>
                          </w:r>
                          <w:r>
                            <w:rPr>
                              <w:rStyle w:val="12"/>
                              <w:rFonts w:ascii="宋体" w:hAnsi="宋体" w:cs="宋体"/>
                              <w:sz w:val="28"/>
                              <w:szCs w:val="28"/>
                            </w:rPr>
                            <w:t>12</w:t>
                          </w:r>
                          <w:r>
                            <w:rPr>
                              <w:rStyle w:val="12"/>
                              <w:rFonts w:hint="eastAsia" w:ascii="宋体" w:hAnsi="宋体" w:cs="宋体"/>
                              <w:sz w:val="28"/>
                              <w:szCs w:val="28"/>
                            </w:rPr>
                            <w:fldChar w:fldCharType="end"/>
                          </w:r>
                          <w:r>
                            <w:rPr>
                              <w:rStyle w:val="12"/>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lRLzLR&#10;AAAABAEAAA8AAAAAAAAAAQAgAAAAIgAAAGRycy9kb3ducmV2LnhtbFBLAQIUABQAAAAIAIdO4kDc&#10;txnH7gEAALQDAAAOAAAAAAAAAAEAIAAAACABAABkcnMvZTJvRG9jLnhtbFBLBQYAAAAABgAGAFkB&#10;AACABQAAAAA=&#10;">
              <v:fill on="f" focussize="0,0"/>
              <v:stroke on="f"/>
              <v:imagedata o:title=""/>
              <o:lock v:ext="edit" aspectratio="f"/>
              <v:textbox inset="0mm,0mm,0mm,0mm" style="mso-fit-shape-to-text:t;">
                <w:txbxContent>
                  <w:p>
                    <w:pPr>
                      <w:pStyle w:val="7"/>
                      <w:rPr>
                        <w:rStyle w:val="12"/>
                        <w:rFonts w:hint="eastAsia" w:ascii="宋体" w:hAnsi="宋体" w:cs="宋体"/>
                        <w:sz w:val="32"/>
                        <w:szCs w:val="32"/>
                      </w:rPr>
                    </w:pPr>
                    <w:r>
                      <w:rPr>
                        <w:rStyle w:val="12"/>
                        <w:rFonts w:hint="eastAsia" w:ascii="宋体" w:hAnsi="宋体" w:cs="宋体"/>
                        <w:sz w:val="28"/>
                        <w:szCs w:val="28"/>
                      </w:rPr>
                      <w:t xml:space="preserve">— </w:t>
                    </w:r>
                    <w:r>
                      <w:rPr>
                        <w:rStyle w:val="12"/>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Style w:val="12"/>
                        <w:rFonts w:hint="eastAsia" w:ascii="宋体" w:hAnsi="宋体" w:cs="宋体"/>
                        <w:sz w:val="28"/>
                        <w:szCs w:val="28"/>
                      </w:rPr>
                      <w:fldChar w:fldCharType="separate"/>
                    </w:r>
                    <w:r>
                      <w:rPr>
                        <w:rStyle w:val="12"/>
                        <w:rFonts w:ascii="宋体" w:hAnsi="宋体" w:cs="宋体"/>
                        <w:sz w:val="28"/>
                        <w:szCs w:val="28"/>
                      </w:rPr>
                      <w:t>12</w:t>
                    </w:r>
                    <w:r>
                      <w:rPr>
                        <w:rStyle w:val="12"/>
                        <w:rFonts w:hint="eastAsia" w:ascii="宋体" w:hAnsi="宋体" w:cs="宋体"/>
                        <w:sz w:val="28"/>
                        <w:szCs w:val="28"/>
                      </w:rPr>
                      <w:fldChar w:fldCharType="end"/>
                    </w:r>
                    <w:r>
                      <w:rPr>
                        <w:rStyle w:val="12"/>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5"/>
  <w:drawingGridVerticalSpacing w:val="317"/>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077D6"/>
    <w:rsid w:val="00000EE9"/>
    <w:rsid w:val="000060B9"/>
    <w:rsid w:val="00007E60"/>
    <w:rsid w:val="00010D80"/>
    <w:rsid w:val="00013FC5"/>
    <w:rsid w:val="000148DA"/>
    <w:rsid w:val="000151F8"/>
    <w:rsid w:val="00015373"/>
    <w:rsid w:val="00015844"/>
    <w:rsid w:val="00015A27"/>
    <w:rsid w:val="00015DB6"/>
    <w:rsid w:val="00016F0A"/>
    <w:rsid w:val="0002203E"/>
    <w:rsid w:val="00022683"/>
    <w:rsid w:val="000264A8"/>
    <w:rsid w:val="0002778C"/>
    <w:rsid w:val="00032004"/>
    <w:rsid w:val="0003234C"/>
    <w:rsid w:val="00033636"/>
    <w:rsid w:val="00034928"/>
    <w:rsid w:val="000367F9"/>
    <w:rsid w:val="0003703B"/>
    <w:rsid w:val="0003742B"/>
    <w:rsid w:val="000431E0"/>
    <w:rsid w:val="0004320C"/>
    <w:rsid w:val="00044411"/>
    <w:rsid w:val="00047236"/>
    <w:rsid w:val="00051922"/>
    <w:rsid w:val="00053233"/>
    <w:rsid w:val="00053585"/>
    <w:rsid w:val="00055554"/>
    <w:rsid w:val="00056171"/>
    <w:rsid w:val="00056F20"/>
    <w:rsid w:val="00057CA7"/>
    <w:rsid w:val="00057D74"/>
    <w:rsid w:val="00064C16"/>
    <w:rsid w:val="00065B65"/>
    <w:rsid w:val="0006724F"/>
    <w:rsid w:val="00067DB2"/>
    <w:rsid w:val="00070AED"/>
    <w:rsid w:val="00072F64"/>
    <w:rsid w:val="00073012"/>
    <w:rsid w:val="00075288"/>
    <w:rsid w:val="00076467"/>
    <w:rsid w:val="00082659"/>
    <w:rsid w:val="000860A8"/>
    <w:rsid w:val="0008706C"/>
    <w:rsid w:val="000875C7"/>
    <w:rsid w:val="0009096A"/>
    <w:rsid w:val="00090BDD"/>
    <w:rsid w:val="00091713"/>
    <w:rsid w:val="00091CA3"/>
    <w:rsid w:val="0009451B"/>
    <w:rsid w:val="00097627"/>
    <w:rsid w:val="000A08BA"/>
    <w:rsid w:val="000A0E14"/>
    <w:rsid w:val="000A3A62"/>
    <w:rsid w:val="000A6FB7"/>
    <w:rsid w:val="000B21C1"/>
    <w:rsid w:val="000C124D"/>
    <w:rsid w:val="000C140F"/>
    <w:rsid w:val="000C21E0"/>
    <w:rsid w:val="000C4124"/>
    <w:rsid w:val="000C5FCD"/>
    <w:rsid w:val="000C740A"/>
    <w:rsid w:val="000D268D"/>
    <w:rsid w:val="000D5A0E"/>
    <w:rsid w:val="000D7186"/>
    <w:rsid w:val="000D71B2"/>
    <w:rsid w:val="000E1684"/>
    <w:rsid w:val="000E225F"/>
    <w:rsid w:val="000E2903"/>
    <w:rsid w:val="000F47FC"/>
    <w:rsid w:val="00101350"/>
    <w:rsid w:val="00101B18"/>
    <w:rsid w:val="001050DB"/>
    <w:rsid w:val="00106218"/>
    <w:rsid w:val="00106F58"/>
    <w:rsid w:val="0011108B"/>
    <w:rsid w:val="00114358"/>
    <w:rsid w:val="00114A70"/>
    <w:rsid w:val="001201FD"/>
    <w:rsid w:val="001208E4"/>
    <w:rsid w:val="00130211"/>
    <w:rsid w:val="001306E3"/>
    <w:rsid w:val="0013117E"/>
    <w:rsid w:val="0013209C"/>
    <w:rsid w:val="00133D08"/>
    <w:rsid w:val="00134527"/>
    <w:rsid w:val="00134936"/>
    <w:rsid w:val="00136E45"/>
    <w:rsid w:val="00140594"/>
    <w:rsid w:val="00140B5D"/>
    <w:rsid w:val="0014199E"/>
    <w:rsid w:val="00143EF5"/>
    <w:rsid w:val="00143FB2"/>
    <w:rsid w:val="00146AE4"/>
    <w:rsid w:val="00150008"/>
    <w:rsid w:val="001509EA"/>
    <w:rsid w:val="00155B29"/>
    <w:rsid w:val="00156031"/>
    <w:rsid w:val="00161994"/>
    <w:rsid w:val="00163B9A"/>
    <w:rsid w:val="00165235"/>
    <w:rsid w:val="00167133"/>
    <w:rsid w:val="00174035"/>
    <w:rsid w:val="001741FE"/>
    <w:rsid w:val="00175D3D"/>
    <w:rsid w:val="001808B0"/>
    <w:rsid w:val="00184BA7"/>
    <w:rsid w:val="00185309"/>
    <w:rsid w:val="001869CE"/>
    <w:rsid w:val="00187310"/>
    <w:rsid w:val="00192C28"/>
    <w:rsid w:val="00192F2C"/>
    <w:rsid w:val="00195476"/>
    <w:rsid w:val="00196600"/>
    <w:rsid w:val="001970FF"/>
    <w:rsid w:val="001A2D5D"/>
    <w:rsid w:val="001A5275"/>
    <w:rsid w:val="001A68DA"/>
    <w:rsid w:val="001B07AF"/>
    <w:rsid w:val="001B2CB4"/>
    <w:rsid w:val="001B398E"/>
    <w:rsid w:val="001B6EE7"/>
    <w:rsid w:val="001B7263"/>
    <w:rsid w:val="001C1620"/>
    <w:rsid w:val="001C1B0E"/>
    <w:rsid w:val="001C530B"/>
    <w:rsid w:val="001C545B"/>
    <w:rsid w:val="001C5D93"/>
    <w:rsid w:val="001C7B74"/>
    <w:rsid w:val="001D024F"/>
    <w:rsid w:val="001D5472"/>
    <w:rsid w:val="001E44AD"/>
    <w:rsid w:val="001E524D"/>
    <w:rsid w:val="001E6974"/>
    <w:rsid w:val="001F10EE"/>
    <w:rsid w:val="001F15C5"/>
    <w:rsid w:val="001F2E8F"/>
    <w:rsid w:val="001F3D52"/>
    <w:rsid w:val="001F570B"/>
    <w:rsid w:val="001F6F1D"/>
    <w:rsid w:val="00200E5C"/>
    <w:rsid w:val="0020115D"/>
    <w:rsid w:val="00201FAC"/>
    <w:rsid w:val="0020218D"/>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76F9"/>
    <w:rsid w:val="00260107"/>
    <w:rsid w:val="00261B8D"/>
    <w:rsid w:val="00261D31"/>
    <w:rsid w:val="00263BDD"/>
    <w:rsid w:val="00263FEA"/>
    <w:rsid w:val="00264C3D"/>
    <w:rsid w:val="00265C0D"/>
    <w:rsid w:val="00266514"/>
    <w:rsid w:val="00266640"/>
    <w:rsid w:val="0026673E"/>
    <w:rsid w:val="00266839"/>
    <w:rsid w:val="00267FC2"/>
    <w:rsid w:val="002702D2"/>
    <w:rsid w:val="00272D82"/>
    <w:rsid w:val="00273673"/>
    <w:rsid w:val="00273AAB"/>
    <w:rsid w:val="0027442A"/>
    <w:rsid w:val="00275E2D"/>
    <w:rsid w:val="00276F13"/>
    <w:rsid w:val="00276FE4"/>
    <w:rsid w:val="00277C96"/>
    <w:rsid w:val="00287008"/>
    <w:rsid w:val="002879DF"/>
    <w:rsid w:val="0029213B"/>
    <w:rsid w:val="00292964"/>
    <w:rsid w:val="00294176"/>
    <w:rsid w:val="0029483C"/>
    <w:rsid w:val="00294957"/>
    <w:rsid w:val="002965F8"/>
    <w:rsid w:val="002A2B5D"/>
    <w:rsid w:val="002A435F"/>
    <w:rsid w:val="002A57C2"/>
    <w:rsid w:val="002A7ED2"/>
    <w:rsid w:val="002B05EA"/>
    <w:rsid w:val="002B1411"/>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332C"/>
    <w:rsid w:val="002E39BC"/>
    <w:rsid w:val="002E44AF"/>
    <w:rsid w:val="002E52E3"/>
    <w:rsid w:val="002E547C"/>
    <w:rsid w:val="002E5613"/>
    <w:rsid w:val="002E5BD8"/>
    <w:rsid w:val="002F05B1"/>
    <w:rsid w:val="002F49F8"/>
    <w:rsid w:val="002F5297"/>
    <w:rsid w:val="003005A3"/>
    <w:rsid w:val="0030197D"/>
    <w:rsid w:val="00305E4B"/>
    <w:rsid w:val="00307AD8"/>
    <w:rsid w:val="003113A6"/>
    <w:rsid w:val="00313806"/>
    <w:rsid w:val="00314B8F"/>
    <w:rsid w:val="00315F5F"/>
    <w:rsid w:val="00316279"/>
    <w:rsid w:val="003206D6"/>
    <w:rsid w:val="0032137E"/>
    <w:rsid w:val="0032186E"/>
    <w:rsid w:val="003225F9"/>
    <w:rsid w:val="00324991"/>
    <w:rsid w:val="00326E2C"/>
    <w:rsid w:val="003273DA"/>
    <w:rsid w:val="003273E8"/>
    <w:rsid w:val="00327A01"/>
    <w:rsid w:val="0033087A"/>
    <w:rsid w:val="00330AFF"/>
    <w:rsid w:val="003322C1"/>
    <w:rsid w:val="0033249D"/>
    <w:rsid w:val="00335DD3"/>
    <w:rsid w:val="00337F81"/>
    <w:rsid w:val="00342E99"/>
    <w:rsid w:val="00343405"/>
    <w:rsid w:val="00347034"/>
    <w:rsid w:val="00352FEC"/>
    <w:rsid w:val="00353F27"/>
    <w:rsid w:val="0035772E"/>
    <w:rsid w:val="00361026"/>
    <w:rsid w:val="003616E6"/>
    <w:rsid w:val="00361A65"/>
    <w:rsid w:val="00361CC1"/>
    <w:rsid w:val="0036451B"/>
    <w:rsid w:val="00376E5F"/>
    <w:rsid w:val="00392ED7"/>
    <w:rsid w:val="0039575A"/>
    <w:rsid w:val="00396736"/>
    <w:rsid w:val="0039769D"/>
    <w:rsid w:val="003A0370"/>
    <w:rsid w:val="003A0425"/>
    <w:rsid w:val="003A0FA8"/>
    <w:rsid w:val="003A7AC4"/>
    <w:rsid w:val="003B1D70"/>
    <w:rsid w:val="003B2CDC"/>
    <w:rsid w:val="003B4C9D"/>
    <w:rsid w:val="003B7568"/>
    <w:rsid w:val="003C5741"/>
    <w:rsid w:val="003C6EDC"/>
    <w:rsid w:val="003D3514"/>
    <w:rsid w:val="003D4EE4"/>
    <w:rsid w:val="003D71A3"/>
    <w:rsid w:val="003E1840"/>
    <w:rsid w:val="003E3511"/>
    <w:rsid w:val="003F37DB"/>
    <w:rsid w:val="003F3FE1"/>
    <w:rsid w:val="00403918"/>
    <w:rsid w:val="00404197"/>
    <w:rsid w:val="00406E73"/>
    <w:rsid w:val="00407DBD"/>
    <w:rsid w:val="00413B84"/>
    <w:rsid w:val="00416D29"/>
    <w:rsid w:val="004215AD"/>
    <w:rsid w:val="004219B6"/>
    <w:rsid w:val="0042680A"/>
    <w:rsid w:val="0042726F"/>
    <w:rsid w:val="00427D28"/>
    <w:rsid w:val="00430060"/>
    <w:rsid w:val="00431DA7"/>
    <w:rsid w:val="00435BC8"/>
    <w:rsid w:val="004376CB"/>
    <w:rsid w:val="00437F2A"/>
    <w:rsid w:val="00441D96"/>
    <w:rsid w:val="0044201B"/>
    <w:rsid w:val="00444F7D"/>
    <w:rsid w:val="004460E7"/>
    <w:rsid w:val="004506F7"/>
    <w:rsid w:val="00451A5D"/>
    <w:rsid w:val="00452E0C"/>
    <w:rsid w:val="00455F54"/>
    <w:rsid w:val="0045649A"/>
    <w:rsid w:val="00456AF8"/>
    <w:rsid w:val="00461C08"/>
    <w:rsid w:val="0046237E"/>
    <w:rsid w:val="0046348B"/>
    <w:rsid w:val="004637D9"/>
    <w:rsid w:val="00470269"/>
    <w:rsid w:val="00472546"/>
    <w:rsid w:val="00472BDD"/>
    <w:rsid w:val="004735E9"/>
    <w:rsid w:val="00483AFF"/>
    <w:rsid w:val="004859ED"/>
    <w:rsid w:val="00491ED1"/>
    <w:rsid w:val="00494941"/>
    <w:rsid w:val="00495645"/>
    <w:rsid w:val="0049762C"/>
    <w:rsid w:val="004A39D5"/>
    <w:rsid w:val="004A5425"/>
    <w:rsid w:val="004A6DA6"/>
    <w:rsid w:val="004A74B3"/>
    <w:rsid w:val="004A7834"/>
    <w:rsid w:val="004B1D29"/>
    <w:rsid w:val="004B2571"/>
    <w:rsid w:val="004B2910"/>
    <w:rsid w:val="004B6415"/>
    <w:rsid w:val="004C02AB"/>
    <w:rsid w:val="004C189F"/>
    <w:rsid w:val="004C1D46"/>
    <w:rsid w:val="004C2E28"/>
    <w:rsid w:val="004C5205"/>
    <w:rsid w:val="004C643A"/>
    <w:rsid w:val="004C7613"/>
    <w:rsid w:val="004D03F4"/>
    <w:rsid w:val="004D03F8"/>
    <w:rsid w:val="004D2C3E"/>
    <w:rsid w:val="004D2D98"/>
    <w:rsid w:val="004D4578"/>
    <w:rsid w:val="004D5610"/>
    <w:rsid w:val="004D6E3F"/>
    <w:rsid w:val="004E2773"/>
    <w:rsid w:val="004E2FA4"/>
    <w:rsid w:val="004E4363"/>
    <w:rsid w:val="004E51E5"/>
    <w:rsid w:val="004F21A8"/>
    <w:rsid w:val="004F2CE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61FC"/>
    <w:rsid w:val="0057144F"/>
    <w:rsid w:val="00573C5E"/>
    <w:rsid w:val="00574525"/>
    <w:rsid w:val="00574B09"/>
    <w:rsid w:val="00575B8B"/>
    <w:rsid w:val="00580764"/>
    <w:rsid w:val="0058159D"/>
    <w:rsid w:val="00584216"/>
    <w:rsid w:val="00591654"/>
    <w:rsid w:val="00593441"/>
    <w:rsid w:val="00594A3A"/>
    <w:rsid w:val="0059576C"/>
    <w:rsid w:val="005A0A21"/>
    <w:rsid w:val="005A1F48"/>
    <w:rsid w:val="005A348C"/>
    <w:rsid w:val="005A6DAF"/>
    <w:rsid w:val="005A770F"/>
    <w:rsid w:val="005B7504"/>
    <w:rsid w:val="005B7623"/>
    <w:rsid w:val="005C3D2A"/>
    <w:rsid w:val="005C52C8"/>
    <w:rsid w:val="005D045C"/>
    <w:rsid w:val="005D16AC"/>
    <w:rsid w:val="005D2E98"/>
    <w:rsid w:val="005D4BBC"/>
    <w:rsid w:val="005D55EE"/>
    <w:rsid w:val="005E10C8"/>
    <w:rsid w:val="005E164C"/>
    <w:rsid w:val="005E2940"/>
    <w:rsid w:val="005E480F"/>
    <w:rsid w:val="005E4B73"/>
    <w:rsid w:val="005E528E"/>
    <w:rsid w:val="005F3B3A"/>
    <w:rsid w:val="005F563D"/>
    <w:rsid w:val="005F5715"/>
    <w:rsid w:val="005F7A08"/>
    <w:rsid w:val="00600D7B"/>
    <w:rsid w:val="00603346"/>
    <w:rsid w:val="006034CA"/>
    <w:rsid w:val="00605995"/>
    <w:rsid w:val="006069EC"/>
    <w:rsid w:val="00607080"/>
    <w:rsid w:val="0061134B"/>
    <w:rsid w:val="00612727"/>
    <w:rsid w:val="00612E7E"/>
    <w:rsid w:val="006164EA"/>
    <w:rsid w:val="00617364"/>
    <w:rsid w:val="00625B6B"/>
    <w:rsid w:val="006278FD"/>
    <w:rsid w:val="0063115F"/>
    <w:rsid w:val="00631D5F"/>
    <w:rsid w:val="0063305C"/>
    <w:rsid w:val="006372C8"/>
    <w:rsid w:val="00637A73"/>
    <w:rsid w:val="0064095F"/>
    <w:rsid w:val="006464FA"/>
    <w:rsid w:val="00646A3F"/>
    <w:rsid w:val="00646D78"/>
    <w:rsid w:val="00650E9D"/>
    <w:rsid w:val="006628F0"/>
    <w:rsid w:val="006632E2"/>
    <w:rsid w:val="0066545E"/>
    <w:rsid w:val="00665E00"/>
    <w:rsid w:val="0066753C"/>
    <w:rsid w:val="006723A9"/>
    <w:rsid w:val="00673644"/>
    <w:rsid w:val="006739E3"/>
    <w:rsid w:val="006740C1"/>
    <w:rsid w:val="006764C0"/>
    <w:rsid w:val="0067655F"/>
    <w:rsid w:val="0068082F"/>
    <w:rsid w:val="00687920"/>
    <w:rsid w:val="00693DFF"/>
    <w:rsid w:val="00695A4D"/>
    <w:rsid w:val="00696ADB"/>
    <w:rsid w:val="00697085"/>
    <w:rsid w:val="006976AE"/>
    <w:rsid w:val="006A0F3A"/>
    <w:rsid w:val="006A1817"/>
    <w:rsid w:val="006A22D3"/>
    <w:rsid w:val="006A4359"/>
    <w:rsid w:val="006A44FC"/>
    <w:rsid w:val="006B02DE"/>
    <w:rsid w:val="006B1C84"/>
    <w:rsid w:val="006B5795"/>
    <w:rsid w:val="006C04C2"/>
    <w:rsid w:val="006C5581"/>
    <w:rsid w:val="006C603C"/>
    <w:rsid w:val="006C6C4C"/>
    <w:rsid w:val="006D0351"/>
    <w:rsid w:val="006D0934"/>
    <w:rsid w:val="006D2100"/>
    <w:rsid w:val="006E5A4E"/>
    <w:rsid w:val="006E5B08"/>
    <w:rsid w:val="006E7D56"/>
    <w:rsid w:val="006F3051"/>
    <w:rsid w:val="006F3052"/>
    <w:rsid w:val="006F4D1A"/>
    <w:rsid w:val="006F5E1F"/>
    <w:rsid w:val="007003C2"/>
    <w:rsid w:val="00702FF3"/>
    <w:rsid w:val="007049CA"/>
    <w:rsid w:val="007055CF"/>
    <w:rsid w:val="00713796"/>
    <w:rsid w:val="00715E45"/>
    <w:rsid w:val="00717AF3"/>
    <w:rsid w:val="007215B5"/>
    <w:rsid w:val="00721CA1"/>
    <w:rsid w:val="00721ED1"/>
    <w:rsid w:val="00723F8A"/>
    <w:rsid w:val="0072530A"/>
    <w:rsid w:val="00726F46"/>
    <w:rsid w:val="007320C2"/>
    <w:rsid w:val="00732910"/>
    <w:rsid w:val="00735EC2"/>
    <w:rsid w:val="00741AD2"/>
    <w:rsid w:val="007440FD"/>
    <w:rsid w:val="00750313"/>
    <w:rsid w:val="00751D29"/>
    <w:rsid w:val="00754102"/>
    <w:rsid w:val="00754465"/>
    <w:rsid w:val="00754A58"/>
    <w:rsid w:val="00756168"/>
    <w:rsid w:val="00756A64"/>
    <w:rsid w:val="00756FD2"/>
    <w:rsid w:val="00760E6D"/>
    <w:rsid w:val="007623EB"/>
    <w:rsid w:val="00762CA2"/>
    <w:rsid w:val="007651F4"/>
    <w:rsid w:val="0076624C"/>
    <w:rsid w:val="0076789A"/>
    <w:rsid w:val="00770CE1"/>
    <w:rsid w:val="00771B1B"/>
    <w:rsid w:val="00771FF4"/>
    <w:rsid w:val="00772169"/>
    <w:rsid w:val="00773612"/>
    <w:rsid w:val="007736FA"/>
    <w:rsid w:val="00774813"/>
    <w:rsid w:val="0077697B"/>
    <w:rsid w:val="00781069"/>
    <w:rsid w:val="00781884"/>
    <w:rsid w:val="007824F6"/>
    <w:rsid w:val="0078300C"/>
    <w:rsid w:val="0078547B"/>
    <w:rsid w:val="00785707"/>
    <w:rsid w:val="00786022"/>
    <w:rsid w:val="00794F21"/>
    <w:rsid w:val="007A0E05"/>
    <w:rsid w:val="007A0F76"/>
    <w:rsid w:val="007A1FBB"/>
    <w:rsid w:val="007A2E6F"/>
    <w:rsid w:val="007A3E70"/>
    <w:rsid w:val="007A792C"/>
    <w:rsid w:val="007A7CC8"/>
    <w:rsid w:val="007B3250"/>
    <w:rsid w:val="007B5B90"/>
    <w:rsid w:val="007C0AD5"/>
    <w:rsid w:val="007C0D06"/>
    <w:rsid w:val="007C3E74"/>
    <w:rsid w:val="007C5287"/>
    <w:rsid w:val="007C57FF"/>
    <w:rsid w:val="007D0B5A"/>
    <w:rsid w:val="007D0FCD"/>
    <w:rsid w:val="007D1478"/>
    <w:rsid w:val="007D3797"/>
    <w:rsid w:val="007D46B6"/>
    <w:rsid w:val="007D5D2B"/>
    <w:rsid w:val="007D5EC0"/>
    <w:rsid w:val="007D7A78"/>
    <w:rsid w:val="007E418A"/>
    <w:rsid w:val="007E41C6"/>
    <w:rsid w:val="007E4D05"/>
    <w:rsid w:val="007F065C"/>
    <w:rsid w:val="007F370F"/>
    <w:rsid w:val="007F7591"/>
    <w:rsid w:val="00801B0F"/>
    <w:rsid w:val="00804D92"/>
    <w:rsid w:val="00812633"/>
    <w:rsid w:val="008127A1"/>
    <w:rsid w:val="00812CDE"/>
    <w:rsid w:val="0081525D"/>
    <w:rsid w:val="00816031"/>
    <w:rsid w:val="00816170"/>
    <w:rsid w:val="00817F50"/>
    <w:rsid w:val="008201F0"/>
    <w:rsid w:val="00820491"/>
    <w:rsid w:val="00822C8B"/>
    <w:rsid w:val="00824D7A"/>
    <w:rsid w:val="00826A4E"/>
    <w:rsid w:val="00826F98"/>
    <w:rsid w:val="0082747B"/>
    <w:rsid w:val="00830B1F"/>
    <w:rsid w:val="00830F36"/>
    <w:rsid w:val="00832A28"/>
    <w:rsid w:val="00835925"/>
    <w:rsid w:val="008373B9"/>
    <w:rsid w:val="0084027F"/>
    <w:rsid w:val="0084226A"/>
    <w:rsid w:val="00844C6A"/>
    <w:rsid w:val="00845B2E"/>
    <w:rsid w:val="008467D1"/>
    <w:rsid w:val="00846B02"/>
    <w:rsid w:val="0085052A"/>
    <w:rsid w:val="008505D1"/>
    <w:rsid w:val="00851D97"/>
    <w:rsid w:val="00851ED3"/>
    <w:rsid w:val="00853369"/>
    <w:rsid w:val="00860CC8"/>
    <w:rsid w:val="008631E9"/>
    <w:rsid w:val="00864002"/>
    <w:rsid w:val="00864B30"/>
    <w:rsid w:val="0086552B"/>
    <w:rsid w:val="008667D3"/>
    <w:rsid w:val="0087112A"/>
    <w:rsid w:val="00872478"/>
    <w:rsid w:val="00876D94"/>
    <w:rsid w:val="00877DB0"/>
    <w:rsid w:val="0088264A"/>
    <w:rsid w:val="00886FAD"/>
    <w:rsid w:val="0089088E"/>
    <w:rsid w:val="00890939"/>
    <w:rsid w:val="00894696"/>
    <w:rsid w:val="00896C77"/>
    <w:rsid w:val="0089741C"/>
    <w:rsid w:val="008A582D"/>
    <w:rsid w:val="008B4114"/>
    <w:rsid w:val="008B4958"/>
    <w:rsid w:val="008B4A4A"/>
    <w:rsid w:val="008B70FC"/>
    <w:rsid w:val="008B7D63"/>
    <w:rsid w:val="008C31BC"/>
    <w:rsid w:val="008C330B"/>
    <w:rsid w:val="008C337A"/>
    <w:rsid w:val="008C4401"/>
    <w:rsid w:val="008D016B"/>
    <w:rsid w:val="008D22D3"/>
    <w:rsid w:val="008D2DEA"/>
    <w:rsid w:val="008D2EC3"/>
    <w:rsid w:val="008D49ED"/>
    <w:rsid w:val="008D4D40"/>
    <w:rsid w:val="008D6E6F"/>
    <w:rsid w:val="008E196B"/>
    <w:rsid w:val="008E2412"/>
    <w:rsid w:val="008E4E2A"/>
    <w:rsid w:val="008E64FD"/>
    <w:rsid w:val="008E72EE"/>
    <w:rsid w:val="008E736E"/>
    <w:rsid w:val="008F0CC3"/>
    <w:rsid w:val="008F184F"/>
    <w:rsid w:val="008F2C46"/>
    <w:rsid w:val="008F4902"/>
    <w:rsid w:val="008F5C51"/>
    <w:rsid w:val="0090042C"/>
    <w:rsid w:val="0090046A"/>
    <w:rsid w:val="00907738"/>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FF6"/>
    <w:rsid w:val="009444C0"/>
    <w:rsid w:val="00950A29"/>
    <w:rsid w:val="0095156E"/>
    <w:rsid w:val="00953B32"/>
    <w:rsid w:val="009569D2"/>
    <w:rsid w:val="00962FF7"/>
    <w:rsid w:val="00971168"/>
    <w:rsid w:val="009755E9"/>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242E"/>
    <w:rsid w:val="009A755D"/>
    <w:rsid w:val="009B525B"/>
    <w:rsid w:val="009B6AF2"/>
    <w:rsid w:val="009B6B8F"/>
    <w:rsid w:val="009C00D2"/>
    <w:rsid w:val="009C2FBB"/>
    <w:rsid w:val="009C4D4E"/>
    <w:rsid w:val="009C623A"/>
    <w:rsid w:val="009D0D17"/>
    <w:rsid w:val="009D268D"/>
    <w:rsid w:val="009D274C"/>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A0182F"/>
    <w:rsid w:val="00A056AA"/>
    <w:rsid w:val="00A05B23"/>
    <w:rsid w:val="00A07550"/>
    <w:rsid w:val="00A1377F"/>
    <w:rsid w:val="00A13AD5"/>
    <w:rsid w:val="00A20CEF"/>
    <w:rsid w:val="00A216A2"/>
    <w:rsid w:val="00A21F2B"/>
    <w:rsid w:val="00A2287F"/>
    <w:rsid w:val="00A2603E"/>
    <w:rsid w:val="00A26614"/>
    <w:rsid w:val="00A30CC2"/>
    <w:rsid w:val="00A33A9D"/>
    <w:rsid w:val="00A345DF"/>
    <w:rsid w:val="00A35A71"/>
    <w:rsid w:val="00A40AC6"/>
    <w:rsid w:val="00A40CF1"/>
    <w:rsid w:val="00A411B1"/>
    <w:rsid w:val="00A417FA"/>
    <w:rsid w:val="00A421E6"/>
    <w:rsid w:val="00A42358"/>
    <w:rsid w:val="00A4700D"/>
    <w:rsid w:val="00A47822"/>
    <w:rsid w:val="00A51B91"/>
    <w:rsid w:val="00A52487"/>
    <w:rsid w:val="00A55EDE"/>
    <w:rsid w:val="00A61E50"/>
    <w:rsid w:val="00A63FD7"/>
    <w:rsid w:val="00A640DB"/>
    <w:rsid w:val="00A641E1"/>
    <w:rsid w:val="00A647C5"/>
    <w:rsid w:val="00A65967"/>
    <w:rsid w:val="00A659DF"/>
    <w:rsid w:val="00A661F5"/>
    <w:rsid w:val="00A72A0D"/>
    <w:rsid w:val="00A73939"/>
    <w:rsid w:val="00A73F2C"/>
    <w:rsid w:val="00A740C7"/>
    <w:rsid w:val="00A82545"/>
    <w:rsid w:val="00A8597C"/>
    <w:rsid w:val="00A878DA"/>
    <w:rsid w:val="00A91F87"/>
    <w:rsid w:val="00A951E8"/>
    <w:rsid w:val="00AA0CD4"/>
    <w:rsid w:val="00AA429E"/>
    <w:rsid w:val="00AA5838"/>
    <w:rsid w:val="00AB10F3"/>
    <w:rsid w:val="00AB171A"/>
    <w:rsid w:val="00AB2E58"/>
    <w:rsid w:val="00AB3BC4"/>
    <w:rsid w:val="00AB48C0"/>
    <w:rsid w:val="00AB6A8E"/>
    <w:rsid w:val="00AC4D43"/>
    <w:rsid w:val="00AC5875"/>
    <w:rsid w:val="00AC5F0E"/>
    <w:rsid w:val="00AC60FC"/>
    <w:rsid w:val="00AC6449"/>
    <w:rsid w:val="00AC74AE"/>
    <w:rsid w:val="00AD119A"/>
    <w:rsid w:val="00AD1363"/>
    <w:rsid w:val="00AD27CA"/>
    <w:rsid w:val="00AE2936"/>
    <w:rsid w:val="00AE41EC"/>
    <w:rsid w:val="00AF1C2D"/>
    <w:rsid w:val="00AF62C3"/>
    <w:rsid w:val="00AF708A"/>
    <w:rsid w:val="00AF790C"/>
    <w:rsid w:val="00B012AB"/>
    <w:rsid w:val="00B039BE"/>
    <w:rsid w:val="00B0732A"/>
    <w:rsid w:val="00B10229"/>
    <w:rsid w:val="00B11C8C"/>
    <w:rsid w:val="00B1254D"/>
    <w:rsid w:val="00B15505"/>
    <w:rsid w:val="00B1669B"/>
    <w:rsid w:val="00B16F5A"/>
    <w:rsid w:val="00B22FDF"/>
    <w:rsid w:val="00B235D7"/>
    <w:rsid w:val="00B24160"/>
    <w:rsid w:val="00B2640B"/>
    <w:rsid w:val="00B30BE2"/>
    <w:rsid w:val="00B318D7"/>
    <w:rsid w:val="00B31B0D"/>
    <w:rsid w:val="00B3439F"/>
    <w:rsid w:val="00B3574D"/>
    <w:rsid w:val="00B36888"/>
    <w:rsid w:val="00B36E4A"/>
    <w:rsid w:val="00B37B25"/>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5446"/>
    <w:rsid w:val="00B7014D"/>
    <w:rsid w:val="00B8089B"/>
    <w:rsid w:val="00B82363"/>
    <w:rsid w:val="00B83096"/>
    <w:rsid w:val="00B85CFC"/>
    <w:rsid w:val="00B90831"/>
    <w:rsid w:val="00B90B0E"/>
    <w:rsid w:val="00B90F1E"/>
    <w:rsid w:val="00B94B86"/>
    <w:rsid w:val="00BA4D01"/>
    <w:rsid w:val="00BA67E2"/>
    <w:rsid w:val="00BA779B"/>
    <w:rsid w:val="00BB0744"/>
    <w:rsid w:val="00BB1E90"/>
    <w:rsid w:val="00BB71DF"/>
    <w:rsid w:val="00BB74A1"/>
    <w:rsid w:val="00BC7BC7"/>
    <w:rsid w:val="00BD4074"/>
    <w:rsid w:val="00BD4B32"/>
    <w:rsid w:val="00BE0021"/>
    <w:rsid w:val="00BE1452"/>
    <w:rsid w:val="00BE4CF8"/>
    <w:rsid w:val="00BF55F8"/>
    <w:rsid w:val="00C100C2"/>
    <w:rsid w:val="00C14C14"/>
    <w:rsid w:val="00C14C3E"/>
    <w:rsid w:val="00C14D9A"/>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717C8"/>
    <w:rsid w:val="00C726E0"/>
    <w:rsid w:val="00C72AA9"/>
    <w:rsid w:val="00C73B5D"/>
    <w:rsid w:val="00C77890"/>
    <w:rsid w:val="00C80B38"/>
    <w:rsid w:val="00C81E99"/>
    <w:rsid w:val="00C872AA"/>
    <w:rsid w:val="00C90F4C"/>
    <w:rsid w:val="00C915F6"/>
    <w:rsid w:val="00C92B5A"/>
    <w:rsid w:val="00C945A4"/>
    <w:rsid w:val="00C975BD"/>
    <w:rsid w:val="00CA2B9B"/>
    <w:rsid w:val="00CA32A2"/>
    <w:rsid w:val="00CA3D4B"/>
    <w:rsid w:val="00CA4619"/>
    <w:rsid w:val="00CA5002"/>
    <w:rsid w:val="00CA55FB"/>
    <w:rsid w:val="00CA6433"/>
    <w:rsid w:val="00CA7428"/>
    <w:rsid w:val="00CA7D85"/>
    <w:rsid w:val="00CC071F"/>
    <w:rsid w:val="00CC3CE8"/>
    <w:rsid w:val="00CC47E5"/>
    <w:rsid w:val="00CC572E"/>
    <w:rsid w:val="00CC7067"/>
    <w:rsid w:val="00CC7545"/>
    <w:rsid w:val="00CC7C20"/>
    <w:rsid w:val="00CD0D87"/>
    <w:rsid w:val="00CD198F"/>
    <w:rsid w:val="00CD6F56"/>
    <w:rsid w:val="00CD75C4"/>
    <w:rsid w:val="00CE5F07"/>
    <w:rsid w:val="00CE6567"/>
    <w:rsid w:val="00CE7B0E"/>
    <w:rsid w:val="00CF081B"/>
    <w:rsid w:val="00CF40C6"/>
    <w:rsid w:val="00CF6F47"/>
    <w:rsid w:val="00D00003"/>
    <w:rsid w:val="00D004E1"/>
    <w:rsid w:val="00D01420"/>
    <w:rsid w:val="00D03234"/>
    <w:rsid w:val="00D03C3C"/>
    <w:rsid w:val="00D070DD"/>
    <w:rsid w:val="00D07666"/>
    <w:rsid w:val="00D10342"/>
    <w:rsid w:val="00D15E81"/>
    <w:rsid w:val="00D22343"/>
    <w:rsid w:val="00D23BC7"/>
    <w:rsid w:val="00D26A91"/>
    <w:rsid w:val="00D3008C"/>
    <w:rsid w:val="00D30C37"/>
    <w:rsid w:val="00D34ABF"/>
    <w:rsid w:val="00D34D4D"/>
    <w:rsid w:val="00D41241"/>
    <w:rsid w:val="00D542DE"/>
    <w:rsid w:val="00D5751A"/>
    <w:rsid w:val="00D62F6C"/>
    <w:rsid w:val="00D63BB6"/>
    <w:rsid w:val="00D63D98"/>
    <w:rsid w:val="00D64010"/>
    <w:rsid w:val="00D67DBA"/>
    <w:rsid w:val="00D67EFC"/>
    <w:rsid w:val="00D7020F"/>
    <w:rsid w:val="00D7079B"/>
    <w:rsid w:val="00D708DC"/>
    <w:rsid w:val="00D72ED1"/>
    <w:rsid w:val="00D73536"/>
    <w:rsid w:val="00D7404F"/>
    <w:rsid w:val="00D74E5D"/>
    <w:rsid w:val="00D7647F"/>
    <w:rsid w:val="00D76B7B"/>
    <w:rsid w:val="00D76C9E"/>
    <w:rsid w:val="00D83742"/>
    <w:rsid w:val="00D8564F"/>
    <w:rsid w:val="00D8683D"/>
    <w:rsid w:val="00D90672"/>
    <w:rsid w:val="00D91D3E"/>
    <w:rsid w:val="00D94D51"/>
    <w:rsid w:val="00D95ADF"/>
    <w:rsid w:val="00D97AFF"/>
    <w:rsid w:val="00DA36B3"/>
    <w:rsid w:val="00DA650D"/>
    <w:rsid w:val="00DA6862"/>
    <w:rsid w:val="00DA68A3"/>
    <w:rsid w:val="00DA74E7"/>
    <w:rsid w:val="00DB0661"/>
    <w:rsid w:val="00DB2328"/>
    <w:rsid w:val="00DC1659"/>
    <w:rsid w:val="00DC1B91"/>
    <w:rsid w:val="00DC277B"/>
    <w:rsid w:val="00DC29D9"/>
    <w:rsid w:val="00DC3B52"/>
    <w:rsid w:val="00DC59BF"/>
    <w:rsid w:val="00DC6383"/>
    <w:rsid w:val="00DD0006"/>
    <w:rsid w:val="00DD0DE9"/>
    <w:rsid w:val="00DD1E90"/>
    <w:rsid w:val="00DE19D5"/>
    <w:rsid w:val="00DE3714"/>
    <w:rsid w:val="00DE3AEA"/>
    <w:rsid w:val="00DE521E"/>
    <w:rsid w:val="00DF2BA7"/>
    <w:rsid w:val="00DF40EE"/>
    <w:rsid w:val="00DF5754"/>
    <w:rsid w:val="00E00A80"/>
    <w:rsid w:val="00E00C16"/>
    <w:rsid w:val="00E01238"/>
    <w:rsid w:val="00E019BC"/>
    <w:rsid w:val="00E044D7"/>
    <w:rsid w:val="00E04E47"/>
    <w:rsid w:val="00E07652"/>
    <w:rsid w:val="00E07759"/>
    <w:rsid w:val="00E101A8"/>
    <w:rsid w:val="00E10A6E"/>
    <w:rsid w:val="00E126E3"/>
    <w:rsid w:val="00E128A6"/>
    <w:rsid w:val="00E14C12"/>
    <w:rsid w:val="00E15E25"/>
    <w:rsid w:val="00E17E66"/>
    <w:rsid w:val="00E21EB5"/>
    <w:rsid w:val="00E21EEA"/>
    <w:rsid w:val="00E23568"/>
    <w:rsid w:val="00E24C44"/>
    <w:rsid w:val="00E2521E"/>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5264"/>
    <w:rsid w:val="00E662D1"/>
    <w:rsid w:val="00E7053A"/>
    <w:rsid w:val="00E71274"/>
    <w:rsid w:val="00E7165D"/>
    <w:rsid w:val="00E732B9"/>
    <w:rsid w:val="00E762F1"/>
    <w:rsid w:val="00E8069F"/>
    <w:rsid w:val="00E806D7"/>
    <w:rsid w:val="00E80744"/>
    <w:rsid w:val="00E811FD"/>
    <w:rsid w:val="00E821C5"/>
    <w:rsid w:val="00E854AE"/>
    <w:rsid w:val="00E877FB"/>
    <w:rsid w:val="00E8784B"/>
    <w:rsid w:val="00E87EA9"/>
    <w:rsid w:val="00E922B0"/>
    <w:rsid w:val="00E92779"/>
    <w:rsid w:val="00EA0C87"/>
    <w:rsid w:val="00EB5ABE"/>
    <w:rsid w:val="00EB6E4F"/>
    <w:rsid w:val="00EC2EB8"/>
    <w:rsid w:val="00EC688F"/>
    <w:rsid w:val="00EC70BA"/>
    <w:rsid w:val="00EC7873"/>
    <w:rsid w:val="00EC7A83"/>
    <w:rsid w:val="00ED1D3C"/>
    <w:rsid w:val="00ED25AB"/>
    <w:rsid w:val="00ED2B47"/>
    <w:rsid w:val="00ED56E6"/>
    <w:rsid w:val="00ED60B0"/>
    <w:rsid w:val="00ED7C0D"/>
    <w:rsid w:val="00EE08C7"/>
    <w:rsid w:val="00EE1CAF"/>
    <w:rsid w:val="00EE4D9D"/>
    <w:rsid w:val="00EE5B75"/>
    <w:rsid w:val="00EE7FA2"/>
    <w:rsid w:val="00EF1E3F"/>
    <w:rsid w:val="00EF205B"/>
    <w:rsid w:val="00EF39B4"/>
    <w:rsid w:val="00EF61F3"/>
    <w:rsid w:val="00EF6382"/>
    <w:rsid w:val="00EF709C"/>
    <w:rsid w:val="00EF72A2"/>
    <w:rsid w:val="00F001F2"/>
    <w:rsid w:val="00F05DB1"/>
    <w:rsid w:val="00F06214"/>
    <w:rsid w:val="00F079E3"/>
    <w:rsid w:val="00F10F99"/>
    <w:rsid w:val="00F137EC"/>
    <w:rsid w:val="00F147BD"/>
    <w:rsid w:val="00F15A79"/>
    <w:rsid w:val="00F1631F"/>
    <w:rsid w:val="00F23C0D"/>
    <w:rsid w:val="00F32745"/>
    <w:rsid w:val="00F3365A"/>
    <w:rsid w:val="00F405EC"/>
    <w:rsid w:val="00F42E64"/>
    <w:rsid w:val="00F513F0"/>
    <w:rsid w:val="00F52A95"/>
    <w:rsid w:val="00F5446A"/>
    <w:rsid w:val="00F56134"/>
    <w:rsid w:val="00F57AD0"/>
    <w:rsid w:val="00F6132D"/>
    <w:rsid w:val="00F631EB"/>
    <w:rsid w:val="00F65372"/>
    <w:rsid w:val="00F65AA3"/>
    <w:rsid w:val="00F67E36"/>
    <w:rsid w:val="00F701AC"/>
    <w:rsid w:val="00F7406A"/>
    <w:rsid w:val="00F74117"/>
    <w:rsid w:val="00F77245"/>
    <w:rsid w:val="00F80A54"/>
    <w:rsid w:val="00F81821"/>
    <w:rsid w:val="00F834E7"/>
    <w:rsid w:val="00F86804"/>
    <w:rsid w:val="00F93CBD"/>
    <w:rsid w:val="00F95079"/>
    <w:rsid w:val="00F95E43"/>
    <w:rsid w:val="00F9714C"/>
    <w:rsid w:val="00FA0F15"/>
    <w:rsid w:val="00FA1085"/>
    <w:rsid w:val="00FA6FE4"/>
    <w:rsid w:val="00FA7BC8"/>
    <w:rsid w:val="00FA7F31"/>
    <w:rsid w:val="00FB1B1C"/>
    <w:rsid w:val="00FB2121"/>
    <w:rsid w:val="00FB2D0A"/>
    <w:rsid w:val="00FB41A6"/>
    <w:rsid w:val="00FB484E"/>
    <w:rsid w:val="00FB6C0A"/>
    <w:rsid w:val="00FB712A"/>
    <w:rsid w:val="00FB7572"/>
    <w:rsid w:val="00FB7683"/>
    <w:rsid w:val="00FC1C12"/>
    <w:rsid w:val="00FC5503"/>
    <w:rsid w:val="00FC6BD7"/>
    <w:rsid w:val="00FD232E"/>
    <w:rsid w:val="00FD323F"/>
    <w:rsid w:val="00FD5015"/>
    <w:rsid w:val="00FD78C3"/>
    <w:rsid w:val="00FE3387"/>
    <w:rsid w:val="00FE3F1E"/>
    <w:rsid w:val="00FE4CAF"/>
    <w:rsid w:val="00FE7385"/>
    <w:rsid w:val="00FF2784"/>
    <w:rsid w:val="00FF77A3"/>
    <w:rsid w:val="01045A7A"/>
    <w:rsid w:val="021523FF"/>
    <w:rsid w:val="02BC8CDB"/>
    <w:rsid w:val="039C3881"/>
    <w:rsid w:val="05933061"/>
    <w:rsid w:val="05D40ED5"/>
    <w:rsid w:val="07E699FE"/>
    <w:rsid w:val="07FFE53C"/>
    <w:rsid w:val="082800FE"/>
    <w:rsid w:val="086DD7AA"/>
    <w:rsid w:val="08731094"/>
    <w:rsid w:val="095C6168"/>
    <w:rsid w:val="0B046FAD"/>
    <w:rsid w:val="0B633214"/>
    <w:rsid w:val="0C1F5348"/>
    <w:rsid w:val="0C7B3545"/>
    <w:rsid w:val="0C7F09B3"/>
    <w:rsid w:val="0E62092E"/>
    <w:rsid w:val="0F9B5DD6"/>
    <w:rsid w:val="109062FE"/>
    <w:rsid w:val="10A250CD"/>
    <w:rsid w:val="1237E4C9"/>
    <w:rsid w:val="1281F7A2"/>
    <w:rsid w:val="12E2B9E2"/>
    <w:rsid w:val="12ED0EC0"/>
    <w:rsid w:val="12F44800"/>
    <w:rsid w:val="1344744A"/>
    <w:rsid w:val="14CB2281"/>
    <w:rsid w:val="14EB1EA6"/>
    <w:rsid w:val="164F90F4"/>
    <w:rsid w:val="16F7C21B"/>
    <w:rsid w:val="1729ACC8"/>
    <w:rsid w:val="17791834"/>
    <w:rsid w:val="17E0804B"/>
    <w:rsid w:val="18271437"/>
    <w:rsid w:val="183575C5"/>
    <w:rsid w:val="192F08FF"/>
    <w:rsid w:val="19E217B5"/>
    <w:rsid w:val="1C65CE61"/>
    <w:rsid w:val="1C6788C1"/>
    <w:rsid w:val="1E2AF48D"/>
    <w:rsid w:val="1E380FD6"/>
    <w:rsid w:val="1E7F1ED3"/>
    <w:rsid w:val="1EEF4CAA"/>
    <w:rsid w:val="1F7367C2"/>
    <w:rsid w:val="1F850629"/>
    <w:rsid w:val="1F92D502"/>
    <w:rsid w:val="20C060CE"/>
    <w:rsid w:val="211B24A0"/>
    <w:rsid w:val="225D3EDB"/>
    <w:rsid w:val="23715EEE"/>
    <w:rsid w:val="23F9AEE7"/>
    <w:rsid w:val="2409F197"/>
    <w:rsid w:val="245D0E71"/>
    <w:rsid w:val="24D9617E"/>
    <w:rsid w:val="257FCAA2"/>
    <w:rsid w:val="265310B0"/>
    <w:rsid w:val="2685F628"/>
    <w:rsid w:val="27470AF1"/>
    <w:rsid w:val="298156E0"/>
    <w:rsid w:val="29E07EDE"/>
    <w:rsid w:val="29EC617A"/>
    <w:rsid w:val="2AA758BB"/>
    <w:rsid w:val="2ADC0D9D"/>
    <w:rsid w:val="2AF056E4"/>
    <w:rsid w:val="2AF21248"/>
    <w:rsid w:val="2B9E2E03"/>
    <w:rsid w:val="2BB00DAD"/>
    <w:rsid w:val="2BC0ACD6"/>
    <w:rsid w:val="2BFD77D7"/>
    <w:rsid w:val="2C281031"/>
    <w:rsid w:val="2CF27645"/>
    <w:rsid w:val="2D5A48F2"/>
    <w:rsid w:val="2D9F6470"/>
    <w:rsid w:val="2DEA83BE"/>
    <w:rsid w:val="2E8C60BE"/>
    <w:rsid w:val="2EE85D71"/>
    <w:rsid w:val="2EF7B50A"/>
    <w:rsid w:val="2F205A78"/>
    <w:rsid w:val="2F39DB05"/>
    <w:rsid w:val="30091595"/>
    <w:rsid w:val="30E8C1B8"/>
    <w:rsid w:val="30ED7D7D"/>
    <w:rsid w:val="314868B7"/>
    <w:rsid w:val="316C19ED"/>
    <w:rsid w:val="31C718B5"/>
    <w:rsid w:val="320F58C3"/>
    <w:rsid w:val="33251230"/>
    <w:rsid w:val="33302643"/>
    <w:rsid w:val="34457B5C"/>
    <w:rsid w:val="346607F2"/>
    <w:rsid w:val="34A24979"/>
    <w:rsid w:val="34E27631"/>
    <w:rsid w:val="34F8525C"/>
    <w:rsid w:val="352D7832"/>
    <w:rsid w:val="3548FDEB"/>
    <w:rsid w:val="357A6FBF"/>
    <w:rsid w:val="357FD824"/>
    <w:rsid w:val="363CF5F4"/>
    <w:rsid w:val="36547D2E"/>
    <w:rsid w:val="366C07F6"/>
    <w:rsid w:val="366D7E3A"/>
    <w:rsid w:val="370237FC"/>
    <w:rsid w:val="3753C52B"/>
    <w:rsid w:val="37E1B070"/>
    <w:rsid w:val="37F509A7"/>
    <w:rsid w:val="37FE06C5"/>
    <w:rsid w:val="382D6C73"/>
    <w:rsid w:val="384A33D4"/>
    <w:rsid w:val="3878573E"/>
    <w:rsid w:val="39C077D6"/>
    <w:rsid w:val="3ABFCEC7"/>
    <w:rsid w:val="3AFB3611"/>
    <w:rsid w:val="3B426235"/>
    <w:rsid w:val="3BD852CD"/>
    <w:rsid w:val="3CFD4EC8"/>
    <w:rsid w:val="3D163AC2"/>
    <w:rsid w:val="3DE7B69D"/>
    <w:rsid w:val="3E58800E"/>
    <w:rsid w:val="3EE6368E"/>
    <w:rsid w:val="3F7F96F6"/>
    <w:rsid w:val="3FEF4F03"/>
    <w:rsid w:val="41940632"/>
    <w:rsid w:val="41AA225B"/>
    <w:rsid w:val="41DD3383"/>
    <w:rsid w:val="42922884"/>
    <w:rsid w:val="4306688E"/>
    <w:rsid w:val="438B8207"/>
    <w:rsid w:val="444EBE05"/>
    <w:rsid w:val="4486BA87"/>
    <w:rsid w:val="44DFCA82"/>
    <w:rsid w:val="45827D8E"/>
    <w:rsid w:val="45C54AB8"/>
    <w:rsid w:val="45FB396E"/>
    <w:rsid w:val="46B7BED3"/>
    <w:rsid w:val="47FDC78F"/>
    <w:rsid w:val="48947EFF"/>
    <w:rsid w:val="48B00C96"/>
    <w:rsid w:val="48DAC58F"/>
    <w:rsid w:val="493116BD"/>
    <w:rsid w:val="4976C342"/>
    <w:rsid w:val="49A96FA5"/>
    <w:rsid w:val="49AC71D5"/>
    <w:rsid w:val="4A031279"/>
    <w:rsid w:val="4B573171"/>
    <w:rsid w:val="4D561255"/>
    <w:rsid w:val="4D5FEEC7"/>
    <w:rsid w:val="4DB873AF"/>
    <w:rsid w:val="4E6A226E"/>
    <w:rsid w:val="4ECA0DDF"/>
    <w:rsid w:val="4ED05EC4"/>
    <w:rsid w:val="4F3411DF"/>
    <w:rsid w:val="4FB6792B"/>
    <w:rsid w:val="4FD2582B"/>
    <w:rsid w:val="5087393A"/>
    <w:rsid w:val="50DF50E8"/>
    <w:rsid w:val="512C8F91"/>
    <w:rsid w:val="51CE4983"/>
    <w:rsid w:val="5292046C"/>
    <w:rsid w:val="52C2463E"/>
    <w:rsid w:val="53D51868"/>
    <w:rsid w:val="5491520A"/>
    <w:rsid w:val="54A550C6"/>
    <w:rsid w:val="54B06A29"/>
    <w:rsid w:val="555BEB9B"/>
    <w:rsid w:val="55767C18"/>
    <w:rsid w:val="559414C1"/>
    <w:rsid w:val="56D41F2A"/>
    <w:rsid w:val="57155349"/>
    <w:rsid w:val="571D54B6"/>
    <w:rsid w:val="57C92B65"/>
    <w:rsid w:val="57D68B69"/>
    <w:rsid w:val="5930B484"/>
    <w:rsid w:val="594164A6"/>
    <w:rsid w:val="59986711"/>
    <w:rsid w:val="59B930EB"/>
    <w:rsid w:val="59C8F919"/>
    <w:rsid w:val="59F643B5"/>
    <w:rsid w:val="5A364359"/>
    <w:rsid w:val="5B94D002"/>
    <w:rsid w:val="5BB82434"/>
    <w:rsid w:val="5C18C663"/>
    <w:rsid w:val="5C25B6DB"/>
    <w:rsid w:val="5C8012AF"/>
    <w:rsid w:val="5CADDDB2"/>
    <w:rsid w:val="5D692707"/>
    <w:rsid w:val="5D8E729F"/>
    <w:rsid w:val="5DBC2DC2"/>
    <w:rsid w:val="5E7636F8"/>
    <w:rsid w:val="5E820A90"/>
    <w:rsid w:val="5EEE0395"/>
    <w:rsid w:val="5EF8BC2D"/>
    <w:rsid w:val="5EFE58E8"/>
    <w:rsid w:val="5F51B03E"/>
    <w:rsid w:val="5F8D6E7E"/>
    <w:rsid w:val="5FEC89AE"/>
    <w:rsid w:val="5FF7E754"/>
    <w:rsid w:val="608A01B5"/>
    <w:rsid w:val="60BD799E"/>
    <w:rsid w:val="616D85D4"/>
    <w:rsid w:val="61935D7C"/>
    <w:rsid w:val="61D1EC89"/>
    <w:rsid w:val="61EB5B31"/>
    <w:rsid w:val="62257DC7"/>
    <w:rsid w:val="62DD4C7C"/>
    <w:rsid w:val="63F74610"/>
    <w:rsid w:val="641251A4"/>
    <w:rsid w:val="64278614"/>
    <w:rsid w:val="64F7C562"/>
    <w:rsid w:val="6519D888"/>
    <w:rsid w:val="65B86F83"/>
    <w:rsid w:val="66BE39A7"/>
    <w:rsid w:val="66FF287D"/>
    <w:rsid w:val="6719F58A"/>
    <w:rsid w:val="6788B669"/>
    <w:rsid w:val="67B436D1"/>
    <w:rsid w:val="680E3B3D"/>
    <w:rsid w:val="696B58A0"/>
    <w:rsid w:val="69991309"/>
    <w:rsid w:val="69D9BB28"/>
    <w:rsid w:val="6A61A637"/>
    <w:rsid w:val="6A7FE0E4"/>
    <w:rsid w:val="6AAEC6BE"/>
    <w:rsid w:val="6B9EC831"/>
    <w:rsid w:val="6BE33607"/>
    <w:rsid w:val="6C2B82E6"/>
    <w:rsid w:val="6CA86A07"/>
    <w:rsid w:val="6D672802"/>
    <w:rsid w:val="6D8F9A0D"/>
    <w:rsid w:val="6E7F7CA2"/>
    <w:rsid w:val="6EF0768B"/>
    <w:rsid w:val="6EF98F29"/>
    <w:rsid w:val="6EFFAAF7"/>
    <w:rsid w:val="6F370469"/>
    <w:rsid w:val="6F6861D8"/>
    <w:rsid w:val="6FB2C347"/>
    <w:rsid w:val="6FE567E8"/>
    <w:rsid w:val="7042DF02"/>
    <w:rsid w:val="7054D8D5"/>
    <w:rsid w:val="70FD0F09"/>
    <w:rsid w:val="71396FED"/>
    <w:rsid w:val="719F6A5E"/>
    <w:rsid w:val="71D8584D"/>
    <w:rsid w:val="72A8DD89"/>
    <w:rsid w:val="72F14417"/>
    <w:rsid w:val="73EB5696"/>
    <w:rsid w:val="75778E65"/>
    <w:rsid w:val="757F2D5F"/>
    <w:rsid w:val="760027EE"/>
    <w:rsid w:val="767470E8"/>
    <w:rsid w:val="76B821E8"/>
    <w:rsid w:val="76F72701"/>
    <w:rsid w:val="7755A19B"/>
    <w:rsid w:val="777645C0"/>
    <w:rsid w:val="777A0700"/>
    <w:rsid w:val="77ABD0FB"/>
    <w:rsid w:val="77D59FF9"/>
    <w:rsid w:val="77E724EF"/>
    <w:rsid w:val="77F7F754"/>
    <w:rsid w:val="78046F73"/>
    <w:rsid w:val="781E5B32"/>
    <w:rsid w:val="794A7B5B"/>
    <w:rsid w:val="79DA534C"/>
    <w:rsid w:val="7A5CECE7"/>
    <w:rsid w:val="7A867FD2"/>
    <w:rsid w:val="7B4E570C"/>
    <w:rsid w:val="7BB17F9B"/>
    <w:rsid w:val="7BB433D8"/>
    <w:rsid w:val="7BFBE4D9"/>
    <w:rsid w:val="7C26C727"/>
    <w:rsid w:val="7CA9D269"/>
    <w:rsid w:val="7CEC03EC"/>
    <w:rsid w:val="7D7D5C91"/>
    <w:rsid w:val="7DAA096E"/>
    <w:rsid w:val="7DAF7EEA"/>
    <w:rsid w:val="7DF6DBBE"/>
    <w:rsid w:val="7DFDB556"/>
    <w:rsid w:val="7E0D1116"/>
    <w:rsid w:val="7E3706D2"/>
    <w:rsid w:val="7EC0B791"/>
    <w:rsid w:val="7ECDEAE9"/>
    <w:rsid w:val="7EEC390F"/>
    <w:rsid w:val="7EF5A9B1"/>
    <w:rsid w:val="7EFFE005"/>
    <w:rsid w:val="7F45C83D"/>
    <w:rsid w:val="7F4D08BC"/>
    <w:rsid w:val="7F5727F1"/>
    <w:rsid w:val="7F7F432C"/>
    <w:rsid w:val="7F9EE560"/>
    <w:rsid w:val="7F9F4FEB"/>
    <w:rsid w:val="7FACD581"/>
    <w:rsid w:val="7FCF8547"/>
    <w:rsid w:val="7FD7BE4C"/>
    <w:rsid w:val="7FF746B3"/>
    <w:rsid w:val="7FF8FEDC"/>
    <w:rsid w:val="7FFA4142"/>
    <w:rsid w:val="7FFFB546"/>
    <w:rsid w:val="80871969"/>
    <w:rsid w:val="81953DE7"/>
    <w:rsid w:val="822F94BE"/>
    <w:rsid w:val="82370A9E"/>
    <w:rsid w:val="82475F8E"/>
    <w:rsid w:val="82D2A67E"/>
    <w:rsid w:val="8542D991"/>
    <w:rsid w:val="857BD866"/>
    <w:rsid w:val="85C32041"/>
    <w:rsid w:val="87C47642"/>
    <w:rsid w:val="88257077"/>
    <w:rsid w:val="882B41E0"/>
    <w:rsid w:val="88FE02A3"/>
    <w:rsid w:val="89FFFC05"/>
    <w:rsid w:val="8B6C1902"/>
    <w:rsid w:val="8B766DC1"/>
    <w:rsid w:val="8B8DEB05"/>
    <w:rsid w:val="8C475153"/>
    <w:rsid w:val="8CA47215"/>
    <w:rsid w:val="8EE66AAF"/>
    <w:rsid w:val="8F9D4D5B"/>
    <w:rsid w:val="911575AA"/>
    <w:rsid w:val="93789C76"/>
    <w:rsid w:val="945924C6"/>
    <w:rsid w:val="946F21D4"/>
    <w:rsid w:val="94F22356"/>
    <w:rsid w:val="9548297D"/>
    <w:rsid w:val="961F5998"/>
    <w:rsid w:val="97FCA894"/>
    <w:rsid w:val="98234A0D"/>
    <w:rsid w:val="9A5F61F2"/>
    <w:rsid w:val="9A94A63D"/>
    <w:rsid w:val="9B983FB2"/>
    <w:rsid w:val="9BA66F51"/>
    <w:rsid w:val="9BE192CD"/>
    <w:rsid w:val="9BE2C94F"/>
    <w:rsid w:val="9D55661F"/>
    <w:rsid w:val="9E6630C8"/>
    <w:rsid w:val="9F0A6538"/>
    <w:rsid w:val="A186CB98"/>
    <w:rsid w:val="A31824F2"/>
    <w:rsid w:val="A3F75A05"/>
    <w:rsid w:val="A68FA662"/>
    <w:rsid w:val="A6E49270"/>
    <w:rsid w:val="A6F74D0C"/>
    <w:rsid w:val="A727E601"/>
    <w:rsid w:val="A7347C68"/>
    <w:rsid w:val="A76EFA60"/>
    <w:rsid w:val="A88CCCEF"/>
    <w:rsid w:val="A8EB9C67"/>
    <w:rsid w:val="A9002237"/>
    <w:rsid w:val="AB52B6D6"/>
    <w:rsid w:val="AC258442"/>
    <w:rsid w:val="AC9FA715"/>
    <w:rsid w:val="AF6B2AB6"/>
    <w:rsid w:val="B0B4F1CC"/>
    <w:rsid w:val="B0E8CA7B"/>
    <w:rsid w:val="B175F5EF"/>
    <w:rsid w:val="B4C3DC65"/>
    <w:rsid w:val="B50A4513"/>
    <w:rsid w:val="B70147B9"/>
    <w:rsid w:val="B8B38B41"/>
    <w:rsid w:val="B9204658"/>
    <w:rsid w:val="B947AE98"/>
    <w:rsid w:val="B9C42AAA"/>
    <w:rsid w:val="BA02A558"/>
    <w:rsid w:val="BA26D200"/>
    <w:rsid w:val="BCC5EC16"/>
    <w:rsid w:val="BCFD0165"/>
    <w:rsid w:val="BDF8D611"/>
    <w:rsid w:val="BEEB4E49"/>
    <w:rsid w:val="BF7628D8"/>
    <w:rsid w:val="BFC7A1F1"/>
    <w:rsid w:val="C1377170"/>
    <w:rsid w:val="C1A2BFA5"/>
    <w:rsid w:val="C22BC539"/>
    <w:rsid w:val="C248255A"/>
    <w:rsid w:val="C2AB8C63"/>
    <w:rsid w:val="C2CC6E69"/>
    <w:rsid w:val="C33B7521"/>
    <w:rsid w:val="C6E56F92"/>
    <w:rsid w:val="C71C1FED"/>
    <w:rsid w:val="C74CA286"/>
    <w:rsid w:val="C763968B"/>
    <w:rsid w:val="C80AF80C"/>
    <w:rsid w:val="C816D9F7"/>
    <w:rsid w:val="C8F21D38"/>
    <w:rsid w:val="C96A608F"/>
    <w:rsid w:val="CA4A9485"/>
    <w:rsid w:val="CB1FCA14"/>
    <w:rsid w:val="CC304167"/>
    <w:rsid w:val="CE371A01"/>
    <w:rsid w:val="CEB98215"/>
    <w:rsid w:val="D17069D5"/>
    <w:rsid w:val="D218B8D5"/>
    <w:rsid w:val="D2437404"/>
    <w:rsid w:val="D3C146A7"/>
    <w:rsid w:val="D3EF664B"/>
    <w:rsid w:val="D4C73ECC"/>
    <w:rsid w:val="D5AC6205"/>
    <w:rsid w:val="D5AD57BE"/>
    <w:rsid w:val="D7DB6DA0"/>
    <w:rsid w:val="DA5BF536"/>
    <w:rsid w:val="DAC5E075"/>
    <w:rsid w:val="DB69136C"/>
    <w:rsid w:val="DBDC2BC3"/>
    <w:rsid w:val="DDB6F21A"/>
    <w:rsid w:val="DDEFA5DF"/>
    <w:rsid w:val="DE6FE1F4"/>
    <w:rsid w:val="DF6E2452"/>
    <w:rsid w:val="DF7D7325"/>
    <w:rsid w:val="DFCE6DBD"/>
    <w:rsid w:val="DFF9CC55"/>
    <w:rsid w:val="E1961B1D"/>
    <w:rsid w:val="E1A3DA69"/>
    <w:rsid w:val="E22EE866"/>
    <w:rsid w:val="E2B6DB0A"/>
    <w:rsid w:val="E3D968BA"/>
    <w:rsid w:val="E73F4BCB"/>
    <w:rsid w:val="E7AD481C"/>
    <w:rsid w:val="E7BCCE1F"/>
    <w:rsid w:val="E7DF3D32"/>
    <w:rsid w:val="E8B3D2CF"/>
    <w:rsid w:val="E8D48F38"/>
    <w:rsid w:val="E8F511C5"/>
    <w:rsid w:val="E99CC06A"/>
    <w:rsid w:val="EAFF9849"/>
    <w:rsid w:val="EBF3F71C"/>
    <w:rsid w:val="EC6D59D7"/>
    <w:rsid w:val="ED03D5F2"/>
    <w:rsid w:val="EDB5E6FB"/>
    <w:rsid w:val="EDF8B38E"/>
    <w:rsid w:val="EFBDBDF7"/>
    <w:rsid w:val="EFEF72A6"/>
    <w:rsid w:val="EFFF9FDF"/>
    <w:rsid w:val="F1244E99"/>
    <w:rsid w:val="F1307516"/>
    <w:rsid w:val="F35EDC62"/>
    <w:rsid w:val="F37D0267"/>
    <w:rsid w:val="F3ADC44E"/>
    <w:rsid w:val="F3D13C74"/>
    <w:rsid w:val="F3DAD81B"/>
    <w:rsid w:val="F44B6362"/>
    <w:rsid w:val="F4823470"/>
    <w:rsid w:val="F4EB822D"/>
    <w:rsid w:val="F656D13B"/>
    <w:rsid w:val="F676FDF5"/>
    <w:rsid w:val="F7D2FBF3"/>
    <w:rsid w:val="F7E75CD8"/>
    <w:rsid w:val="F7F627A8"/>
    <w:rsid w:val="F9D7B7B8"/>
    <w:rsid w:val="FA5CC749"/>
    <w:rsid w:val="FA9AFBD0"/>
    <w:rsid w:val="FB6EDE6D"/>
    <w:rsid w:val="FB7D9E87"/>
    <w:rsid w:val="FB9DAFA8"/>
    <w:rsid w:val="FBDA1CB1"/>
    <w:rsid w:val="FBEF7D06"/>
    <w:rsid w:val="FBF9A499"/>
    <w:rsid w:val="FC67C806"/>
    <w:rsid w:val="FC7274BB"/>
    <w:rsid w:val="FC796B9E"/>
    <w:rsid w:val="FCBBA839"/>
    <w:rsid w:val="FCC523F8"/>
    <w:rsid w:val="FDBD070C"/>
    <w:rsid w:val="FDF9D988"/>
    <w:rsid w:val="FDFD5C35"/>
    <w:rsid w:val="FDFD7C3F"/>
    <w:rsid w:val="FE5DCEF8"/>
    <w:rsid w:val="FEBE600E"/>
    <w:rsid w:val="FEDF6A80"/>
    <w:rsid w:val="FEDFC513"/>
    <w:rsid w:val="FEEE289F"/>
    <w:rsid w:val="FEEF272C"/>
    <w:rsid w:val="FEF79185"/>
    <w:rsid w:val="FF187009"/>
    <w:rsid w:val="FF7A3323"/>
    <w:rsid w:val="FFA26C1B"/>
    <w:rsid w:val="FFAED8BC"/>
    <w:rsid w:val="FFCF6EE0"/>
    <w:rsid w:val="FFE714FE"/>
    <w:rsid w:val="FFEFDA5D"/>
    <w:rsid w:val="FFF72F8D"/>
    <w:rsid w:val="FFFBD4CE"/>
    <w:rsid w:val="FFFE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uiPriority w:val="0"/>
    <w:rPr>
      <w:rFonts w:ascii="Times New Roman" w:hAnsi="Times New Roman" w:eastAsia="宋体" w:cs="Times New Roman"/>
    </w:rPr>
  </w:style>
  <w:style w:type="table" w:default="1" w:styleId="9">
    <w:name w:val="Normal Table"/>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Cs w:val="32"/>
    </w:rPr>
  </w:style>
  <w:style w:type="paragraph" w:styleId="4">
    <w:name w:val="Plain Text"/>
    <w:basedOn w:val="1"/>
    <w:uiPriority w:val="0"/>
    <w:rPr>
      <w:rFonts w:ascii="宋体" w:hAnsi="Courier New" w:eastAsia="宋体" w:cs="Courier New"/>
      <w:szCs w:val="21"/>
    </w:rPr>
  </w:style>
  <w:style w:type="paragraph" w:styleId="5">
    <w:name w:val="Date"/>
    <w:basedOn w:val="1"/>
    <w:next w:val="1"/>
    <w:uiPriority w:val="0"/>
    <w:pPr>
      <w:ind w:left="100" w:leftChars="2500"/>
    </w:pPr>
    <w:rPr>
      <w:rFonts w:eastAsia="宋体"/>
    </w:rPr>
  </w:style>
  <w:style w:type="paragraph" w:styleId="6">
    <w:name w:val="Balloon Text"/>
    <w:basedOn w:val="1"/>
    <w:qFormat/>
    <w:uiPriority w:val="0"/>
    <w:rPr>
      <w:rFonts w:eastAsia="宋体"/>
      <w:sz w:val="18"/>
      <w:szCs w:val="18"/>
    </w:rPr>
  </w:style>
  <w:style w:type="paragraph" w:styleId="7">
    <w:name w:val="footer"/>
    <w:basedOn w:val="1"/>
    <w:uiPriority w:val="0"/>
    <w:pPr>
      <w:tabs>
        <w:tab w:val="center" w:pos="4153"/>
        <w:tab w:val="right" w:pos="8306"/>
      </w:tabs>
      <w:snapToGrid w:val="0"/>
      <w:jc w:val="left"/>
    </w:pPr>
    <w:rPr>
      <w:rFonts w:eastAsia="宋体"/>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Strong"/>
    <w:qFormat/>
    <w:uiPriority w:val="0"/>
    <w:rPr>
      <w:rFonts w:ascii="Times New Roman" w:hAnsi="Times New Roman" w:eastAsia="宋体" w:cs="Times New Roman"/>
      <w:b/>
      <w:bCs/>
    </w:rPr>
  </w:style>
  <w:style w:type="character" w:styleId="12">
    <w:name w:val="page number"/>
    <w:uiPriority w:val="0"/>
    <w:rPr>
      <w:rFonts w:ascii="Times New Roman" w:hAnsi="Times New Roman" w:eastAsia="宋体" w:cs="Times New Roman"/>
    </w:rPr>
  </w:style>
  <w:style w:type="paragraph" w:customStyle="1" w:styleId="13">
    <w:name w:val="Char Char Char Char Char Char Char"/>
    <w:basedOn w:val="1"/>
    <w:uiPriority w:val="0"/>
    <w:rPr>
      <w:rFonts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Gxsti</Company>
  <Pages>14</Pages>
  <Words>823</Words>
  <Characters>4692</Characters>
  <Lines>39</Lines>
  <Paragraphs>11</Paragraphs>
  <TotalTime>1</TotalTime>
  <ScaleCrop>false</ScaleCrop>
  <LinksUpToDate>false</LinksUpToDate>
  <CharactersWithSpaces>5504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2024-03-07T08:02:00Z</dcterms:created>
  <dc:creator>Administrator</dc:creator>
  <cp:lastModifiedBy>Administrator</cp:lastModifiedBy>
  <cp:lastPrinted>2024-02-21T11:26:00Z</cp:lastPrinted>
  <dcterms:modified xsi:type="dcterms:W3CDTF">2025-04-17T02:28:44Z</dcterms:modified>
  <dc:title>广西壮族自治区财政厅2014年部门预算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f752f10c31ca4bafa473f70e5926a331</vt:lpwstr>
  </property>
</Properties>
</file>