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71D18">
      <w:pPr>
        <w:keepNext w:val="0"/>
        <w:keepLines w:val="0"/>
        <w:pageBreakBefore w:val="0"/>
        <w:widowControl w:val="0"/>
        <w:kinsoku/>
        <w:wordWrap/>
        <w:overflowPunct/>
        <w:topLinePunct w:val="0"/>
        <w:autoSpaceDE/>
        <w:autoSpaceDN/>
        <w:bidi w:val="0"/>
        <w:spacing w:line="560" w:lineRule="exact"/>
        <w:ind w:left="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2775BAB3">
      <w:pPr>
        <w:keepNext w:val="0"/>
        <w:keepLines w:val="0"/>
        <w:pageBreakBefore w:val="0"/>
        <w:widowControl w:val="0"/>
        <w:kinsoku/>
        <w:wordWrap/>
        <w:overflowPunct/>
        <w:topLinePunct w:val="0"/>
        <w:autoSpaceDE/>
        <w:autoSpaceDN/>
        <w:bidi w:val="0"/>
        <w:spacing w:line="560" w:lineRule="exact"/>
        <w:ind w:left="0"/>
        <w:rPr>
          <w:rFonts w:hint="default" w:ascii="Times New Roman" w:hAnsi="Times New Roman" w:eastAsia="黑体" w:cs="Times New Roman"/>
          <w:sz w:val="32"/>
          <w:szCs w:val="32"/>
        </w:rPr>
      </w:pPr>
    </w:p>
    <w:p w14:paraId="74D6461B">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2026年广西科技发展战略研究</w:t>
      </w:r>
    </w:p>
    <w:p w14:paraId="1AAA416C">
      <w:pPr>
        <w:keepNext w:val="0"/>
        <w:keepLines w:val="0"/>
        <w:pageBreakBefore w:val="0"/>
        <w:widowControl w:val="0"/>
        <w:kinsoku/>
        <w:wordWrap/>
        <w:overflowPunct/>
        <w:topLinePunct w:val="0"/>
        <w:autoSpaceDE/>
        <w:autoSpaceDN/>
        <w:bidi w:val="0"/>
        <w:spacing w:line="560" w:lineRule="exact"/>
        <w:ind w:lef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（广西科技智库建设）专项</w:t>
      </w:r>
      <w:r>
        <w:rPr>
          <w:rFonts w:hint="eastAsia" w:ascii="方正小标宋简体" w:hAnsi="方正小标宋简体" w:eastAsia="方正小标宋简体" w:cs="方正小标宋简体"/>
          <w:sz w:val="44"/>
          <w:szCs w:val="44"/>
          <w:lang w:eastAsia="zh-CN"/>
        </w:rPr>
        <w:t>课题</w:t>
      </w:r>
      <w:r>
        <w:rPr>
          <w:rFonts w:hint="eastAsia" w:ascii="方正小标宋简体" w:hAnsi="方正小标宋简体" w:eastAsia="方正小标宋简体" w:cs="方正小标宋简体"/>
          <w:sz w:val="44"/>
          <w:szCs w:val="44"/>
        </w:rPr>
        <w:t>申报指南</w:t>
      </w:r>
    </w:p>
    <w:p w14:paraId="291FB46A">
      <w:pPr>
        <w:pStyle w:val="19"/>
        <w:keepNext w:val="0"/>
        <w:keepLines w:val="0"/>
        <w:pageBreakBefore w:val="0"/>
        <w:widowControl w:val="0"/>
        <w:kinsoku/>
        <w:wordWrap/>
        <w:overflowPunct/>
        <w:topLinePunct w:val="0"/>
        <w:autoSpaceDE/>
        <w:autoSpaceDN/>
        <w:bidi w:val="0"/>
        <w:spacing w:after="0" w:line="560" w:lineRule="exact"/>
        <w:ind w:left="0"/>
        <w:rPr>
          <w:rFonts w:ascii="Times New Roman" w:hAnsi="Times New Roman"/>
        </w:rPr>
      </w:pPr>
    </w:p>
    <w:p w14:paraId="7E6AAB2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一、广西人工智能产业“出海”模式与对策研究</w:t>
      </w:r>
    </w:p>
    <w:p w14:paraId="0064CF52">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调查国内外加快人工智能产业“出海”的法律服务等政策与管理制度情况；国内外人工智能产业“出海”模式调查研究；研究提出广西人工智能产业“出海”政策制度构建体系；提出广西人工智能产业“出海”模式选择；提出广西人工智能产业“出海”的对策建议。</w:t>
      </w:r>
    </w:p>
    <w:p w14:paraId="29F2BC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sz w:val="32"/>
          <w:szCs w:val="32"/>
          <w:lang w:val="en-US" w:eastAsia="zh-CN"/>
        </w:rPr>
        <w:t>（二）主要考核指标：</w:t>
      </w:r>
      <w:r>
        <w:rPr>
          <w:rFonts w:hint="default" w:ascii="Times New Roman" w:hAnsi="Times New Roman" w:eastAsia="仿宋_GB2312" w:cs="Times New Roman"/>
          <w:kern w:val="2"/>
          <w:sz w:val="32"/>
          <w:szCs w:val="32"/>
          <w:lang w:val="en-US" w:eastAsia="zh-CN" w:bidi="ar-SA"/>
        </w:rPr>
        <w:t>1.提交《广西人工智能产业“出海”模式与对策研究》报告。2.提交《国内外加快人工智能产业“出海”模式调研报告（暂名）》。3.提交《加快推动广西人工智能产业“出海”的政策建议》。4.提交与本课题相关的决策信息2篇。</w:t>
      </w:r>
    </w:p>
    <w:p w14:paraId="7439C7B5">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二、</w:t>
      </w:r>
      <w:r>
        <w:rPr>
          <w:rFonts w:hint="eastAsia" w:ascii="黑体" w:hAnsi="黑体" w:eastAsia="黑体" w:cs="黑体"/>
          <w:sz w:val="32"/>
          <w:szCs w:val="32"/>
          <w:lang w:val="en-US" w:eastAsia="zh-CN"/>
        </w:rPr>
        <w:t>基于开放合作的广西新型研发机构建设模式研究</w:t>
      </w:r>
    </w:p>
    <w:p w14:paraId="55771C73">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调查了解国家层面和国内部分省市开展新型研发机构建设的总体情况和主要模式，包括支持政策措施、路径选择取得成效、相关典型案例等；广西新型研发机构发展基本现状，包括进展成效、存在问题和发展需求等；基于加强对外开放合作的理念，研究提出加快广西新型研发机构高质量发展的基本思路和对策建议，包括建设模式、路径选择、支持政策等。</w:t>
      </w:r>
    </w:p>
    <w:p w14:paraId="5CF9FF8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1.提交《基于开放合作的广西新型研发机构建设模式研究》报告。2.提交《广西新型研发机构建设方案（暂名）》。3.提交《国内新型研发机构建设模式调研报告》。                                                                             4.提交与本课题相关的决策信息2篇。</w:t>
      </w:r>
    </w:p>
    <w:p w14:paraId="671CF2E9">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val="en-US" w:eastAsia="zh-CN"/>
        </w:rPr>
        <w:t>三、基于“北上广研发+广西集成+东盟应用”科技创新路径的政策支持与激励机制研究</w:t>
      </w:r>
    </w:p>
    <w:p w14:paraId="63D4F273">
      <w:pPr>
        <w:pStyle w:val="19"/>
        <w:keepNext w:val="0"/>
        <w:keepLines w:val="0"/>
        <w:pageBreakBefore w:val="0"/>
        <w:widowControl w:val="0"/>
        <w:kinsoku/>
        <w:wordWrap/>
        <w:overflowPunct/>
        <w:topLinePunct w:val="0"/>
        <w:autoSpaceDE/>
        <w:autoSpaceDN/>
        <w:bidi w:val="0"/>
        <w:adjustRightInd/>
        <w:snapToGrid/>
        <w:spacing w:after="0" w:line="540" w:lineRule="exact"/>
        <w:ind w:left="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研究分析构建“北上广研发+广西集成+东盟应用”科技创新路径的必要性和可行性；调查了解国内跨区域的政策支持与激励机制有关情况及对广西的启示；研究提出“北上广研发+广西集成+东盟应用”科技创新路径的政策体系与机制建设，包括科技成果集聚转化激励、引进国家级科创平台落户激励和在东盟国家转化应用的激励等；研究提出加快构建“北上广研发+广西集成+东盟应用”科技创新路径的对策措施。</w:t>
      </w:r>
    </w:p>
    <w:p w14:paraId="68412776">
      <w:pPr>
        <w:pStyle w:val="19"/>
        <w:keepNext w:val="0"/>
        <w:keepLines w:val="0"/>
        <w:pageBreakBefore w:val="0"/>
        <w:widowControl w:val="0"/>
        <w:kinsoku/>
        <w:wordWrap/>
        <w:overflowPunct/>
        <w:topLinePunct w:val="0"/>
        <w:autoSpaceDE/>
        <w:autoSpaceDN/>
        <w:bidi w:val="0"/>
        <w:adjustRightInd/>
        <w:snapToGrid/>
        <w:spacing w:after="0" w:line="540" w:lineRule="exact"/>
        <w:ind w:left="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1.提交《基于“北上广研发+广西集成+东盟应用”科技创新路径的政策支持与激励机制研究》报告。2.提交《“北上广研发+广西集成+东盟应用”科技创新路径的政策激励建议（暂名）》。3.提交《“北上广研发+广西集成+东盟应用”科技创新路径的机制建设》。4.提交与本课题相关的决策信息2篇。</w:t>
      </w:r>
    </w:p>
    <w:p w14:paraId="2FE02014">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val="en-US" w:eastAsia="zh-CN"/>
        </w:rPr>
        <w:t>四、面向东盟国家的生物医药产业“出海”政策研究</w:t>
      </w:r>
    </w:p>
    <w:p w14:paraId="406CC6DB">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调查了解东盟国家生物医药产业相关政策与制度建设有关情况，包括制度审查、评审体系和认证机制等；分析研究广西生物医药产业“出海”总体现状、存在主要问题和企业需求情况；调查了解国内部分省市生物医药产业“出海”有关情况；提出面向东盟国家的广西生物医药产业“出海”的基本思路、政策建议和对策措施。</w:t>
      </w:r>
    </w:p>
    <w:p w14:paraId="3F9BED34">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1.提交《面向东盟国家的广西生物医药产业“出海”政策研究》报告。2.提交《东盟国家生物医药产业政策与制度建设调研报告（暂名）》。3.提交《防城港国际医学开放试验区政策突破点建议》。4.提交与本课题相关的决策信息2篇。</w:t>
      </w:r>
    </w:p>
    <w:p w14:paraId="10F7A98D">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五、广西“创新积分制”评价指标体系研究</w:t>
      </w:r>
    </w:p>
    <w:p w14:paraId="475E8E64">
      <w:pPr>
        <w:pStyle w:val="19"/>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eastAsia"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了解国家层面的总体部署和进展情况，调研了解国内部分省市的经验做法；调查了解广西科技企业的创新发展现状及需求，分析研究国家及其他省、市的科技型中小、高新技术、瞪羚、专精特新等不同类型企业认定标准，结合银行、担保等金融机构从客户营销、授信审批、风险管理等场景模式，根据广西本地实际，提出适用于人工智能、关键金属、合成生物、新能源汽车、先进装备等重点产业的广西“创新积分制”评价指标体系，提出推行广西“创新积分制”评价指标体系的政策建议和相关对策措施。</w:t>
      </w:r>
    </w:p>
    <w:p w14:paraId="5220F6CD">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 xml:space="preserve">1.提交《广西“创新积分制”评价指标体系研究》报告。2.提交《国内“创新积分制”评价指标调研报告》。3.提交《广西“创新积分制”评价指标体系政策推行建议》。4.提交与本课题相关的决策信息2篇。                                                                          </w:t>
      </w:r>
    </w:p>
    <w:p w14:paraId="6977E98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六、基于市场化、实体化的科技创新发展集团组建与运营模式研究</w:t>
      </w:r>
    </w:p>
    <w:p w14:paraId="01081755">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调查了解国内部分省市组建科技发展集团的实践探索，以及对广西的启示；基于市场化理念，研究提出组建实体化的科技创新发展集团的必要性、可行性和风险性；提出组建实体化的科技创新发展集团的基本思路，包括目标定位、组建方式、支持政策、治理机构、运行模式等；研究提出基于市场化、实体化的科技创新发展集团组建与运营模式对策建议。</w:t>
      </w:r>
    </w:p>
    <w:p w14:paraId="4640EFE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1.提交《基于市场化、实体化的科技创新发展集团组建与运营模式研究》报告。2.提交《广西科技创新发展集团组建方案（暂名）》。3.提交《国内科技创新发展集团组建与运营模式调研报告（暂名）》。4.提交与本课题相关的决策信息2篇。</w:t>
      </w:r>
    </w:p>
    <w:p w14:paraId="74B23C21">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七、广西高质量数据集建设对策研究</w:t>
      </w:r>
    </w:p>
    <w:p w14:paraId="4C60117F">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sz w:val="32"/>
          <w:szCs w:val="32"/>
          <w:lang w:val="en-US" w:eastAsia="zh-CN"/>
        </w:rPr>
        <w:t>分析高质量数据集建设对广西人工智能高质量发展的意义与作用；调查了解国家和相关省市建设高质量数据集的相关经验做法，总结对广西的若干启示；研究提出东盟语料库建设方案；研究起草《广西高质量数据集建设指引（暂名）》；研究提出广西高质量数据集建设的对策建议。</w:t>
      </w:r>
    </w:p>
    <w:p w14:paraId="1194FBC1">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sz w:val="32"/>
          <w:szCs w:val="32"/>
          <w:lang w:val="en-US" w:eastAsia="zh-CN"/>
        </w:rPr>
        <w:t>1.提交《广西高质量数据集建设对策研究》报告。2.提交《广西高质量数据集建设指引（暂名）》。</w:t>
      </w:r>
    </w:p>
    <w:p w14:paraId="032A38D4">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0" w:firstLineChars="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3.提交《东盟语料库建设方案（建议稿）》。4.提交与本课题相关的决策信息2篇。</w:t>
      </w:r>
    </w:p>
    <w:p w14:paraId="394F83E2">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0" w:firstLineChars="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2597DEC1">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八、广西科研事业单位改革研究</w:t>
      </w:r>
    </w:p>
    <w:p w14:paraId="3456D24B">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阐述科研事业单位的定义、分类标准及特点，了解当前国家推进事业单位改革发展的现状和趋势；分析广西科研事业单位基本情况，包括机构编制、人员结构、财政支持、组织管理、研究领域、成果转化及对相关产业发展的支撑保障等情况；剖析制约广西科研事业单位改革的瓶颈问题；研究分析浙江、辽宁等地事业单位改革发展的先进经验做法；从加强党的领导、强化科研事业单位公益属性、完善管理体制机制等方面提出改革的思路和举措，为优化结构布局、激发创新活力、落实科研机构改革政策提供支撑。</w:t>
      </w:r>
    </w:p>
    <w:p w14:paraId="221AC91E">
      <w:pPr>
        <w:pStyle w:val="19"/>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1.提交《广西科研事业单位改革研究》课题研究报告1份。2.提交《国内科研事业单位改革模式与经验借鉴调研报告》。3.提交《广西区直科研事业单位改革方案（建议稿）》（2025年12月底前）。4.报送与本课题相关的决策信息2篇。</w:t>
      </w:r>
    </w:p>
    <w:p w14:paraId="00E568C1">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九、广西科技项目管理办法和科技项目经费管理办法配套制度研究</w:t>
      </w:r>
    </w:p>
    <w:p w14:paraId="790957A1">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围绕“夯基”“尖锋”“智果”“垒台”“协同”“赋能”六大行动计划分类实施需求，聚焦广西科技计划项目全过程管理关键环节，系统梳理《管理办法》及现行配套制度在实施中的制度性障碍、不匹配和空白之处；瞄准管理痛点和难点，从优化申报与受理机制、改革评审与立项、创新实施与过程管理、衔接验收与成果管理、构建监督与诚信体系和突破经费管理机制等方面开展制度创新研究；提出与广西科技项目管理办法（含经费管理）相适应的配套制度修制定建议。</w:t>
      </w:r>
    </w:p>
    <w:p w14:paraId="73E9EA6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1.提交《广西科技项目管理办法和科技项目经费管理办法配套制度研究》研究报告1份。2.提交广西科技项目管理办法（含经费管理）配套制度修制定建议稿1份。</w:t>
      </w:r>
    </w:p>
    <w:p w14:paraId="3FFF9EF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3.提交与本课题相关的决策信息2篇。</w:t>
      </w:r>
    </w:p>
    <w:p w14:paraId="177978F8">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十、广西重大科技基础设施建设路径研究</w:t>
      </w:r>
    </w:p>
    <w:p w14:paraId="2B68446F">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查了解广西重大科技基础设施基本现状，分析重大科技基础设施在广西科技创新发展中的现实需求；调查了解国家重大科技基础设施规划布局，以及外省重大科技基础设施建设的经验做法借鉴及对广西的启示；聚焦关键金属、绿色化工新材料、生物医药、特色农林以及新一代信息技术等领域，找准切入点，提出符合区情、服务国家战略、辐射东盟的重大科技基础设施建设的基本思路、实现路径和对策建议。</w:t>
      </w:r>
    </w:p>
    <w:p w14:paraId="65CF9A80">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jc w:val="left"/>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1.完成《广西重大科技基础设施建设路径研究》研究报告1份，提出不少于3个服务国家战略需求、支撑广西产业高质量发展的重大科技基础设施信息（产业领域、必要性及可行性、建设内容、投资规模等）。2.提交研究报告《部分省市重大科技基础设施建设经验做法及对广西的启示》。3.公开发表与本课题相关的学术论文1篇以上。4.提交与本课题相关的决策信息2篇。</w:t>
      </w:r>
    </w:p>
    <w:p w14:paraId="0F88BEAE">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十一、广西构建大科普工作格局的体制机制研究</w:t>
      </w:r>
    </w:p>
    <w:p w14:paraId="77398886">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总结提炼大科普工作格局的核心要义，解读构建大科普工作格局的重要内涵，充分把握构建大科普工作格局对广西科普事业发展的机遇与挑战；研究分析广西目前科普工作和科普事业发展的现状与问题，运用定量与定性分析等方法，对广西科普工作现状进行深入剖析，剖析广西构建大科普工作格局面临的短板问题；分析研究外省构建大科普工作格局的经验和做法，对比分析外省构建大科普工作格局采取的政策举措，剖析其促进科学技术普及的典型案例，总结借鉴外省的有益经验；研究形成广西构建大科普工作格局的路径与措施，开展构建大科普工作格局的体制机制研究，从科普主体协同、科普人才聚集、科普资源共享、科普宣传活动、科普成果转化、科普产业发展、科普展馆运营等方面提出构建大科普工作格局的路径与措施。</w:t>
      </w:r>
    </w:p>
    <w:p w14:paraId="73520B4B">
      <w:pPr>
        <w:pStyle w:val="19"/>
        <w:keepNext w:val="0"/>
        <w:keepLines w:val="0"/>
        <w:pageBreakBefore w:val="0"/>
        <w:widowControl w:val="0"/>
        <w:kinsoku/>
        <w:wordWrap/>
        <w:overflowPunct/>
        <w:topLinePunct w:val="0"/>
        <w:autoSpaceDE/>
        <w:autoSpaceDN/>
        <w:bidi w:val="0"/>
        <w:adjustRightInd/>
        <w:snapToGrid/>
        <w:spacing w:after="0" w:line="53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1.撰写提交研究报告《广西构建大科普工作格局的体制机制研究》。2.提交《广西构建大科普工作格局的若干政策措施（建议稿）》。3.撰写报送与本课题相关的决策信息2篇。</w:t>
      </w:r>
    </w:p>
    <w:p w14:paraId="240B5C1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十二、广西设立国际科技组织的对策研究</w:t>
      </w:r>
    </w:p>
    <w:p w14:paraId="2E1B87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深入分析广西作为东盟科技合作枢纽的基础条件，综合评估其区位潜力、政策支撑体系及现有智库平台与国际合作案例；借鉴国际经验，选取亚太地区成功的国际组织案例进行模式比较，评估其在广西的适用性；结合广西特色农业、人工智能等优势领域，设计国际科技组织的架构、运行机制与合作路径；针对制度构建、资源整合等关键问题，从政策创新、国际合作深化、产业支撑强化及运营环境优化等多维度，提出可操作的具体解决方案。</w:t>
      </w:r>
    </w:p>
    <w:p w14:paraId="3E16882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1.提交《广西设立国际科技组织的对策研究》报告。2.提交《关于支持广西设立国际科技组织的若干措施（建议稿）》。3.公开发表与本课题相关的学术论文1篇以上。4.提交与本课题相关的决策信息2篇。</w:t>
      </w:r>
    </w:p>
    <w:p w14:paraId="02822BA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十三、科技领域重大敏感事项监管存在的主要问题及对策研究</w:t>
      </w:r>
    </w:p>
    <w:p w14:paraId="76F3D6B4">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（一）主要研究内容：</w:t>
      </w:r>
      <w:r>
        <w:rPr>
          <w:rFonts w:hint="eastAsia" w:ascii="Times New Roman" w:hAnsi="Times New Roman" w:eastAsia="仿宋_GB2312" w:cs="Times New Roman"/>
          <w:b w:val="0"/>
          <w:bCs w:val="0"/>
          <w:sz w:val="32"/>
          <w:szCs w:val="32"/>
          <w:lang w:val="en-US" w:eastAsia="zh-CN"/>
        </w:rPr>
        <w:t>调研分析我区科技领域重大敏感事项监管工作现状，总结梳理近年来科技领域重大敏感事项监管的成功做法；系统研判存在的问题和薄弱环节，深入剖析当前我区科技领域重大敏感事项监管问题的根源；充分借鉴国家层面和其他省份的经验，提出进一步改进加强项目、资金、平台、奖励、人才等重大敏感事项监管的对策措施。</w:t>
      </w:r>
    </w:p>
    <w:p w14:paraId="3D120A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（二）主要考核指标：</w:t>
      </w:r>
      <w:r>
        <w:rPr>
          <w:rFonts w:hint="eastAsia" w:ascii="Times New Roman" w:hAnsi="Times New Roman" w:eastAsia="仿宋_GB2312" w:cs="Times New Roman"/>
          <w:b w:val="0"/>
          <w:bCs w:val="0"/>
          <w:sz w:val="32"/>
          <w:szCs w:val="32"/>
          <w:lang w:val="en-US" w:eastAsia="zh-CN"/>
        </w:rPr>
        <w:t>1.提交《针对科技领域重大敏感事项监督存在的主要问题及对策研究》报告。2.协助修订完善科技监督有关政策文件。3.提交与本课题相关的决策信息2篇。</w:t>
      </w:r>
      <w:bookmarkStart w:id="0" w:name="_GoBack"/>
      <w:bookmarkEnd w:id="0"/>
    </w:p>
    <w:sectPr>
      <w:headerReference r:id="rId3" w:type="default"/>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方正隶书_GBK">
    <w:altName w:val="隶书"/>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9395">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6D85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5FF6D85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C636">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AECADD">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06AECADD">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52092">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35E66EC7">
                          <w:r>
                            <w:t>ImpTraceLabel=PD94bWwgdmVyc2lvbj0nMS4wJyBlbmNvZGluZz0nVVRGLTgnPz48dHJhY2U+PGNvbnRlbnQ+PC9jb250ZW50PjxhY2NvdW50PjNrdXZhYmNpOWhjY2gwdjdtODNxdHE8L2FjY291bnQ+PG1hY2hpbmVDb2RlPkszOFpTM0gwMDE1NjgKPC9tYWNoaW5lQ29kZT48dGltZT4yMDIzLTEwLTI0IDE1OjMyOjE3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35E66EC7">
                    <w:r>
                      <w:t>ImpTraceLabel=PD94bWwgdmVyc2lvbj0nMS4wJyBlbmNvZGluZz0nVVRGLTgnPz48dHJhY2U+PGNvbnRlbnQ+PC9jb250ZW50PjxhY2NvdW50PjNrdXZhYmNpOWhjY2gwdjdtODNxdHE8L2FjY291bnQ+PG1hY2hpbmVDb2RlPkszOFpTM0gwMDE1NjgKPC9tYWNoaW5lQ29kZT48dGltZT4yMDIzLTEwLTI0IDE1OjMyOjE3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1ED3A39"/>
    <w:rsid w:val="1FFB6BB7"/>
    <w:rsid w:val="26BC7BDE"/>
    <w:rsid w:val="55625F0C"/>
    <w:rsid w:val="5AF35FEF"/>
    <w:rsid w:val="5CC44C22"/>
    <w:rsid w:val="5F2A78FD"/>
    <w:rsid w:val="631335F4"/>
    <w:rsid w:val="642971E3"/>
    <w:rsid w:val="66C9548A"/>
    <w:rsid w:val="6D7F6622"/>
    <w:rsid w:val="75477E01"/>
    <w:rsid w:val="77F3FD59"/>
    <w:rsid w:val="7BF713E3"/>
    <w:rsid w:val="7E15067D"/>
    <w:rsid w:val="AFBCBF2F"/>
    <w:rsid w:val="BEFFCE19"/>
    <w:rsid w:val="DE5F22D3"/>
    <w:rsid w:val="F3EF5292"/>
    <w:rsid w:val="F8B6840D"/>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index 6"/>
    <w:basedOn w:val="1"/>
    <w:next w:val="1"/>
    <w:qFormat/>
    <w:uiPriority w:val="99"/>
    <w:pPr>
      <w:ind w:left="2100"/>
    </w:p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批注框文本 Char"/>
    <w:basedOn w:val="12"/>
    <w:link w:val="6"/>
    <w:qFormat/>
    <w:uiPriority w:val="0"/>
    <w:rPr>
      <w:kern w:val="2"/>
      <w:sz w:val="18"/>
      <w:szCs w:val="18"/>
    </w:rPr>
  </w:style>
  <w:style w:type="character" w:customStyle="1" w:styleId="15">
    <w:name w:val="页脚 Char"/>
    <w:basedOn w:val="12"/>
    <w:link w:val="7"/>
    <w:qFormat/>
    <w:uiPriority w:val="99"/>
    <w:rPr>
      <w:kern w:val="2"/>
      <w:sz w:val="18"/>
      <w:szCs w:val="18"/>
    </w:rPr>
  </w:style>
  <w:style w:type="character" w:customStyle="1" w:styleId="16">
    <w:name w:val="页眉 Char"/>
    <w:basedOn w:val="12"/>
    <w:link w:val="8"/>
    <w:qFormat/>
    <w:uiPriority w:val="99"/>
    <w:rPr>
      <w:kern w:val="2"/>
      <w:sz w:val="18"/>
      <w:szCs w:val="18"/>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8">
    <w:name w:val="List Paragraph"/>
    <w:basedOn w:val="1"/>
    <w:unhideWhenUsed/>
    <w:qFormat/>
    <w:uiPriority w:val="99"/>
    <w:pPr>
      <w:ind w:firstLine="420" w:firstLineChars="200"/>
    </w:pPr>
  </w:style>
  <w:style w:type="paragraph" w:customStyle="1" w:styleId="19">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 w:type="paragraph" w:customStyle="1" w:styleId="20">
    <w:name w:val="Table Paragraph"/>
    <w:basedOn w:val="1"/>
    <w:qFormat/>
    <w:uiPriority w:val="0"/>
    <w:pPr>
      <w:autoSpaceDE w:val="0"/>
      <w:autoSpaceDN w:val="0"/>
      <w:adjustRightInd w:val="0"/>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8</Pages>
  <Words>1559</Words>
  <Characters>1712</Characters>
  <Lines>1</Lines>
  <Paragraphs>1</Paragraphs>
  <TotalTime>7.33333333333333</TotalTime>
  <ScaleCrop>false</ScaleCrop>
  <LinksUpToDate>false</LinksUpToDate>
  <CharactersWithSpaces>1730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2025-10-13T10:37:58Z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B8B90F4D4B9B47FBBED3BCF8F972E9E9_13</vt:lpwstr>
  </property>
</Properties>
</file>