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6C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附件1</w:t>
      </w:r>
    </w:p>
    <w:p w14:paraId="52253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91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p w14:paraId="19CBA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91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"/>
        </w:rPr>
        <w:t>广西壮族自治区应用数学中心</w:t>
      </w:r>
    </w:p>
    <w:p w14:paraId="51E57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91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"/>
        </w:rPr>
      </w:pP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"/>
        </w:rPr>
        <w:t>年度工作年报</w:t>
      </w:r>
    </w:p>
    <w:p w14:paraId="54BB5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91"/>
        <w:jc w:val="center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（提纲）</w:t>
      </w:r>
    </w:p>
    <w:p w14:paraId="592C9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90"/>
        <w:jc w:val="center"/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highlight w:val="none"/>
        </w:rPr>
      </w:pPr>
    </w:p>
    <w:p w14:paraId="5FE6E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</w:rPr>
        <w:t>一、研究工作与成果水平</w:t>
      </w:r>
    </w:p>
    <w:p w14:paraId="02EC8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  <w:t>（一）数学中心申报国家自然科学基金项目、获得立项及经费情况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</w:rPr>
        <w:t>（请在附件中附国家自然科学基金项目任务书等佐证材料）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  <w:t>。</w:t>
      </w:r>
    </w:p>
    <w:p w14:paraId="57E5C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  <w:t>（二）数学中心最新研究进展，省部级及以上项目（基金）的申报、执行情况，研究成果的水平和影响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</w:rPr>
        <w:t>获奖、专利和论文等）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  <w:t>。</w:t>
      </w:r>
    </w:p>
    <w:p w14:paraId="5ABB8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  <w:t>承担的重要项目、重大研究成果典型案例（</w:t>
      </w:r>
      <w:r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highlight w:val="none"/>
        </w:rPr>
        <w:t>1</w:t>
      </w:r>
      <w:r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highlight w:val="none"/>
        </w:rPr>
        <w:t>3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  <w:t>项）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</w:rPr>
        <w:t>请在附件中附相关原文或图片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</w:rPr>
        <w:t>。</w:t>
      </w:r>
    </w:p>
    <w:p w14:paraId="20C02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  <w:t>（四）数学中心研究平台构建情况。</w:t>
      </w:r>
    </w:p>
    <w:p w14:paraId="774B8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baseline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</w:rPr>
        <w:t>二、队伍建设与人才培养</w:t>
      </w:r>
    </w:p>
    <w:p w14:paraId="51A97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  <w:t>（一）数学中心队伍的基本情况。</w:t>
      </w:r>
    </w:p>
    <w:p w14:paraId="6AC64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  <w:t>（二）数学中心队伍建设和人才培养的措施与取得的成效。</w:t>
      </w:r>
    </w:p>
    <w:p w14:paraId="122CD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  <w:t>（三）本年度引进和培养的优秀人才典型案例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</w:rPr>
        <w:t>（以固定人员为主）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highlight w:val="none"/>
        </w:rPr>
        <w:t>。</w:t>
      </w:r>
    </w:p>
    <w:p w14:paraId="68D03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</w:rPr>
        <w:t>三、开放交流与运行管理</w:t>
      </w:r>
    </w:p>
    <w:p w14:paraId="32147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  <w:t>（一）数学中心相关规章制度建设情况。</w:t>
      </w:r>
    </w:p>
    <w:p w14:paraId="5FFF9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  <w:t>（二）数学中心开展学术委员会活动情况。</w:t>
      </w:r>
    </w:p>
    <w:p w14:paraId="05034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  <w:t>（三）开放课题及执行情况，利用开放基金完成的优秀成果案例（</w:t>
      </w:r>
      <w:r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highlight w:val="none"/>
        </w:rPr>
        <w:t>1</w:t>
      </w:r>
      <w:r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highlight w:val="none"/>
        </w:rPr>
        <w:t>3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  <w:t>项）。</w:t>
      </w:r>
    </w:p>
    <w:p w14:paraId="60284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  <w:t>（四）参与国际重大研究计划，举办或参加重要国际学术会议情况，国际合作取得的突出成绩。</w:t>
      </w:r>
    </w:p>
    <w:p w14:paraId="0257C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  <w:t>（五）数学中心作为本领域公共研究平台的作用，大型仪器设备开放和共享情况。</w:t>
      </w:r>
    </w:p>
    <w:p w14:paraId="7B6AD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  <w:lang w:eastAsia="zh-CN"/>
        </w:rPr>
        <w:t>六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  <w:t>）数学中心开展科普工作情况。</w:t>
      </w:r>
    </w:p>
    <w:p w14:paraId="1A30A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</w:rPr>
        <w:t>四、成果转化与产业化</w:t>
      </w:r>
    </w:p>
    <w:p w14:paraId="29728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  <w:t>（一）与企业开展产学研合作情况。</w:t>
      </w:r>
    </w:p>
    <w:p w14:paraId="289B8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  <w:t>（二）技术转移与成果转化情况。</w:t>
      </w:r>
    </w:p>
    <w:p w14:paraId="6C34C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  <w:t>（三）重要成果产业化情况。</w:t>
      </w:r>
    </w:p>
    <w:p w14:paraId="7F22D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</w:rPr>
        <w:t>五、数学中心大事记</w:t>
      </w:r>
    </w:p>
    <w:p w14:paraId="23D39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  <w:t>（一）数学中心开展学术委员会的相应会议纪要、文字和图片材料。</w:t>
      </w:r>
    </w:p>
    <w:p w14:paraId="6F56E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  <w:t>（二）国内外对数学中心的重要评价，附相应文字和图片材料。</w:t>
      </w:r>
    </w:p>
    <w:p w14:paraId="3D0ED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  <w:t>（三）相关领导考察数学中心的图片及说明。</w:t>
      </w:r>
    </w:p>
    <w:p w14:paraId="10425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  <w:t>（四）研究方向或名称的变更、人员变动、大型仪器设备添置等情况。</w:t>
      </w:r>
    </w:p>
    <w:p w14:paraId="793EB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  <w:t>（五）对数学中心发展有重大影响的其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他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  <w:t>活动。</w:t>
      </w:r>
    </w:p>
    <w:p w14:paraId="1B37C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</w:rPr>
        <w:t>六、依托单位支持</w:t>
      </w: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eastAsia="zh-CN"/>
        </w:rPr>
        <w:t>数学中心</w:t>
      </w: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</w:rPr>
        <w:t>建设情况</w:t>
      </w:r>
    </w:p>
    <w:p w14:paraId="23FE2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  <w:t>（一）科研用房情况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</w:rPr>
        <w:t>（是否相对集中、总面积是否达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sz w:val="32"/>
          <w:szCs w:val="32"/>
          <w:highlight w:val="none"/>
        </w:rPr>
        <w:t>1000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</w:rPr>
        <w:t>平方米以上）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  <w:t>。</w:t>
      </w:r>
    </w:p>
    <w:p w14:paraId="127EE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  <w:t>（二）仪器设备情况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</w:rPr>
        <w:t>（设备原总值是否达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sz w:val="32"/>
          <w:szCs w:val="32"/>
          <w:highlight w:val="none"/>
        </w:rPr>
        <w:t>1000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</w:rPr>
        <w:t>万元人民币以上）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  <w:t>。</w:t>
      </w:r>
    </w:p>
    <w:p w14:paraId="42FFD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  <w:t>（三）配套经费支持情况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</w:rPr>
        <w:t>（依托单位是否给予配套经费稳定支持、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数学中心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</w:rPr>
        <w:t>的运行经费及建设配套经费是否纳入单位的年度预算）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  <w:t>。</w:t>
      </w:r>
    </w:p>
    <w:p w14:paraId="5FDDA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  <w:t>（四）其他支持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  <w:lang w:eastAsia="zh-CN"/>
        </w:rPr>
        <w:t>数学中心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  <w:t>建设的情况。</w:t>
      </w:r>
    </w:p>
    <w:p w14:paraId="73285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</w:rPr>
        <w:t>七、数学中心财政经费及配套经费使用情况</w:t>
      </w:r>
    </w:p>
    <w:p w14:paraId="2180B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</w:rPr>
        <w:t>八、数学中心存在问题及解决对策</w:t>
      </w:r>
    </w:p>
    <w:p w14:paraId="5D1CF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</w:rPr>
        <w:t>九、数学中心下一年工作思路和打算</w:t>
      </w:r>
    </w:p>
    <w:p w14:paraId="3CB5B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b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</w:rPr>
        <w:t>十、对科技厅加强数学中心建设和管理工作的意见和建议</w:t>
      </w:r>
    </w:p>
    <w:p w14:paraId="31D26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</w:pPr>
    </w:p>
    <w:p w14:paraId="3D754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</w:rPr>
        <w:t>说明：</w:t>
      </w:r>
    </w:p>
    <w:p w14:paraId="74597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1.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年度报告编写限5000字以内；</w:t>
      </w:r>
    </w:p>
    <w:p w14:paraId="377A7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2.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报告内容和所涉及的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数学中心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数据必须客观真实，并与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“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数学中心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年报统计表”数据对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应一致；</w:t>
      </w:r>
    </w:p>
    <w:p w14:paraId="005E9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3.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请提供相关照片3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5张（照片标题写明时间、人物、事项，大小在1M以上）。</w:t>
      </w:r>
    </w:p>
    <w:p w14:paraId="14AAEC4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531" w:bottom="1701" w:left="1531" w:header="851" w:footer="1417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书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957E7D">
    <w:pPr>
      <w:pStyle w:val="10"/>
      <w:spacing w:line="360" w:lineRule="exact"/>
      <w:jc w:val="both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B4EB61">
                          <w:pPr>
                            <w:pStyle w:val="1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29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ehrJr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3B4EB61">
                    <w:pPr>
                      <w:pStyle w:val="1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29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C97391"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trackRevisions w:val="1"/>
  <w:documentProtection w:enforcement="0"/>
  <w:defaultTabStop w:val="420"/>
  <w:hyphenationZone w:val="360"/>
  <w:drawingGridHorizontalSpacing w:val="210"/>
  <w:drawingGridVerticalSpacing w:val="164"/>
  <w:displayHorizontalDrawingGridEvery w:val="1"/>
  <w:displayVerticalDrawingGridEvery w:val="2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jMjEwMTU3NTI0Njg0MmZhMDNjMmIzODUzMmJlMTkifQ=="/>
  </w:docVars>
  <w:rsids>
    <w:rsidRoot w:val="087F6923"/>
    <w:rsid w:val="03F259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qFormat/>
    <w:uiPriority w:val="0"/>
    <w:pPr>
      <w:keepNext w:val="0"/>
      <w:keepLines w:val="0"/>
      <w:adjustRightInd w:val="0"/>
      <w:snapToGrid w:val="0"/>
      <w:spacing w:before="0" w:beforeLines="0" w:after="0" w:afterLines="0" w:line="336" w:lineRule="auto"/>
      <w:ind w:left="0" w:leftChars="0" w:right="0" w:rightChars="0" w:firstLine="856" w:firstLineChars="200"/>
      <w:outlineLvl w:val="1"/>
    </w:pPr>
    <w:rPr>
      <w:rFonts w:eastAsia="楷体_GB2312"/>
    </w:rPr>
  </w:style>
  <w:style w:type="paragraph" w:styleId="5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300" w:lineRule="auto"/>
      <w:ind w:firstLine="0" w:firstLineChars="0"/>
      <w:jc w:val="center"/>
      <w:outlineLvl w:val="3"/>
    </w:pPr>
    <w:rPr>
      <w:rFonts w:eastAsia="长城小标宋体" w:cs="Times New Roman"/>
      <w:b/>
      <w:bCs/>
      <w:spacing w:val="6"/>
      <w:sz w:val="44"/>
      <w:szCs w:val="44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Style w:val="16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6">
    <w:name w:val="annotation text"/>
    <w:basedOn w:val="1"/>
    <w:unhideWhenUsed/>
    <w:uiPriority w:val="0"/>
    <w:pPr>
      <w:jc w:val="left"/>
    </w:pPr>
  </w:style>
  <w:style w:type="paragraph" w:styleId="7">
    <w:name w:val="Body Text"/>
    <w:basedOn w:val="1"/>
    <w:qFormat/>
    <w:uiPriority w:val="0"/>
    <w:pPr>
      <w:spacing w:after="120"/>
    </w:pPr>
  </w:style>
  <w:style w:type="paragraph" w:styleId="8">
    <w:name w:val="toc 3"/>
    <w:basedOn w:val="1"/>
    <w:next w:val="1"/>
    <w:qFormat/>
    <w:uiPriority w:val="0"/>
    <w:pPr>
      <w:widowControl/>
      <w:ind w:left="400" w:leftChars="400" w:firstLine="200" w:firstLineChars="200"/>
      <w:jc w:val="left"/>
    </w:pPr>
    <w:rPr>
      <w:rFonts w:ascii="宋体" w:hAnsi="宋体" w:cs="宋体"/>
      <w:kern w:val="0"/>
      <w:sz w:val="24"/>
      <w:szCs w:val="24"/>
      <w:lang w:bidi="ar-SA"/>
    </w:rPr>
  </w:style>
  <w:style w:type="paragraph" w:styleId="9">
    <w:name w:val="Balloon Text"/>
    <w:basedOn w:val="1"/>
    <w:link w:val="21"/>
    <w:qFormat/>
    <w:uiPriority w:val="0"/>
    <w:rPr>
      <w:sz w:val="18"/>
      <w:szCs w:val="18"/>
    </w:rPr>
  </w:style>
  <w:style w:type="paragraph" w:styleId="10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qFormat/>
    <w:uiPriority w:val="39"/>
  </w:style>
  <w:style w:type="paragraph" w:styleId="13">
    <w:name w:val="toc 2"/>
    <w:basedOn w:val="1"/>
    <w:next w:val="1"/>
    <w:qFormat/>
    <w:uiPriority w:val="39"/>
    <w:pPr>
      <w:widowControl/>
      <w:tabs>
        <w:tab w:val="right" w:leader="dot" w:pos="8948"/>
      </w:tabs>
      <w:ind w:left="405" w:leftChars="405" w:firstLine="101" w:firstLineChars="101"/>
    </w:pPr>
    <w:rPr>
      <w:rFonts w:ascii="宋体" w:hAnsi="宋体" w:cs="宋体"/>
      <w:kern w:val="0"/>
      <w:sz w:val="24"/>
      <w:szCs w:val="24"/>
      <w:lang w:bidi="ar-SA"/>
    </w:rPr>
  </w:style>
  <w:style w:type="paragraph" w:styleId="1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7">
    <w:name w:val="Table Grid"/>
    <w:basedOn w:val="16"/>
    <w:qFormat/>
    <w:uiPriority w:val="59"/>
    <w:tblPr>
      <w:tblStyle w:val="1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Hyperlink"/>
    <w:basedOn w:val="18"/>
    <w:uiPriority w:val="0"/>
    <w:rPr>
      <w:color w:val="0000FF"/>
      <w:u w:val="single"/>
    </w:rPr>
  </w:style>
  <w:style w:type="character" w:customStyle="1" w:styleId="21">
    <w:name w:val="批注框文本 Char"/>
    <w:basedOn w:val="18"/>
    <w:link w:val="9"/>
    <w:qFormat/>
    <w:uiPriority w:val="0"/>
    <w:rPr>
      <w:kern w:val="2"/>
      <w:sz w:val="18"/>
      <w:szCs w:val="18"/>
    </w:rPr>
  </w:style>
  <w:style w:type="character" w:customStyle="1" w:styleId="22">
    <w:name w:val="页脚 Char"/>
    <w:basedOn w:val="18"/>
    <w:link w:val="10"/>
    <w:qFormat/>
    <w:uiPriority w:val="99"/>
    <w:rPr>
      <w:kern w:val="2"/>
      <w:sz w:val="18"/>
      <w:szCs w:val="18"/>
    </w:rPr>
  </w:style>
  <w:style w:type="character" w:customStyle="1" w:styleId="23">
    <w:name w:val="页眉 Char"/>
    <w:basedOn w:val="18"/>
    <w:link w:val="11"/>
    <w:qFormat/>
    <w:uiPriority w:val="99"/>
    <w:rPr>
      <w:kern w:val="2"/>
      <w:sz w:val="18"/>
      <w:szCs w:val="18"/>
    </w:rPr>
  </w:style>
  <w:style w:type="paragraph" w:styleId="24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5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26">
    <w:name w:val="正文内容"/>
    <w:basedOn w:val="1"/>
    <w:qFormat/>
    <w:uiPriority w:val="0"/>
    <w:pPr>
      <w:overflowPunct w:val="0"/>
      <w:topLinePunct/>
      <w:spacing w:line="312" w:lineRule="exact"/>
      <w:ind w:firstLine="420" w:firstLineChars="200"/>
    </w:pPr>
    <w:rPr>
      <w:rFonts w:ascii="Times New Roman" w:hAnsi="Times New Roman" w:eastAsia="方正书宋_GBK" w:cs="Times New Roman"/>
      <w:szCs w:val="21"/>
    </w:rPr>
  </w:style>
  <w:style w:type="paragraph" w:customStyle="1" w:styleId="27">
    <w:name w:val="指南说明"/>
    <w:basedOn w:val="1"/>
    <w:qFormat/>
    <w:uiPriority w:val="0"/>
    <w:pPr>
      <w:overflowPunct w:val="0"/>
      <w:topLinePunct/>
      <w:spacing w:before="156" w:beforeLines="50" w:after="156" w:afterLines="50" w:line="312" w:lineRule="exact"/>
      <w:ind w:firstLine="480" w:firstLineChars="200"/>
    </w:pPr>
    <w:rPr>
      <w:rFonts w:ascii="Times New Roman" w:hAnsi="Times New Roman" w:eastAsia="方正仿宋_GBK" w:cs="Times New Roman"/>
      <w:sz w:val="24"/>
      <w:szCs w:val="21"/>
    </w:rPr>
  </w:style>
  <w:style w:type="paragraph" w:customStyle="1" w:styleId="28">
    <w:name w:val="指南正文"/>
    <w:basedOn w:val="1"/>
    <w:qFormat/>
    <w:uiPriority w:val="0"/>
    <w:pPr>
      <w:spacing w:line="312" w:lineRule="exact"/>
      <w:ind w:firstLine="420" w:firstLineChars="200"/>
    </w:pPr>
    <w:rPr>
      <w:rFonts w:ascii="Times New Roman" w:hAnsi="Times New Roman" w:eastAsia="方正书宋_GBK" w:cs="Times New Roman"/>
      <w:szCs w:val="21"/>
    </w:rPr>
  </w:style>
  <w:style w:type="paragraph" w:customStyle="1" w:styleId="29">
    <w:name w:val="附件标题"/>
    <w:basedOn w:val="5"/>
    <w:next w:val="1"/>
    <w:qFormat/>
    <w:uiPriority w:val="0"/>
    <w:rPr>
      <w:sz w:val="36"/>
      <w:szCs w:val="36"/>
    </w:rPr>
  </w:style>
  <w:style w:type="paragraph" w:customStyle="1" w:styleId="30">
    <w:name w:val="小标"/>
    <w:basedOn w:val="4"/>
    <w:next w:val="1"/>
    <w:qFormat/>
    <w:uiPriority w:val="0"/>
    <w:pPr>
      <w:spacing w:line="300" w:lineRule="auto"/>
      <w:ind w:firstLine="0" w:firstLineChars="0"/>
      <w:jc w:val="center"/>
    </w:pPr>
    <w:rPr>
      <w:spacing w:val="6"/>
    </w:rPr>
  </w:style>
  <w:style w:type="character" w:customStyle="1" w:styleId="31">
    <w:name w:val="grame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1401</Words>
  <Characters>1500</Characters>
  <Lines>53</Lines>
  <Paragraphs>27</Paragraphs>
  <TotalTime>29.3333333333333</TotalTime>
  <ScaleCrop>false</ScaleCrop>
  <LinksUpToDate>false</LinksUpToDate>
  <CharactersWithSpaces>1518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2020-03-20T00:33:00Z</dcterms:created>
  <dc:creator>梁晖</dc:creator>
  <cp:lastModifiedBy>墨迹夏子</cp:lastModifiedBy>
  <cp:lastPrinted>2024-12-22T18:43:31Z</cp:lastPrinted>
  <dcterms:modified xsi:type="dcterms:W3CDTF">2025-12-09T09:44:16Z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AF2720E6FE8548C6A0186310ED1022D7_13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eyJoZGlkIjoiYzY5ZDFkYjAwZjNhYTM1NDBlZTczZjFiNGMyNzYxN2IiLCJ1c2VySWQiOiIzNjAwMjk3NDgifQ==</vt:lpwstr>
  </property>
</Properties>
</file>