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3B74">
      <w:pPr>
        <w:adjustRightInd/>
        <w:snapToGrid/>
        <w:spacing w:line="240" w:lineRule="auto"/>
        <w:rPr>
          <w:rFonts w:hint="default" w:ascii="Times New Roman" w:hAnsi="Times New Roman" w:eastAsia="黑体" w:cs="Times New Roman"/>
          <w:snapToGrid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napToGrid w:val="0"/>
          <w:color w:val="auto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sz w:val="32"/>
          <w:szCs w:val="32"/>
        </w:rPr>
        <w:t>2</w:t>
      </w:r>
    </w:p>
    <w:p w14:paraId="2E88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方正仿宋_GBK"/>
          <w:snapToGrid w:val="0"/>
          <w:color w:val="auto"/>
          <w:spacing w:val="0"/>
          <w:sz w:val="32"/>
          <w:szCs w:val="32"/>
        </w:rPr>
      </w:pPr>
    </w:p>
    <w:p w14:paraId="5F84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sz w:val="44"/>
          <w:szCs w:val="44"/>
        </w:rPr>
        <w:t>需提交附件材料的持证单位名单</w:t>
      </w:r>
    </w:p>
    <w:p w14:paraId="0822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napToGrid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sz w:val="32"/>
          <w:szCs w:val="32"/>
        </w:rPr>
        <w:t>家单位</w:t>
      </w:r>
      <w:r>
        <w:rPr>
          <w:rFonts w:hint="eastAsia" w:ascii="Times New Roman" w:hAnsi="Times New Roman" w:eastAsia="楷体_GB2312" w:cs="Times New Roman"/>
          <w:snapToGrid w:val="0"/>
          <w:color w:val="auto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sz w:val="32"/>
          <w:szCs w:val="32"/>
        </w:rPr>
        <w:t>个证）</w:t>
      </w:r>
    </w:p>
    <w:tbl>
      <w:tblPr>
        <w:tblStyle w:val="8"/>
        <w:tblW w:w="10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41"/>
        <w:gridCol w:w="1037"/>
        <w:gridCol w:w="1566"/>
        <w:gridCol w:w="1300"/>
        <w:gridCol w:w="1950"/>
        <w:gridCol w:w="1384"/>
        <w:gridCol w:w="861"/>
      </w:tblGrid>
      <w:tr w14:paraId="1576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AD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所在市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8D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持证单位</w:t>
            </w:r>
          </w:p>
          <w:p w14:paraId="062824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名称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33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法定</w:t>
            </w:r>
          </w:p>
          <w:p w14:paraId="4E9595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代表人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87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许可事项</w:t>
            </w:r>
          </w:p>
          <w:p w14:paraId="73E9B3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设施地址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C8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许可证号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08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适用范围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26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有效期限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5B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0"/>
                <w:szCs w:val="21"/>
              </w:rPr>
              <w:t>备注</w:t>
            </w:r>
          </w:p>
        </w:tc>
      </w:tr>
      <w:tr w14:paraId="6287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E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</w:t>
            </w:r>
          </w:p>
          <w:p w14:paraId="0FFE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南宁市西乡塘区秀灵路西一里6号广西大学新东园校区医学院实验楼一楼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17"/>
                <w:lang w:val="en-US" w:eastAsia="zh-CN" w:bidi="ar"/>
              </w:rPr>
              <w:t>屏障环境大鼠、小鼠实验（设施面积402㎡）</w:t>
            </w:r>
            <w:r>
              <w:rPr>
                <w:rStyle w:val="18"/>
                <w:color w:val="auto"/>
                <w:lang w:val="en-US" w:eastAsia="zh-CN" w:bidi="ar"/>
              </w:rPr>
              <w:t>和</w:t>
            </w:r>
            <w:r>
              <w:rPr>
                <w:rStyle w:val="19"/>
                <w:lang w:val="en-US" w:eastAsia="zh-CN" w:bidi="ar"/>
              </w:rPr>
              <w:t>普通环境兔实验（设施面积240㎡）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2030-01-15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306ED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A1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F0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广西南宁市青秀区双拥路22号逸夫实验动物教学楼4—5层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屏障环境SPF级大鼠、小鼠生产（设施面积1274㎡）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2030-08-22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726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FC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D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广西南宁市青秀区双拥路22号逸夫实验动物教学楼2—3层（屏障环境）、标准动物实验楼2—3层和动物实验室（普通环境）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屏障环境：大鼠、小鼠实验（设施面积1274㎡）；普通环境：兔、豚鼠、小型猪、犬、猴、树鼩实验（设施面积640㎡）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2030-08-22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702AA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5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6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广西壮族自治区医疗器械检测中心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吴植强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南宁市江南区国凯大道东19号金凯工业园13号楼东侧5楼西侧A区、南侧B区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屏障环境大鼠、小鼠实验（设施面积330㎡）；普通环境兔、豚鼠、地鼠实验（设施面积207㎡）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2030-12-18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22F6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4B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广西莱士生物制药有限公司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黄共田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广西莱士生物制药有限公司南宁市邕宁区永乐路18号动物房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17"/>
                <w:lang w:val="en-US" w:eastAsia="zh-CN" w:bidi="ar"/>
              </w:rPr>
              <w:t>屏障环境小鼠实验（设施面积140㎡）</w:t>
            </w:r>
            <w:r>
              <w:rPr>
                <w:rStyle w:val="18"/>
                <w:color w:val="auto"/>
                <w:lang w:val="en-US" w:eastAsia="zh-CN" w:bidi="ar"/>
              </w:rPr>
              <w:t>和</w:t>
            </w:r>
            <w:r>
              <w:rPr>
                <w:rStyle w:val="19"/>
                <w:lang w:val="en-US" w:eastAsia="zh-CN" w:bidi="ar"/>
              </w:rPr>
              <w:t>普通环境兔、豚鼠实验（设施面积232㎡）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2030-08-03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CDA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A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2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广西盛思蓝生物医药技术有限公司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广西南宁市良庆区建业路41号德燊工业园Q5栋3层西侧半层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普通环境猴、兔实验（设施面积1060㎡）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2030-12-18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049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3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A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柳州市质量检验检测研究中心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柳州市海关路西一巷2号柳州市质检中心8楼东侧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普通环境兔、豚鼠实验（设施面积81.9㎡）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2030-11-06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6E0F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59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广西佳灵生物科技有限公司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唐荣平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广西柳州市雒容镇龙口茶场原桐林监狱五队旧址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普通级猴生产（设施面积4779㎡）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2030-05-04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A481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F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9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广西桂林市育才路15号广西师范大学校内立人大道国重室1号楼六层东侧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屏障环境大鼠、小鼠实验（设施面积253.8㎡）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2030-11-06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B8D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5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D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桂林平乐星源生物科技有限公司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蒋跃进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广西壮族自治区桂林市平乐县张家镇老鸦村委老鸦村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普通级猴生产（设施面积2000 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2030-03-17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9691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3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D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梧州市食品药品检验所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罗达龙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梧州市工业园区园区三路56号D2厂房第4层半层（东侧）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SYXK桂2025-0004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屏障环境大鼠、小鼠实验（设施面积281㎡）；普通环境兔、豚鼠实验（设施面积386㎡）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2030-08-21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ACC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梧州昭衍生物科技有限公司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广西梧州市万秀区高新园区纬二路南部片区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普通级猴生产（设施面积30207㎡）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2030-05-22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C87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1A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E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防城港康路生物科技有限公司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甘尖兵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广西防城港市防城区夫佬坪路99号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普通级猴生产（设施面积36519㎡）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2030-12-18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  <w:tr w14:paraId="3AAF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63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来宾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6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广西合山杰科生物科技有限公司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李宝未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广西合山市河里镇仁义村那罗屯往西2公里处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SCXK桂2025-0001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普通级猴生产（设施面积7715 ㎡）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2030-01-15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33769CC6">
      <w:pPr>
        <w:pStyle w:val="2"/>
        <w:rPr>
          <w:rFonts w:ascii="Times New Roman" w:hAnsi="Times New Roman" w:eastAsia="方正仿宋_GBK"/>
          <w:snapToGrid w:val="0"/>
          <w:color w:val="auto"/>
          <w:szCs w:val="21"/>
        </w:rPr>
      </w:pPr>
    </w:p>
    <w:p w14:paraId="3B1BD4C0">
      <w:pPr>
        <w:pStyle w:val="2"/>
        <w:rPr>
          <w:rFonts w:ascii="Times New Roman" w:hAnsi="Times New Roman" w:eastAsia="方正仿宋_GBK"/>
          <w:snapToGrid w:val="0"/>
          <w:color w:val="auto"/>
          <w:szCs w:val="21"/>
        </w:rPr>
      </w:pPr>
    </w:p>
    <w:p w14:paraId="21ED552F">
      <w:pPr>
        <w:pStyle w:val="2"/>
        <w:rPr>
          <w:rFonts w:ascii="Times New Roman" w:hAnsi="Times New Roman" w:eastAsia="方正仿宋_GBK"/>
          <w:snapToGrid w:val="0"/>
          <w:color w:val="auto"/>
          <w:szCs w:val="21"/>
        </w:rPr>
      </w:pPr>
    </w:p>
    <w:p w14:paraId="084ACC22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56660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F886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CF886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68DCA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5C18B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75C18B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C8EC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D53F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1BDD53F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5FF4111B"/>
    <w:rsid w:val="642971E3"/>
    <w:rsid w:val="66C9548A"/>
    <w:rsid w:val="6D7F6622"/>
    <w:rsid w:val="75477E01"/>
    <w:rsid w:val="7BF713E3"/>
    <w:rsid w:val="7E32DF2B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2656</Words>
  <Characters>2742</Characters>
  <Lines>1</Lines>
  <Paragraphs>1</Paragraphs>
  <TotalTime>6.33333333333333</TotalTime>
  <ScaleCrop>false</ScaleCrop>
  <LinksUpToDate>false</LinksUpToDate>
  <CharactersWithSpaces>2752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2026-01-05T10:16:26Z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68C14EB370AE452BA8FE87B45F2AD9E0_13</vt:lpwstr>
  </property>
</Properties>
</file>