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2A6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14:paraId="10D9BA1B">
      <w:pPr>
        <w:pStyle w:val="2"/>
        <w:rPr>
          <w:rFonts w:hint="default"/>
        </w:rPr>
      </w:pPr>
    </w:p>
    <w:p w14:paraId="4676F7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2026年第一批广西行业垂类大模型数据训练基地名单</w:t>
      </w:r>
    </w:p>
    <w:p w14:paraId="14886454">
      <w:pPr>
        <w:pStyle w:val="2"/>
        <w:keepNext w:val="0"/>
        <w:keepLines w:val="0"/>
        <w:pageBreakBefore w:val="0"/>
        <w:widowControl w:val="0"/>
        <w:kinsoku/>
        <w:wordWrap/>
        <w:overflowPunct/>
        <w:topLinePunct w:val="0"/>
        <w:bidi w:val="0"/>
        <w:snapToGrid/>
        <w:spacing w:line="560" w:lineRule="exact"/>
        <w:textAlignment w:val="auto"/>
        <w:rPr>
          <w:rFonts w:hint="eastAsia"/>
        </w:rPr>
      </w:pPr>
    </w:p>
    <w:tbl>
      <w:tblPr>
        <w:tblStyle w:val="10"/>
        <w:tblW w:w="14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238"/>
        <w:gridCol w:w="960"/>
        <w:gridCol w:w="2707"/>
        <w:gridCol w:w="2175"/>
        <w:gridCol w:w="3548"/>
        <w:gridCol w:w="2512"/>
        <w:gridCol w:w="870"/>
      </w:tblGrid>
      <w:tr w14:paraId="1819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9BC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u w:val="none"/>
              </w:rPr>
            </w:pPr>
            <w:r>
              <w:rPr>
                <w:rFonts w:hint="default" w:ascii="Times New Roman" w:hAnsi="Times New Roman" w:eastAsia="黑体" w:cs="Times New Roman"/>
                <w:b w:val="0"/>
                <w:bCs w:val="0"/>
                <w:i w:val="0"/>
                <w:color w:val="auto"/>
                <w:kern w:val="0"/>
                <w:sz w:val="28"/>
                <w:szCs w:val="28"/>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161A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基地</w:t>
            </w:r>
          </w:p>
          <w:p w14:paraId="7EEF1F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u w:val="none"/>
              </w:rPr>
            </w:pPr>
            <w:r>
              <w:rPr>
                <w:rFonts w:hint="default" w:ascii="Times New Roman" w:hAnsi="Times New Roman" w:eastAsia="黑体" w:cs="Times New Roman"/>
                <w:b w:val="0"/>
                <w:bCs w:val="0"/>
                <w:i w:val="0"/>
                <w:color w:val="auto"/>
                <w:kern w:val="0"/>
                <w:sz w:val="28"/>
                <w:szCs w:val="28"/>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38C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u w:val="none"/>
              </w:rPr>
            </w:pPr>
            <w:r>
              <w:rPr>
                <w:rFonts w:hint="default" w:ascii="Times New Roman" w:hAnsi="Times New Roman" w:eastAsia="黑体" w:cs="Times New Roman"/>
                <w:b w:val="0"/>
                <w:bCs w:val="0"/>
                <w:i w:val="0"/>
                <w:color w:val="auto"/>
                <w:kern w:val="0"/>
                <w:sz w:val="28"/>
                <w:szCs w:val="28"/>
                <w:u w:val="none"/>
                <w:lang w:val="en-US" w:eastAsia="zh-CN" w:bidi="ar"/>
              </w:rPr>
              <w:t>牵头单位</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4C37E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u w:val="none"/>
              </w:rPr>
            </w:pPr>
            <w:r>
              <w:rPr>
                <w:rFonts w:hint="default" w:ascii="Times New Roman" w:hAnsi="Times New Roman" w:eastAsia="黑体" w:cs="Times New Roman"/>
                <w:b w:val="0"/>
                <w:bCs w:val="0"/>
                <w:i w:val="0"/>
                <w:color w:val="auto"/>
                <w:kern w:val="0"/>
                <w:sz w:val="28"/>
                <w:szCs w:val="28"/>
                <w:u w:val="none"/>
                <w:lang w:val="en-US" w:eastAsia="zh-CN" w:bidi="ar"/>
              </w:rPr>
              <w:t>联合单位</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144E9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联系人和</w:t>
            </w:r>
          </w:p>
          <w:p w14:paraId="0915A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sz w:val="28"/>
                <w:szCs w:val="28"/>
                <w:u w:val="none"/>
              </w:rPr>
            </w:pPr>
            <w:r>
              <w:rPr>
                <w:rFonts w:hint="default" w:ascii="Times New Roman" w:hAnsi="Times New Roman" w:eastAsia="黑体" w:cs="Times New Roman"/>
                <w:b w:val="0"/>
                <w:bCs w:val="0"/>
                <w:i w:val="0"/>
                <w:color w:val="auto"/>
                <w:kern w:val="0"/>
                <w:sz w:val="28"/>
                <w:szCs w:val="28"/>
                <w:u w:val="none"/>
                <w:lang w:val="en-US" w:eastAsia="zh-CN" w:bidi="ar"/>
              </w:rPr>
              <w:t>联系电话</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1DD5A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基地简介</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445798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开放数据</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8AD41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算力</w:t>
            </w:r>
          </w:p>
          <w:p w14:paraId="323AFC6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情况</w:t>
            </w:r>
          </w:p>
        </w:tc>
      </w:tr>
      <w:tr w14:paraId="6779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15B3B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sz w:val="28"/>
                <w:szCs w:val="28"/>
                <w:u w:val="none"/>
              </w:rPr>
            </w:pPr>
            <w:r>
              <w:rPr>
                <w:rFonts w:hint="default" w:ascii="Times New Roman" w:hAnsi="Times New Roman" w:eastAsia="仿宋_GB2312" w:cs="Times New Roman"/>
                <w:b/>
                <w:bCs w:val="0"/>
                <w:i w:val="0"/>
                <w:color w:val="auto"/>
                <w:kern w:val="0"/>
                <w:sz w:val="28"/>
                <w:szCs w:val="28"/>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ABF5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sz w:val="28"/>
                <w:szCs w:val="28"/>
                <w:u w:val="none"/>
              </w:rPr>
            </w:pPr>
            <w:r>
              <w:rPr>
                <w:rFonts w:hint="default" w:ascii="Times New Roman" w:hAnsi="Times New Roman" w:eastAsia="仿宋_GB2312" w:cs="Times New Roman"/>
                <w:b/>
                <w:bCs w:val="0"/>
                <w:i w:val="0"/>
                <w:color w:val="auto"/>
                <w:kern w:val="0"/>
                <w:sz w:val="28"/>
                <w:szCs w:val="28"/>
                <w:u w:val="none"/>
                <w:lang w:val="en-US" w:eastAsia="zh-CN" w:bidi="ar"/>
              </w:rPr>
              <w:t>广西锰业智能冶炼垂类大模型数据训练基地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CC9B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0"/>
                <w:sz w:val="28"/>
                <w:szCs w:val="28"/>
                <w:lang w:bidi="ar"/>
              </w:rPr>
              <w:t>广西大学</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6834D1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0"/>
                <w:sz w:val="28"/>
                <w:szCs w:val="28"/>
                <w:lang w:bidi="ar"/>
              </w:rPr>
              <w:t>南方锰业集团有限责任公司，中国移动通信集团</w:t>
            </w:r>
            <w:r>
              <w:rPr>
                <w:rStyle w:val="19"/>
                <w:rFonts w:hint="default" w:ascii="Times New Roman" w:hAnsi="Times New Roman" w:eastAsia="仿宋_GB2312" w:cs="Times New Roman"/>
                <w:color w:val="auto"/>
                <w:sz w:val="28"/>
                <w:szCs w:val="28"/>
                <w:lang w:bidi="ar"/>
              </w:rPr>
              <w:t>广西有限公司，南京先维信息技术有限公司，中移动信息技术有限公司，广西数科院科技有限公司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0502B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危增曦</w:t>
            </w:r>
          </w:p>
          <w:p w14:paraId="5EE83E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15116445629</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490F10AF">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基地聚焦广西锰矿开采与电解冶炼两大核心场景，</w:t>
            </w:r>
            <w:r>
              <w:rPr>
                <w:rFonts w:hint="default" w:ascii="Times New Roman" w:hAnsi="Times New Roman" w:eastAsia="仿宋_GB2312" w:cs="Times New Roman"/>
                <w:color w:val="auto"/>
                <w:kern w:val="0"/>
                <w:sz w:val="28"/>
                <w:szCs w:val="28"/>
                <w:lang w:eastAsia="zh-CN" w:bidi="ar"/>
              </w:rPr>
              <w:t>整合了</w:t>
            </w:r>
            <w:r>
              <w:rPr>
                <w:rFonts w:hint="default" w:ascii="Times New Roman" w:hAnsi="Times New Roman" w:eastAsia="仿宋_GB2312" w:cs="Times New Roman"/>
                <w:color w:val="auto"/>
                <w:kern w:val="0"/>
                <w:sz w:val="28"/>
                <w:szCs w:val="28"/>
                <w:lang w:bidi="ar"/>
              </w:rPr>
              <w:t>矿山开采、矿山安全监测、电解冶炼、能源管理</w:t>
            </w:r>
            <w:r>
              <w:rPr>
                <w:rFonts w:hint="default" w:ascii="Times New Roman" w:hAnsi="Times New Roman" w:eastAsia="仿宋_GB2312" w:cs="Times New Roman"/>
                <w:color w:val="auto"/>
                <w:kern w:val="0"/>
                <w:sz w:val="28"/>
                <w:szCs w:val="28"/>
                <w:lang w:eastAsia="zh-CN" w:bidi="ar"/>
              </w:rPr>
              <w:t>等行业数据，</w:t>
            </w:r>
            <w:r>
              <w:rPr>
                <w:rFonts w:hint="default" w:ascii="Times New Roman" w:hAnsi="Times New Roman" w:eastAsia="仿宋_GB2312" w:cs="Times New Roman"/>
                <w:color w:val="auto"/>
                <w:kern w:val="0"/>
                <w:sz w:val="28"/>
                <w:szCs w:val="28"/>
                <w:lang w:bidi="ar"/>
              </w:rPr>
              <w:t>推动产业发展模式从经验驱动迈向数据智能驱动</w:t>
            </w:r>
            <w:r>
              <w:rPr>
                <w:rFonts w:hint="default" w:ascii="Times New Roman" w:hAnsi="Times New Roman" w:eastAsia="仿宋_GB2312" w:cs="Times New Roman"/>
                <w:color w:val="auto"/>
                <w:kern w:val="0"/>
                <w:sz w:val="28"/>
                <w:szCs w:val="28"/>
                <w:lang w:eastAsia="zh-CN" w:bidi="ar"/>
              </w:rPr>
              <w:t>转变</w:t>
            </w:r>
            <w:r>
              <w:rPr>
                <w:rFonts w:hint="default" w:ascii="Times New Roman" w:hAnsi="Times New Roman" w:eastAsia="仿宋_GB2312" w:cs="Times New Roman"/>
                <w:color w:val="auto"/>
                <w:kern w:val="0"/>
                <w:sz w:val="28"/>
                <w:szCs w:val="28"/>
                <w:lang w:bidi="ar"/>
              </w:rPr>
              <w:t>，</w:t>
            </w:r>
            <w:r>
              <w:rPr>
                <w:rFonts w:hint="default" w:ascii="Times New Roman" w:hAnsi="Times New Roman" w:eastAsia="仿宋_GB2312" w:cs="Times New Roman"/>
                <w:color w:val="auto"/>
                <w:kern w:val="0"/>
                <w:sz w:val="28"/>
                <w:szCs w:val="28"/>
                <w:lang w:eastAsia="zh-CN" w:bidi="ar"/>
              </w:rPr>
              <w:t>为</w:t>
            </w:r>
            <w:r>
              <w:rPr>
                <w:rFonts w:hint="default" w:ascii="Times New Roman" w:hAnsi="Times New Roman" w:eastAsia="仿宋_GB2312" w:cs="Times New Roman"/>
                <w:color w:val="auto"/>
                <w:kern w:val="0"/>
                <w:sz w:val="28"/>
                <w:szCs w:val="28"/>
                <w:lang w:bidi="ar"/>
              </w:rPr>
              <w:t>锰矿开采与电解冶炼两大核心场景</w:t>
            </w:r>
            <w:r>
              <w:rPr>
                <w:rFonts w:hint="default" w:ascii="Times New Roman" w:hAnsi="Times New Roman" w:eastAsia="仿宋_GB2312" w:cs="Times New Roman"/>
                <w:color w:val="auto"/>
                <w:kern w:val="0"/>
                <w:sz w:val="28"/>
                <w:szCs w:val="28"/>
                <w:lang w:eastAsia="zh-CN" w:bidi="ar"/>
              </w:rPr>
              <w:t>提供训练数据</w:t>
            </w:r>
            <w:r>
              <w:rPr>
                <w:rFonts w:hint="default" w:ascii="Times New Roman" w:hAnsi="Times New Roman" w:eastAsia="仿宋_GB2312" w:cs="Times New Roman"/>
                <w:color w:val="auto"/>
                <w:kern w:val="0"/>
                <w:sz w:val="28"/>
                <w:szCs w:val="28"/>
                <w:lang w:bidi="ar"/>
              </w:rPr>
              <w:t>支撑</w:t>
            </w:r>
            <w:r>
              <w:rPr>
                <w:rFonts w:hint="default" w:ascii="Times New Roman" w:hAnsi="Times New Roman" w:eastAsia="仿宋_GB2312" w:cs="Times New Roman"/>
                <w:color w:val="auto"/>
                <w:kern w:val="0"/>
                <w:sz w:val="28"/>
                <w:szCs w:val="28"/>
                <w:lang w:eastAsia="zh-CN" w:bidi="ar"/>
              </w:rPr>
              <w:t>。</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C9638D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基地数据资源涵盖矿山开采、矿山安全监测、电解冶炼、能源管理等业务场景数据及锰业专业数据，总量</w:t>
            </w:r>
            <w:r>
              <w:rPr>
                <w:rFonts w:hint="default" w:ascii="Times New Roman" w:hAnsi="Times New Roman" w:eastAsia="仿宋_GB2312" w:cs="Times New Roman"/>
                <w:b w:val="0"/>
                <w:bCs w:val="0"/>
                <w:i w:val="0"/>
                <w:color w:val="auto"/>
                <w:kern w:val="0"/>
                <w:sz w:val="28"/>
                <w:szCs w:val="28"/>
                <w:u w:val="none"/>
                <w:lang w:val="en-US" w:eastAsia="zh-CN" w:bidi="ar"/>
              </w:rPr>
              <w:t>达</w:t>
            </w:r>
            <w:r>
              <w:rPr>
                <w:rFonts w:hint="default" w:ascii="Times New Roman" w:hAnsi="Times New Roman" w:eastAsia="仿宋_GB2312" w:cs="Times New Roman"/>
                <w:color w:val="auto"/>
                <w:kern w:val="0"/>
                <w:sz w:val="28"/>
                <w:szCs w:val="28"/>
                <w:lang w:bidi="ar"/>
              </w:rPr>
              <w:t>2.08PB。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3ADE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120P</w:t>
            </w:r>
          </w:p>
        </w:tc>
      </w:tr>
      <w:tr w14:paraId="1AE7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269C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ACED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广西具身智能机器人垂类大模型数据训练基地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ACD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广西科技大学</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1B1AA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东风柳州汽车有限公司，广西柳州市产业投资发展集团有限公司，广西智建具身智能科技有限公司，润建股份有限公司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DA56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孙子君 0772—2685975</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0D24DC7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lang w:val="en-US" w:eastAsia="zh-CN" w:bidi="ar"/>
              </w:rPr>
              <w:t>基地聚焦具身智能机器人产业化面临的“数据荒”这一核心难题，整合了</w:t>
            </w:r>
            <w:r>
              <w:rPr>
                <w:rFonts w:hint="default" w:ascii="Times New Roman" w:hAnsi="Times New Roman" w:eastAsia="仿宋_GB2312" w:cs="Times New Roman"/>
                <w:b w:val="0"/>
                <w:bCs w:val="0"/>
                <w:i w:val="0"/>
                <w:color w:val="auto"/>
                <w:kern w:val="0"/>
                <w:sz w:val="28"/>
                <w:szCs w:val="28"/>
                <w:u w:val="none"/>
                <w:lang w:val="en-US" w:eastAsia="zh-CN" w:bidi="ar"/>
              </w:rPr>
              <w:t>汽车制造等</w:t>
            </w:r>
            <w:r>
              <w:rPr>
                <w:rFonts w:hint="default" w:ascii="Times New Roman" w:hAnsi="Times New Roman" w:eastAsia="仿宋_GB2312" w:cs="Times New Roman"/>
                <w:color w:val="auto"/>
                <w:kern w:val="0"/>
                <w:sz w:val="28"/>
                <w:szCs w:val="28"/>
                <w:lang w:val="en-US" w:eastAsia="zh-CN" w:bidi="ar"/>
              </w:rPr>
              <w:t>复杂生产工艺环节的行业数据，并打通了机器人协同作业中存在的数据孤岛等问题，</w:t>
            </w:r>
            <w:r>
              <w:rPr>
                <w:rFonts w:hint="default" w:ascii="Times New Roman" w:hAnsi="Times New Roman" w:eastAsia="仿宋_GB2312" w:cs="Times New Roman"/>
                <w:color w:val="auto"/>
                <w:kern w:val="0"/>
                <w:sz w:val="28"/>
                <w:szCs w:val="28"/>
                <w:lang w:eastAsia="zh-CN" w:bidi="ar"/>
              </w:rPr>
              <w:t>为</w:t>
            </w:r>
            <w:r>
              <w:rPr>
                <w:rFonts w:hint="default" w:ascii="Times New Roman" w:hAnsi="Times New Roman" w:eastAsia="仿宋_GB2312" w:cs="Times New Roman"/>
                <w:b w:val="0"/>
                <w:bCs w:val="0"/>
                <w:i w:val="0"/>
                <w:color w:val="auto"/>
                <w:kern w:val="0"/>
                <w:sz w:val="28"/>
                <w:szCs w:val="28"/>
                <w:u w:val="none"/>
                <w:lang w:val="en-US" w:eastAsia="zh-CN" w:bidi="ar"/>
              </w:rPr>
              <w:t>汽车制造等机器人核心应用场景</w:t>
            </w:r>
            <w:r>
              <w:rPr>
                <w:rFonts w:hint="default" w:ascii="Times New Roman" w:hAnsi="Times New Roman" w:eastAsia="仿宋_GB2312" w:cs="Times New Roman"/>
                <w:color w:val="auto"/>
                <w:kern w:val="0"/>
                <w:sz w:val="28"/>
                <w:szCs w:val="28"/>
                <w:lang w:eastAsia="zh-CN" w:bidi="ar"/>
              </w:rPr>
              <w:t>提供训练数据</w:t>
            </w:r>
            <w:r>
              <w:rPr>
                <w:rFonts w:hint="default" w:ascii="Times New Roman" w:hAnsi="Times New Roman" w:eastAsia="仿宋_GB2312" w:cs="Times New Roman"/>
                <w:color w:val="auto"/>
                <w:kern w:val="0"/>
                <w:sz w:val="28"/>
                <w:szCs w:val="28"/>
                <w:lang w:bidi="ar"/>
              </w:rPr>
              <w:t>支撑</w:t>
            </w:r>
            <w:r>
              <w:rPr>
                <w:rFonts w:hint="default" w:ascii="Times New Roman" w:hAnsi="Times New Roman" w:eastAsia="仿宋_GB2312" w:cs="Times New Roman"/>
                <w:color w:val="auto"/>
                <w:kern w:val="0"/>
                <w:sz w:val="28"/>
                <w:szCs w:val="28"/>
                <w:lang w:eastAsia="zh-CN" w:bidi="ar"/>
              </w:rPr>
              <w:t>。</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2290EC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lang w:bidi="ar"/>
              </w:rPr>
              <w:t>基地</w:t>
            </w:r>
            <w:r>
              <w:rPr>
                <w:rFonts w:hint="default" w:ascii="Times New Roman" w:hAnsi="Times New Roman" w:eastAsia="仿宋_GB2312" w:cs="Times New Roman"/>
                <w:b w:val="0"/>
                <w:bCs w:val="0"/>
                <w:i w:val="0"/>
                <w:color w:val="auto"/>
                <w:kern w:val="0"/>
                <w:sz w:val="28"/>
                <w:szCs w:val="28"/>
                <w:u w:val="none"/>
                <w:lang w:val="en-US" w:eastAsia="zh-CN" w:bidi="ar"/>
              </w:rPr>
              <w:t>数据资源涵盖图像、文本等多模态行业数据，总量达1.3PB。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1245F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val="en-US" w:eastAsia="zh-CN" w:bidi="ar"/>
              </w:rPr>
              <w:t>64P</w:t>
            </w:r>
          </w:p>
        </w:tc>
      </w:tr>
      <w:tr w14:paraId="3A5D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BC9A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7F15E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广西—电网输电线路智能巡检-垂类大模型数据训练基地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4D6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广西电网有限责任公司</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03F69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广西大学，广西电网能源科技有限责任公司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2B56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陈琦</w:t>
            </w:r>
          </w:p>
          <w:p w14:paraId="3AACA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0771—8106295</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25F6B37A">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立足广西、面向东盟、联动南网，围绕电力行业智能巡检业务，整合无人机及多源终端采集的可见光图像、红外影像等行业数据，构建高质量、可持续迭代的图像数据集，为设备缺陷识别、故障区段精准定位及巡检辅助决策等核心应用场景提供训练数据支撑。</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62A8612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lang w:bidi="ar"/>
              </w:rPr>
              <w:t>基地聚焦电力行业输电线路智能巡检领域，整合无人机及多源终端采集的可见光</w:t>
            </w:r>
            <w:r>
              <w:rPr>
                <w:rFonts w:hint="default" w:ascii="Times New Roman" w:hAnsi="Times New Roman" w:eastAsia="仿宋_GB2312" w:cs="Times New Roman"/>
                <w:color w:val="auto"/>
                <w:kern w:val="0"/>
                <w:sz w:val="28"/>
                <w:szCs w:val="28"/>
                <w:lang w:val="en-US" w:eastAsia="zh-CN" w:bidi="ar"/>
              </w:rPr>
              <w:t>图像</w:t>
            </w:r>
            <w:r>
              <w:rPr>
                <w:rFonts w:hint="default" w:ascii="Times New Roman" w:hAnsi="Times New Roman" w:eastAsia="仿宋_GB2312" w:cs="Times New Roman"/>
                <w:color w:val="auto"/>
                <w:kern w:val="0"/>
                <w:sz w:val="28"/>
                <w:szCs w:val="28"/>
                <w:lang w:bidi="ar"/>
              </w:rPr>
              <w:t>、红外影像等数据，总量达1.2PB</w:t>
            </w:r>
            <w:r>
              <w:rPr>
                <w:rFonts w:hint="default" w:ascii="Times New Roman" w:hAnsi="Times New Roman" w:eastAsia="仿宋_GB2312" w:cs="Times New Roman"/>
                <w:color w:val="auto"/>
                <w:kern w:val="0"/>
                <w:sz w:val="28"/>
                <w:szCs w:val="28"/>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CC4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val="en-US" w:eastAsia="zh-CN" w:bidi="ar"/>
              </w:rPr>
              <w:t>53P</w:t>
            </w:r>
          </w:p>
        </w:tc>
      </w:tr>
      <w:tr w14:paraId="2415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8"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9C39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7254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广西智慧水运与智能船舶垂类大模型数据训练基地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5ACC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桂林理工大学</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257F28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广西平陆运河数智科技有限公司，广西大学，厦门理工学院，中国移动通信集团广西有限公司，众数（厦门）信息科技有限公司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AF6AE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马家峰18169669127</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4B8C7B24">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基地直面船舶与航运业发展中的研发设计协同效率低、航行安全响应滞后、基础设施运维成本高、智</w:t>
            </w:r>
            <w:r>
              <w:rPr>
                <w:rFonts w:hint="default" w:ascii="Times New Roman" w:hAnsi="Times New Roman" w:eastAsia="仿宋_GB2312" w:cs="Times New Roman"/>
                <w:color w:val="auto"/>
                <w:kern w:val="0"/>
                <w:sz w:val="28"/>
                <w:szCs w:val="28"/>
                <w:lang w:eastAsia="zh-CN" w:bidi="ar"/>
              </w:rPr>
              <w:t>能制造水平不足、物流调度灵活性差等问题，整合了平陆运河相关数据，专业知识数据，气象、遥感、地震等行业数据</w:t>
            </w:r>
            <w:r>
              <w:rPr>
                <w:rFonts w:hint="default" w:ascii="Times New Roman" w:hAnsi="Times New Roman" w:eastAsia="仿宋_GB2312" w:cs="Times New Roman"/>
                <w:color w:val="auto"/>
                <w:kern w:val="0"/>
                <w:sz w:val="28"/>
                <w:szCs w:val="28"/>
                <w:lang w:bidi="ar"/>
              </w:rPr>
              <w:t>，</w:t>
            </w:r>
            <w:r>
              <w:rPr>
                <w:rFonts w:hint="default" w:ascii="Times New Roman" w:hAnsi="Times New Roman" w:eastAsia="仿宋_GB2312" w:cs="Times New Roman"/>
                <w:color w:val="auto"/>
                <w:kern w:val="0"/>
                <w:sz w:val="28"/>
                <w:szCs w:val="28"/>
                <w:lang w:eastAsia="zh-CN" w:bidi="ar"/>
              </w:rPr>
              <w:t>为</w:t>
            </w:r>
            <w:r>
              <w:rPr>
                <w:rFonts w:hint="default" w:ascii="Times New Roman" w:hAnsi="Times New Roman" w:eastAsia="仿宋_GB2312" w:cs="Times New Roman"/>
                <w:color w:val="auto"/>
                <w:kern w:val="0"/>
                <w:sz w:val="28"/>
                <w:szCs w:val="28"/>
                <w:lang w:bidi="ar"/>
              </w:rPr>
              <w:t>智慧水运</w:t>
            </w:r>
            <w:r>
              <w:rPr>
                <w:rFonts w:hint="default" w:ascii="Times New Roman" w:hAnsi="Times New Roman" w:eastAsia="仿宋_GB2312" w:cs="Times New Roman"/>
                <w:color w:val="auto"/>
                <w:kern w:val="0"/>
                <w:sz w:val="28"/>
                <w:szCs w:val="28"/>
                <w:lang w:eastAsia="zh-CN" w:bidi="ar"/>
              </w:rPr>
              <w:t>等</w:t>
            </w:r>
            <w:r>
              <w:rPr>
                <w:rFonts w:hint="default" w:ascii="Times New Roman" w:hAnsi="Times New Roman" w:eastAsia="仿宋_GB2312" w:cs="Times New Roman"/>
                <w:b w:val="0"/>
                <w:bCs w:val="0"/>
                <w:i w:val="0"/>
                <w:color w:val="auto"/>
                <w:kern w:val="0"/>
                <w:sz w:val="28"/>
                <w:szCs w:val="28"/>
                <w:u w:val="none"/>
                <w:lang w:val="en-US" w:eastAsia="zh-CN" w:bidi="ar"/>
              </w:rPr>
              <w:t>应用场景</w:t>
            </w:r>
            <w:r>
              <w:rPr>
                <w:rFonts w:hint="default" w:ascii="Times New Roman" w:hAnsi="Times New Roman" w:eastAsia="仿宋_GB2312" w:cs="Times New Roman"/>
                <w:color w:val="auto"/>
                <w:kern w:val="0"/>
                <w:sz w:val="28"/>
                <w:szCs w:val="28"/>
                <w:lang w:eastAsia="zh-CN" w:bidi="ar"/>
              </w:rPr>
              <w:t>提供训练数据</w:t>
            </w:r>
            <w:r>
              <w:rPr>
                <w:rFonts w:hint="default" w:ascii="Times New Roman" w:hAnsi="Times New Roman" w:eastAsia="仿宋_GB2312" w:cs="Times New Roman"/>
                <w:color w:val="auto"/>
                <w:kern w:val="0"/>
                <w:sz w:val="28"/>
                <w:szCs w:val="28"/>
                <w:lang w:bidi="ar"/>
              </w:rPr>
              <w:t>支撑</w:t>
            </w:r>
            <w:r>
              <w:rPr>
                <w:rFonts w:hint="default" w:ascii="Times New Roman" w:hAnsi="Times New Roman" w:eastAsia="仿宋_GB2312" w:cs="Times New Roman"/>
                <w:color w:val="auto"/>
                <w:kern w:val="0"/>
                <w:sz w:val="28"/>
                <w:szCs w:val="28"/>
                <w:lang w:eastAsia="zh-CN" w:bidi="ar"/>
              </w:rPr>
              <w:t>。</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FDAE83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基地</w:t>
            </w:r>
            <w:r>
              <w:rPr>
                <w:rFonts w:hint="default" w:ascii="Times New Roman" w:hAnsi="Times New Roman" w:eastAsia="仿宋_GB2312" w:cs="Times New Roman"/>
                <w:b w:val="0"/>
                <w:bCs w:val="0"/>
                <w:i w:val="0"/>
                <w:color w:val="auto"/>
                <w:kern w:val="0"/>
                <w:sz w:val="28"/>
                <w:szCs w:val="28"/>
                <w:u w:val="none"/>
                <w:lang w:val="en-US" w:eastAsia="zh-CN" w:bidi="ar"/>
              </w:rPr>
              <w:t>数据资源涵盖</w:t>
            </w:r>
            <w:r>
              <w:rPr>
                <w:rFonts w:hint="default" w:ascii="Times New Roman" w:hAnsi="Times New Roman" w:eastAsia="仿宋_GB2312" w:cs="Times New Roman"/>
                <w:color w:val="auto"/>
                <w:kern w:val="0"/>
                <w:sz w:val="28"/>
                <w:szCs w:val="28"/>
                <w:lang w:bidi="ar"/>
              </w:rPr>
              <w:t>平陆运河专业数据</w:t>
            </w:r>
            <w:r>
              <w:rPr>
                <w:rFonts w:hint="default" w:ascii="Times New Roman" w:hAnsi="Times New Roman" w:eastAsia="仿宋_GB2312" w:cs="Times New Roman"/>
                <w:color w:val="auto"/>
                <w:kern w:val="0"/>
                <w:sz w:val="28"/>
                <w:szCs w:val="28"/>
                <w:lang w:eastAsia="zh-CN" w:bidi="ar"/>
              </w:rPr>
              <w:t>，</w:t>
            </w:r>
            <w:r>
              <w:rPr>
                <w:rFonts w:hint="default" w:ascii="Times New Roman" w:hAnsi="Times New Roman" w:eastAsia="仿宋_GB2312" w:cs="Times New Roman"/>
                <w:color w:val="auto"/>
                <w:kern w:val="0"/>
                <w:sz w:val="28"/>
                <w:szCs w:val="28"/>
                <w:lang w:bidi="ar"/>
              </w:rPr>
              <w:t>专业知识数据</w:t>
            </w:r>
            <w:r>
              <w:rPr>
                <w:rFonts w:hint="default" w:ascii="Times New Roman" w:hAnsi="Times New Roman" w:eastAsia="仿宋_GB2312" w:cs="Times New Roman"/>
                <w:color w:val="auto"/>
                <w:kern w:val="0"/>
                <w:sz w:val="28"/>
                <w:szCs w:val="28"/>
                <w:lang w:eastAsia="zh-CN" w:bidi="ar"/>
              </w:rPr>
              <w:t>，</w:t>
            </w:r>
            <w:r>
              <w:rPr>
                <w:rFonts w:hint="default" w:ascii="Times New Roman" w:hAnsi="Times New Roman" w:eastAsia="仿宋_GB2312" w:cs="Times New Roman"/>
                <w:color w:val="auto"/>
                <w:kern w:val="0"/>
                <w:sz w:val="28"/>
                <w:szCs w:val="28"/>
                <w:lang w:bidi="ar"/>
              </w:rPr>
              <w:t>气象、遥感、地震等</w:t>
            </w:r>
            <w:r>
              <w:rPr>
                <w:rFonts w:hint="default" w:ascii="Times New Roman" w:hAnsi="Times New Roman" w:eastAsia="仿宋_GB2312" w:cs="Times New Roman"/>
                <w:color w:val="auto"/>
                <w:kern w:val="0"/>
                <w:sz w:val="28"/>
                <w:szCs w:val="28"/>
                <w:lang w:eastAsia="zh-CN" w:bidi="ar"/>
              </w:rPr>
              <w:t>，</w:t>
            </w:r>
            <w:r>
              <w:rPr>
                <w:rFonts w:hint="default" w:ascii="Times New Roman" w:hAnsi="Times New Roman" w:eastAsia="仿宋_GB2312" w:cs="Times New Roman"/>
                <w:color w:val="auto"/>
                <w:kern w:val="0"/>
                <w:sz w:val="28"/>
                <w:szCs w:val="28"/>
                <w:lang w:bidi="ar"/>
              </w:rPr>
              <w:t>行业数据总量</w:t>
            </w:r>
            <w:r>
              <w:rPr>
                <w:rFonts w:hint="default" w:ascii="Times New Roman" w:hAnsi="Times New Roman" w:eastAsia="仿宋_GB2312" w:cs="Times New Roman"/>
                <w:color w:val="auto"/>
                <w:kern w:val="0"/>
                <w:sz w:val="28"/>
                <w:szCs w:val="28"/>
                <w:lang w:eastAsia="zh-CN" w:bidi="ar"/>
              </w:rPr>
              <w:t>达</w:t>
            </w:r>
            <w:r>
              <w:rPr>
                <w:rFonts w:hint="default" w:ascii="Times New Roman" w:hAnsi="Times New Roman" w:eastAsia="仿宋_GB2312" w:cs="Times New Roman"/>
                <w:color w:val="auto"/>
                <w:kern w:val="0"/>
                <w:sz w:val="28"/>
                <w:szCs w:val="28"/>
                <w:lang w:bidi="ar"/>
              </w:rPr>
              <w:t>1.4PB。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A9144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120P</w:t>
            </w:r>
          </w:p>
        </w:tc>
      </w:tr>
      <w:tr w14:paraId="1FC6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394A3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4914D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广西物流运输垂类大模型数据训练基地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F38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广西交投物流集团有限公司</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1BE4E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广西计算中心有限责任公司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A55A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梁董琦玥</w:t>
            </w:r>
          </w:p>
          <w:p w14:paraId="55E9E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18577762764</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29E8A54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基地聚焦物流运输行业面临的运输成本居高不下，多式联运协同效率低下，绿色基础设施滞后等多重痛点，整合了</w:t>
            </w:r>
            <w:r>
              <w:rPr>
                <w:rFonts w:hint="default" w:ascii="Times New Roman" w:hAnsi="Times New Roman" w:eastAsia="仿宋_GB2312" w:cs="Times New Roman"/>
                <w:b w:val="0"/>
                <w:bCs w:val="0"/>
                <w:i w:val="0"/>
                <w:color w:val="auto"/>
                <w:kern w:val="0"/>
                <w:sz w:val="28"/>
                <w:szCs w:val="28"/>
                <w:u w:val="none"/>
                <w:lang w:val="en-US" w:eastAsia="zh-CN" w:bidi="ar"/>
              </w:rPr>
              <w:t>近年来高速货车通行数据，水运运单数据，物流企业基础数据</w:t>
            </w:r>
            <w:r>
              <w:rPr>
                <w:rFonts w:hint="default" w:ascii="Times New Roman" w:hAnsi="Times New Roman" w:eastAsia="仿宋_GB2312" w:cs="Times New Roman"/>
                <w:i w:val="0"/>
                <w:color w:val="auto"/>
                <w:kern w:val="0"/>
                <w:sz w:val="28"/>
                <w:szCs w:val="28"/>
                <w:u w:val="none"/>
                <w:lang w:val="en-US" w:eastAsia="zh-CN" w:bidi="ar"/>
              </w:rPr>
              <w:t>，为成本智能预测、绿色干线全链路优化及多式联运智能调度等</w:t>
            </w:r>
            <w:r>
              <w:rPr>
                <w:rFonts w:hint="default" w:ascii="Times New Roman" w:hAnsi="Times New Roman" w:eastAsia="仿宋_GB2312" w:cs="Times New Roman"/>
                <w:color w:val="auto"/>
                <w:kern w:val="0"/>
                <w:sz w:val="28"/>
                <w:szCs w:val="28"/>
                <w:lang w:bidi="ar"/>
              </w:rPr>
              <w:t>智慧</w:t>
            </w:r>
            <w:r>
              <w:rPr>
                <w:rFonts w:hint="default" w:ascii="Times New Roman" w:hAnsi="Times New Roman" w:eastAsia="仿宋_GB2312" w:cs="Times New Roman"/>
                <w:color w:val="auto"/>
                <w:kern w:val="0"/>
                <w:sz w:val="28"/>
                <w:szCs w:val="28"/>
                <w:lang w:eastAsia="zh-CN" w:bidi="ar"/>
              </w:rPr>
              <w:t>物流</w:t>
            </w:r>
            <w:r>
              <w:rPr>
                <w:rFonts w:hint="default" w:ascii="Times New Roman" w:hAnsi="Times New Roman" w:eastAsia="仿宋_GB2312" w:cs="Times New Roman"/>
                <w:b w:val="0"/>
                <w:bCs w:val="0"/>
                <w:i w:val="0"/>
                <w:color w:val="auto"/>
                <w:kern w:val="0"/>
                <w:sz w:val="28"/>
                <w:szCs w:val="28"/>
                <w:u w:val="none"/>
                <w:lang w:val="en-US" w:eastAsia="zh-CN" w:bidi="ar"/>
              </w:rPr>
              <w:t>场景</w:t>
            </w:r>
            <w:r>
              <w:rPr>
                <w:rFonts w:hint="default" w:ascii="Times New Roman" w:hAnsi="Times New Roman" w:eastAsia="仿宋_GB2312" w:cs="Times New Roman"/>
                <w:color w:val="auto"/>
                <w:kern w:val="0"/>
                <w:sz w:val="28"/>
                <w:szCs w:val="28"/>
                <w:lang w:eastAsia="zh-CN" w:bidi="ar"/>
              </w:rPr>
              <w:t>提供训练数据</w:t>
            </w:r>
            <w:r>
              <w:rPr>
                <w:rFonts w:hint="default" w:ascii="Times New Roman" w:hAnsi="Times New Roman" w:eastAsia="仿宋_GB2312" w:cs="Times New Roman"/>
                <w:color w:val="auto"/>
                <w:kern w:val="0"/>
                <w:sz w:val="28"/>
                <w:szCs w:val="28"/>
                <w:lang w:bidi="ar"/>
              </w:rPr>
              <w:t>支撑</w:t>
            </w:r>
            <w:r>
              <w:rPr>
                <w:rFonts w:hint="default" w:ascii="Times New Roman" w:hAnsi="Times New Roman" w:eastAsia="仿宋_GB2312" w:cs="Times New Roman"/>
                <w:color w:val="auto"/>
                <w:kern w:val="0"/>
                <w:sz w:val="28"/>
                <w:szCs w:val="28"/>
                <w:lang w:eastAsia="zh-CN" w:bidi="ar"/>
              </w:rPr>
              <w:t>。</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00CDD9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w:t>
            </w:r>
            <w:r>
              <w:rPr>
                <w:rFonts w:hint="default" w:ascii="Times New Roman" w:hAnsi="Times New Roman" w:eastAsia="仿宋_GB2312" w:cs="Times New Roman"/>
                <w:b w:val="0"/>
                <w:bCs w:val="0"/>
                <w:i w:val="0"/>
                <w:color w:val="auto"/>
                <w:kern w:val="0"/>
                <w:sz w:val="28"/>
                <w:szCs w:val="28"/>
                <w:u w:val="none"/>
                <w:lang w:val="en-US" w:eastAsia="zh-CN" w:bidi="ar"/>
              </w:rPr>
              <w:t>数据资源涵盖近年来高速货车通行数据，水运运单数据，物流企业基础数据等行业数据，</w:t>
            </w:r>
            <w:r>
              <w:rPr>
                <w:rFonts w:hint="default" w:ascii="Times New Roman" w:hAnsi="Times New Roman" w:eastAsia="仿宋_GB2312" w:cs="Times New Roman"/>
                <w:i w:val="0"/>
                <w:color w:val="auto"/>
                <w:kern w:val="0"/>
                <w:sz w:val="28"/>
                <w:szCs w:val="28"/>
                <w:u w:val="none"/>
                <w:lang w:val="en-US" w:eastAsia="zh-CN" w:bidi="ar"/>
              </w:rPr>
              <w:t>总量达1.39PB</w:t>
            </w:r>
            <w:r>
              <w:rPr>
                <w:rFonts w:hint="default" w:ascii="Times New Roman" w:hAnsi="Times New Roman" w:eastAsia="仿宋_GB2312" w:cs="Times New Roman"/>
                <w:b w:val="0"/>
                <w:bCs w:val="0"/>
                <w:i w:val="0"/>
                <w:color w:val="auto"/>
                <w:kern w:val="0"/>
                <w:sz w:val="28"/>
                <w:szCs w:val="2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A73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val="en-US" w:eastAsia="zh-CN" w:bidi="ar"/>
              </w:rPr>
              <w:t>48P</w:t>
            </w:r>
          </w:p>
        </w:tc>
      </w:tr>
      <w:tr w14:paraId="3746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DFBE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9CB0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广西-东盟农业遥感垂类大模型数据训练基地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188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广西大学</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3BA40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润建股份有限公司，中国农业科学院农业资源与农业区划研究所</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7201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张振荣</w:t>
            </w:r>
          </w:p>
          <w:p w14:paraId="563EF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0771—3232214</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3264E9C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聚焦农业产业数字化需求，整合了多光谱、无人机等多源监测数据，融合遥感、雷达及虫群轨迹等多维感知数据，汇集作物生长、产量及市场价格等数据，为棕榈果成熟度预测和迁飞害虫预报等应用场景提供训练数据</w:t>
            </w:r>
            <w:r>
              <w:rPr>
                <w:rFonts w:hint="default" w:ascii="Times New Roman" w:hAnsi="Times New Roman" w:eastAsia="仿宋_GB2312" w:cs="Times New Roman"/>
                <w:color w:val="auto"/>
                <w:kern w:val="0"/>
                <w:sz w:val="28"/>
                <w:szCs w:val="28"/>
                <w:lang w:bidi="ar"/>
              </w:rPr>
              <w:t>支撑</w:t>
            </w:r>
            <w:r>
              <w:rPr>
                <w:rFonts w:hint="default" w:ascii="Times New Roman" w:hAnsi="Times New Roman" w:eastAsia="仿宋_GB2312" w:cs="Times New Roman"/>
                <w:i w:val="0"/>
                <w:color w:val="auto"/>
                <w:kern w:val="0"/>
                <w:sz w:val="28"/>
                <w:szCs w:val="28"/>
                <w:u w:val="none"/>
                <w:lang w:val="en-US" w:eastAsia="zh-CN" w:bidi="ar"/>
              </w:rPr>
              <w:t>。</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5B68825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基地</w:t>
            </w:r>
            <w:r>
              <w:rPr>
                <w:rFonts w:hint="default" w:ascii="Times New Roman" w:hAnsi="Times New Roman" w:eastAsia="仿宋_GB2312" w:cs="Times New Roman"/>
                <w:color w:val="auto"/>
                <w:sz w:val="28"/>
                <w:szCs w:val="28"/>
                <w:lang w:val="en-US" w:eastAsia="zh-CN"/>
              </w:rPr>
              <w:t>数据资源涵盖</w:t>
            </w:r>
            <w:r>
              <w:rPr>
                <w:rFonts w:hint="default" w:ascii="Times New Roman" w:hAnsi="Times New Roman" w:eastAsia="仿宋_GB2312" w:cs="Times New Roman"/>
                <w:i w:val="0"/>
                <w:color w:val="auto"/>
                <w:kern w:val="0"/>
                <w:sz w:val="28"/>
                <w:szCs w:val="28"/>
                <w:u w:val="none"/>
                <w:lang w:val="en-US" w:eastAsia="zh-CN" w:bidi="ar"/>
              </w:rPr>
              <w:t>周边区域产区多光谱图像数据与无人机视频数据、迁飞害虫监测数据等行业数据，总量达</w:t>
            </w:r>
            <w:r>
              <w:rPr>
                <w:rFonts w:hint="default" w:ascii="Times New Roman" w:hAnsi="Times New Roman" w:eastAsia="仿宋_GB2312" w:cs="Times New Roman"/>
                <w:color w:val="auto"/>
                <w:sz w:val="28"/>
                <w:szCs w:val="28"/>
              </w:rPr>
              <w:t>1.10</w:t>
            </w:r>
            <w:r>
              <w:rPr>
                <w:rFonts w:hint="default" w:ascii="Times New Roman" w:hAnsi="Times New Roman" w:eastAsia="仿宋_GB2312" w:cs="Times New Roman"/>
                <w:color w:val="auto"/>
                <w:sz w:val="28"/>
                <w:szCs w:val="28"/>
                <w:lang w:val="en-US" w:eastAsia="zh-CN"/>
              </w:rPr>
              <w:t>PB</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rPr>
              <w:br w:type="textWrapping"/>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EB1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64P</w:t>
            </w:r>
          </w:p>
        </w:tc>
      </w:tr>
      <w:tr w14:paraId="52A9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41329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7</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37A3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广西综合交通垂类大模型数据训练基地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321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广西交科集团有限公司</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3940D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壮族自治区交通运输信息管理中心，北京邮电大学，广西北投软件股份有限公司，桂林电子科技大学，广西大学，广西交通职业技术学院，广西新发展交通集团有限公司，广西北投低空经济投资有限公司，广西北投公路建设投资集团有限公司，广西北投数字科技产业有限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BACB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凌晔华</w:t>
            </w:r>
          </w:p>
          <w:p w14:paraId="0B463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13768807867</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7D0EF6E1">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基地聚焦广西综合交通领域，围绕公路、低空交通等场景及“规建养运服”全链条，整合了</w:t>
            </w:r>
            <w:r>
              <w:rPr>
                <w:rFonts w:hint="default" w:ascii="Times New Roman" w:hAnsi="Times New Roman" w:eastAsia="仿宋_GB2312" w:cs="Times New Roman"/>
                <w:b w:val="0"/>
                <w:bCs w:val="0"/>
                <w:i w:val="0"/>
                <w:color w:val="auto"/>
                <w:kern w:val="0"/>
                <w:sz w:val="28"/>
                <w:szCs w:val="28"/>
                <w:u w:val="none"/>
                <w:lang w:eastAsia="zh-CN" w:bidi="ar"/>
              </w:rPr>
              <w:t>“规建养运服”全链条及灾害防控、政务服务等综合交通行业数据</w:t>
            </w:r>
            <w:r>
              <w:rPr>
                <w:rFonts w:hint="default" w:ascii="Times New Roman" w:hAnsi="Times New Roman" w:eastAsia="仿宋_GB2312" w:cs="Times New Roman"/>
                <w:i w:val="0"/>
                <w:color w:val="auto"/>
                <w:kern w:val="0"/>
                <w:sz w:val="28"/>
                <w:szCs w:val="28"/>
                <w:u w:val="none"/>
                <w:lang w:val="en-US" w:eastAsia="zh-CN" w:bidi="ar"/>
              </w:rPr>
              <w:t>，为道路养护科学决策、运营全域智控、灾害主动防御等应用场景提供训练数据</w:t>
            </w:r>
            <w:r>
              <w:rPr>
                <w:rFonts w:hint="default" w:ascii="Times New Roman" w:hAnsi="Times New Roman" w:eastAsia="仿宋_GB2312" w:cs="Times New Roman"/>
                <w:color w:val="auto"/>
                <w:kern w:val="0"/>
                <w:sz w:val="28"/>
                <w:szCs w:val="28"/>
                <w:lang w:bidi="ar"/>
              </w:rPr>
              <w:t>支撑</w:t>
            </w:r>
            <w:r>
              <w:rPr>
                <w:rFonts w:hint="default" w:ascii="Times New Roman" w:hAnsi="Times New Roman" w:eastAsia="仿宋_GB2312" w:cs="Times New Roman"/>
                <w:i w:val="0"/>
                <w:color w:val="auto"/>
                <w:kern w:val="0"/>
                <w:sz w:val="28"/>
                <w:szCs w:val="28"/>
                <w:u w:val="none"/>
                <w:lang w:val="en-US" w:eastAsia="zh-CN" w:bidi="ar"/>
              </w:rPr>
              <w:t>。</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79F769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w:t>
            </w:r>
            <w:r>
              <w:rPr>
                <w:rFonts w:hint="default" w:ascii="Times New Roman" w:hAnsi="Times New Roman" w:eastAsia="仿宋_GB2312" w:cs="Times New Roman"/>
                <w:b w:val="0"/>
                <w:bCs w:val="0"/>
                <w:i w:val="0"/>
                <w:color w:val="auto"/>
                <w:kern w:val="0"/>
                <w:sz w:val="28"/>
                <w:szCs w:val="28"/>
                <w:u w:val="none"/>
                <w:lang w:eastAsia="zh-CN" w:bidi="ar"/>
              </w:rPr>
              <w:t>数据资源涵盖“规建养运服”全链条及灾害防控、政务服务等综合交通行业数据，多模态行业数据总量达1PB。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156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eastAsia="zh-CN" w:bidi="ar"/>
              </w:rPr>
              <w:t>50P</w:t>
            </w:r>
          </w:p>
        </w:tc>
      </w:tr>
      <w:tr w14:paraId="748F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7E47B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8</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03E5F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广西动力装备垂类大模型数据训练基地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AC61C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广西星网智云科技有限公司</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4C1CFAF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广西民族大学，广西大学，广西玉柴机器股份有限公司，广西交通职业技术学院，广西工业职业技术学院，广西水利电力职业技术学院，广西机电技师学院</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A20399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陈剑</w:t>
            </w:r>
          </w:p>
          <w:p w14:paraId="58C7A1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18076595321</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7521A1E9">
            <w:pPr>
              <w:keepNext w:val="0"/>
              <w:keepLines w:val="0"/>
              <w:pageBreakBefore w:val="0"/>
              <w:widowControl/>
              <w:kinsoku/>
              <w:wordWrap/>
              <w:overflowPunct/>
              <w:topLinePunct w:val="0"/>
              <w:autoSpaceDE/>
              <w:autoSpaceDN/>
              <w:bidi w:val="0"/>
              <w:adjustRightInd/>
              <w:snapToGrid/>
              <w:spacing w:line="380" w:lineRule="exact"/>
              <w:ind w:firstLine="560" w:firstLineChars="200"/>
              <w:jc w:val="both"/>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基地针对研发设计试验、质量改进、供应链协同、工艺文件管理等环节效率低、依赖经验、易出错等痛点，整合了文本、工况表格等行业数据，为零部件智能设计、试验报告智能生成、故障智能诊断预警、视觉质检等相关应用场景提供训练数据支撑。</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7677076">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bidi="ar"/>
              </w:rPr>
              <w:t>基地</w:t>
            </w:r>
            <w:r>
              <w:rPr>
                <w:rFonts w:hint="default" w:ascii="Times New Roman" w:hAnsi="Times New Roman" w:eastAsia="仿宋_GB2312" w:cs="Times New Roman"/>
                <w:color w:val="auto"/>
                <w:kern w:val="0"/>
                <w:sz w:val="28"/>
                <w:szCs w:val="28"/>
                <w:lang w:eastAsia="zh-CN" w:bidi="ar"/>
              </w:rPr>
              <w:t>数据资源涵盖</w:t>
            </w:r>
            <w:r>
              <w:rPr>
                <w:rFonts w:hint="default" w:ascii="Times New Roman" w:hAnsi="Times New Roman" w:eastAsia="仿宋_GB2312" w:cs="Times New Roman"/>
                <w:color w:val="auto"/>
                <w:kern w:val="0"/>
                <w:sz w:val="28"/>
                <w:szCs w:val="28"/>
                <w:lang w:bidi="ar"/>
              </w:rPr>
              <w:t>文本、工况表格数据、图片、图文混排；</w:t>
            </w:r>
            <w:r>
              <w:rPr>
                <w:rFonts w:hint="default" w:ascii="Times New Roman" w:hAnsi="Times New Roman" w:eastAsia="仿宋_GB2312" w:cs="Times New Roman"/>
                <w:color w:val="auto"/>
                <w:kern w:val="0"/>
                <w:sz w:val="28"/>
                <w:szCs w:val="28"/>
                <w:lang w:val="en-US" w:eastAsia="zh-CN" w:bidi="ar"/>
              </w:rPr>
              <w:t>SFT重训数据</w:t>
            </w:r>
            <w:r>
              <w:rPr>
                <w:rFonts w:hint="default" w:ascii="Times New Roman" w:hAnsi="Times New Roman" w:eastAsia="仿宋_GB2312" w:cs="Times New Roman"/>
                <w:color w:val="auto"/>
                <w:kern w:val="0"/>
                <w:sz w:val="28"/>
                <w:szCs w:val="28"/>
                <w:lang w:bidi="ar"/>
              </w:rPr>
              <w:t>规模</w:t>
            </w:r>
            <w:r>
              <w:rPr>
                <w:rFonts w:hint="default" w:ascii="Times New Roman" w:hAnsi="Times New Roman" w:eastAsia="仿宋_GB2312" w:cs="Times New Roman"/>
                <w:color w:val="auto"/>
                <w:kern w:val="0"/>
                <w:sz w:val="28"/>
                <w:szCs w:val="28"/>
                <w:lang w:eastAsia="zh-CN" w:bidi="ar"/>
              </w:rPr>
              <w:t>为</w:t>
            </w:r>
            <w:r>
              <w:rPr>
                <w:rFonts w:hint="default" w:ascii="Times New Roman" w:hAnsi="Times New Roman" w:eastAsia="仿宋_GB2312" w:cs="Times New Roman"/>
                <w:color w:val="auto"/>
                <w:kern w:val="0"/>
                <w:sz w:val="28"/>
                <w:szCs w:val="28"/>
                <w:lang w:bidi="ar"/>
              </w:rPr>
              <w:t>1.5</w:t>
            </w:r>
            <w:r>
              <w:rPr>
                <w:rFonts w:hint="default" w:ascii="Times New Roman" w:hAnsi="Times New Roman" w:eastAsia="仿宋_GB2312" w:cs="Times New Roman"/>
                <w:color w:val="auto"/>
                <w:kern w:val="0"/>
                <w:sz w:val="28"/>
                <w:szCs w:val="28"/>
                <w:lang w:eastAsia="zh-CN" w:bidi="ar"/>
              </w:rPr>
              <w:t>亿</w:t>
            </w:r>
            <w:r>
              <w:rPr>
                <w:rFonts w:hint="default" w:ascii="Times New Roman" w:hAnsi="Times New Roman" w:eastAsia="仿宋_GB2312" w:cs="Times New Roman"/>
                <w:color w:val="auto"/>
                <w:kern w:val="0"/>
                <w:sz w:val="28"/>
                <w:szCs w:val="28"/>
                <w:lang w:bidi="ar"/>
              </w:rPr>
              <w:t>tokens；</w:t>
            </w:r>
            <w:r>
              <w:rPr>
                <w:rFonts w:hint="default" w:ascii="Times New Roman" w:hAnsi="Times New Roman" w:eastAsia="仿宋_GB2312" w:cs="Times New Roman"/>
                <w:color w:val="auto"/>
                <w:kern w:val="0"/>
                <w:sz w:val="28"/>
                <w:szCs w:val="28"/>
                <w:lang w:eastAsia="zh-CN" w:bidi="ar"/>
              </w:rPr>
              <w:t>入库知识约为</w:t>
            </w:r>
            <w:r>
              <w:rPr>
                <w:rFonts w:hint="default" w:ascii="Times New Roman" w:hAnsi="Times New Roman" w:eastAsia="仿宋_GB2312" w:cs="Times New Roman"/>
                <w:color w:val="auto"/>
                <w:kern w:val="0"/>
                <w:sz w:val="28"/>
                <w:szCs w:val="28"/>
                <w:lang w:val="en-US" w:eastAsia="zh-CN" w:bidi="ar"/>
              </w:rPr>
              <w:t>66亿</w:t>
            </w:r>
            <w:r>
              <w:rPr>
                <w:rFonts w:hint="default" w:ascii="Times New Roman" w:hAnsi="Times New Roman" w:eastAsia="仿宋_GB2312" w:cs="Times New Roman"/>
                <w:color w:val="auto"/>
                <w:kern w:val="0"/>
                <w:sz w:val="28"/>
                <w:szCs w:val="28"/>
                <w:lang w:bidi="ar"/>
              </w:rPr>
              <w:t>tokens；涉及动力装备行业</w:t>
            </w:r>
            <w:r>
              <w:rPr>
                <w:rFonts w:hint="default" w:ascii="Times New Roman" w:hAnsi="Times New Roman" w:eastAsia="仿宋_GB2312" w:cs="Times New Roman"/>
                <w:color w:val="auto"/>
                <w:kern w:val="0"/>
                <w:sz w:val="28"/>
                <w:szCs w:val="28"/>
                <w:lang w:eastAsia="zh-CN" w:bidi="ar"/>
              </w:rPr>
              <w:t>数据总量达</w:t>
            </w:r>
            <w:r>
              <w:rPr>
                <w:rFonts w:hint="default" w:ascii="Times New Roman" w:hAnsi="Times New Roman" w:eastAsia="仿宋_GB2312" w:cs="Times New Roman"/>
                <w:color w:val="auto"/>
                <w:kern w:val="0"/>
                <w:sz w:val="28"/>
                <w:szCs w:val="28"/>
                <w:lang w:bidi="ar"/>
              </w:rPr>
              <w:t>2.7PB</w:t>
            </w:r>
            <w:r>
              <w:rPr>
                <w:rFonts w:hint="default" w:ascii="Times New Roman" w:hAnsi="Times New Roman" w:eastAsia="仿宋_GB2312" w:cs="Times New Roman"/>
                <w:color w:val="auto"/>
                <w:kern w:val="0"/>
                <w:sz w:val="28"/>
                <w:szCs w:val="28"/>
                <w:lang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50EC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64P</w:t>
            </w:r>
          </w:p>
          <w:p w14:paraId="159D2435">
            <w:pPr>
              <w:pStyle w:val="4"/>
              <w:keepNext w:val="0"/>
              <w:keepLines w:val="0"/>
              <w:pageBreakBefore w:val="0"/>
              <w:widowControl/>
              <w:kinsoku/>
              <w:wordWrap/>
              <w:overflowPunct/>
              <w:topLinePunct w:val="0"/>
              <w:autoSpaceDE/>
              <w:autoSpaceDN/>
              <w:bidi w:val="0"/>
              <w:adjustRightInd/>
              <w:snapToGrid/>
              <w:spacing w:afterLines="0" w:line="380" w:lineRule="exact"/>
              <w:ind w:firstLine="0" w:firstLineChars="0"/>
              <w:jc w:val="center"/>
              <w:rPr>
                <w:rFonts w:hint="default" w:ascii="Times New Roman" w:hAnsi="Times New Roman" w:eastAsia="仿宋_GB2312" w:cs="Times New Roman"/>
                <w:color w:val="auto"/>
                <w:kern w:val="2"/>
                <w:sz w:val="28"/>
                <w:szCs w:val="28"/>
                <w:lang w:val="en-US" w:eastAsia="zh-CN" w:bidi="ar"/>
              </w:rPr>
            </w:pPr>
          </w:p>
        </w:tc>
      </w:tr>
      <w:tr w14:paraId="0A3F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570DD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highlight w:val="none"/>
                <w:u w:val="none"/>
                <w:lang w:val="en-US" w:eastAsia="zh-CN" w:bidi="ar"/>
              </w:rPr>
            </w:pPr>
            <w:r>
              <w:rPr>
                <w:rFonts w:hint="default" w:ascii="Times New Roman" w:hAnsi="Times New Roman" w:eastAsia="仿宋_GB2312" w:cs="Times New Roman"/>
                <w:b/>
                <w:bCs w:val="0"/>
                <w:i w:val="0"/>
                <w:color w:val="auto"/>
                <w:kern w:val="0"/>
                <w:sz w:val="28"/>
                <w:szCs w:val="28"/>
                <w:highlight w:val="none"/>
                <w:u w:val="none"/>
                <w:lang w:val="en-US" w:eastAsia="zh-CN" w:bidi="ar"/>
              </w:rPr>
              <w:t>9</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492F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highlight w:val="none"/>
                <w:u w:val="none"/>
                <w:lang w:val="en-US" w:eastAsia="zh-CN" w:bidi="ar"/>
              </w:rPr>
            </w:pPr>
            <w:r>
              <w:rPr>
                <w:rFonts w:hint="default" w:ascii="Times New Roman" w:hAnsi="Times New Roman" w:eastAsia="仿宋_GB2312" w:cs="Times New Roman"/>
                <w:b/>
                <w:bCs w:val="0"/>
                <w:i w:val="0"/>
                <w:color w:val="auto"/>
                <w:kern w:val="0"/>
                <w:sz w:val="28"/>
                <w:szCs w:val="28"/>
                <w:highlight w:val="none"/>
                <w:u w:val="none"/>
                <w:lang w:val="en-US" w:eastAsia="zh-CN" w:bidi="ar"/>
              </w:rPr>
              <w:t>广西智慧交通垂类大模型数据训练基地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6473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广西计算中心有限责任公司</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59B910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无</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233C4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覃麒瑗</w:t>
            </w:r>
          </w:p>
          <w:p w14:paraId="04D579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0771—2110618</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18068DD6">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both"/>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基地依托海量交通历史数据与实时信息流构建高质量数据集，整合了交通监管、道路养护、物流优化等行业数据，为交通监管、道路养护、物流优化、应急救援等多场景</w:t>
            </w:r>
            <w:r>
              <w:rPr>
                <w:rFonts w:hint="default" w:ascii="Times New Roman" w:hAnsi="Times New Roman" w:eastAsia="仿宋_GB2312" w:cs="Times New Roman"/>
                <w:color w:val="auto"/>
                <w:kern w:val="0"/>
                <w:sz w:val="28"/>
                <w:szCs w:val="28"/>
                <w:lang w:bidi="ar"/>
              </w:rPr>
              <w:t>提供训练数据支撑。</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748972A">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left"/>
              <w:textAlignment w:val="center"/>
              <w:rPr>
                <w:rFonts w:hint="default" w:ascii="Times New Roman" w:hAnsi="Times New Roman" w:eastAsia="仿宋_GB2312" w:cs="Times New Roman"/>
                <w:b w:val="0"/>
                <w:bCs w:val="0"/>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基地</w:t>
            </w:r>
            <w:r>
              <w:rPr>
                <w:rFonts w:hint="default" w:ascii="Times New Roman" w:hAnsi="Times New Roman" w:eastAsia="仿宋_GB2312" w:cs="Times New Roman"/>
                <w:b w:val="0"/>
                <w:bCs w:val="0"/>
                <w:i w:val="0"/>
                <w:color w:val="auto"/>
                <w:kern w:val="0"/>
                <w:sz w:val="28"/>
                <w:szCs w:val="28"/>
                <w:highlight w:val="none"/>
                <w:u w:val="none"/>
                <w:lang w:val="en-US" w:eastAsia="zh-CN" w:bidi="ar"/>
              </w:rPr>
              <w:t>数据资源涵盖</w:t>
            </w:r>
            <w:r>
              <w:rPr>
                <w:rFonts w:hint="default" w:ascii="Times New Roman" w:hAnsi="Times New Roman" w:eastAsia="仿宋_GB2312" w:cs="Times New Roman"/>
                <w:i w:val="0"/>
                <w:color w:val="auto"/>
                <w:kern w:val="0"/>
                <w:sz w:val="28"/>
                <w:szCs w:val="28"/>
                <w:highlight w:val="none"/>
                <w:u w:val="none"/>
                <w:lang w:val="en-US" w:eastAsia="zh-CN" w:bidi="ar"/>
              </w:rPr>
              <w:t>交通监管、道路养护、物流优化、应急救援等场景相关的</w:t>
            </w:r>
            <w:r>
              <w:rPr>
                <w:rFonts w:hint="default" w:ascii="Times New Roman" w:hAnsi="Times New Roman" w:eastAsia="仿宋_GB2312" w:cs="Times New Roman"/>
                <w:b w:val="0"/>
                <w:bCs w:val="0"/>
                <w:i w:val="0"/>
                <w:color w:val="auto"/>
                <w:kern w:val="0"/>
                <w:sz w:val="28"/>
                <w:szCs w:val="28"/>
                <w:highlight w:val="none"/>
                <w:u w:val="none"/>
                <w:lang w:val="en-US" w:eastAsia="zh-CN" w:bidi="ar"/>
              </w:rPr>
              <w:t>结构化和非结构化的</w:t>
            </w:r>
            <w:r>
              <w:rPr>
                <w:rFonts w:hint="default" w:ascii="Times New Roman" w:hAnsi="Times New Roman" w:eastAsia="仿宋_GB2312" w:cs="Times New Roman"/>
                <w:i w:val="0"/>
                <w:color w:val="auto"/>
                <w:kern w:val="0"/>
                <w:sz w:val="28"/>
                <w:szCs w:val="28"/>
                <w:highlight w:val="none"/>
                <w:u w:val="none"/>
                <w:lang w:val="en-US" w:eastAsia="zh-CN" w:bidi="ar"/>
              </w:rPr>
              <w:t>行业数据，规模</w:t>
            </w:r>
            <w:r>
              <w:rPr>
                <w:rFonts w:hint="default" w:ascii="Times New Roman" w:hAnsi="Times New Roman" w:eastAsia="仿宋_GB2312" w:cs="Times New Roman"/>
                <w:b w:val="0"/>
                <w:bCs w:val="0"/>
                <w:i w:val="0"/>
                <w:color w:val="auto"/>
                <w:kern w:val="0"/>
                <w:sz w:val="28"/>
                <w:szCs w:val="28"/>
                <w:highlight w:val="none"/>
                <w:u w:val="none"/>
                <w:lang w:val="en-US" w:eastAsia="zh-CN" w:bidi="ar"/>
              </w:rPr>
              <w:t>达</w:t>
            </w:r>
            <w:r>
              <w:rPr>
                <w:rFonts w:hint="default" w:ascii="Times New Roman" w:hAnsi="Times New Roman" w:eastAsia="仿宋_GB2312" w:cs="Times New Roman"/>
                <w:i w:val="0"/>
                <w:color w:val="auto"/>
                <w:kern w:val="0"/>
                <w:sz w:val="28"/>
                <w:szCs w:val="28"/>
                <w:highlight w:val="none"/>
                <w:u w:val="none"/>
                <w:lang w:val="en-US" w:eastAsia="zh-CN" w:bidi="ar"/>
              </w:rPr>
              <w:t>27.34PB</w:t>
            </w:r>
            <w:r>
              <w:rPr>
                <w:rFonts w:hint="default" w:ascii="Times New Roman" w:hAnsi="Times New Roman" w:eastAsia="仿宋_GB2312" w:cs="Times New Roman"/>
                <w:b w:val="0"/>
                <w:bCs w:val="0"/>
                <w:i w:val="0"/>
                <w:color w:val="auto"/>
                <w:kern w:val="0"/>
                <w:sz w:val="28"/>
                <w:szCs w:val="28"/>
                <w:highlight w:val="none"/>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DD9519">
            <w:pPr>
              <w:keepNext w:val="0"/>
              <w:keepLines w:val="0"/>
              <w:pageBreakBefore w:val="0"/>
              <w:widowControl/>
              <w:suppressLineNumbers w:val="0"/>
              <w:kinsoku/>
              <w:wordWrap/>
              <w:overflowPunct/>
              <w:topLinePunct w:val="0"/>
              <w:autoSpaceDE/>
              <w:autoSpaceDN/>
              <w:bidi w:val="0"/>
              <w:adjustRightInd/>
              <w:snapToGrid/>
              <w:spacing w:line="380" w:lineRule="exact"/>
              <w:jc w:val="center"/>
              <w:rPr>
                <w:rFonts w:hint="default" w:ascii="Times New Roman" w:hAnsi="Times New Roman" w:eastAsia="仿宋_GB2312" w:cs="Times New Roman"/>
                <w:b w:val="0"/>
                <w:bCs w:val="0"/>
                <w:i w:val="0"/>
                <w:color w:val="auto"/>
                <w:kern w:val="0"/>
                <w:sz w:val="28"/>
                <w:szCs w:val="28"/>
                <w:highlight w:val="none"/>
                <w:u w:val="none"/>
                <w:lang w:val="en-US" w:eastAsia="zh-CN" w:bidi="ar"/>
              </w:rPr>
            </w:pPr>
            <w:r>
              <w:rPr>
                <w:rFonts w:hint="default" w:ascii="Times New Roman" w:hAnsi="Times New Roman" w:eastAsia="仿宋_GB2312" w:cs="Times New Roman"/>
                <w:b w:val="0"/>
                <w:bCs w:val="0"/>
                <w:i w:val="0"/>
                <w:color w:val="auto"/>
                <w:kern w:val="0"/>
                <w:sz w:val="28"/>
                <w:szCs w:val="28"/>
                <w:highlight w:val="none"/>
                <w:u w:val="none"/>
                <w:lang w:val="en-US" w:eastAsia="zh-CN" w:bidi="ar"/>
              </w:rPr>
              <w:t>约50p</w:t>
            </w:r>
          </w:p>
        </w:tc>
      </w:tr>
      <w:tr w14:paraId="5E23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5"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0353D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D260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val="0"/>
                <w:i w:val="0"/>
                <w:color w:val="auto"/>
                <w:kern w:val="0"/>
                <w:sz w:val="28"/>
                <w:szCs w:val="28"/>
                <w:u w:val="none"/>
                <w:lang w:val="en-US" w:eastAsia="zh-CN" w:bidi="ar"/>
              </w:rPr>
            </w:pPr>
            <w:r>
              <w:rPr>
                <w:rFonts w:hint="default" w:ascii="Times New Roman" w:hAnsi="Times New Roman" w:eastAsia="仿宋_GB2312" w:cs="Times New Roman"/>
                <w:b/>
                <w:bCs w:val="0"/>
                <w:i w:val="0"/>
                <w:color w:val="auto"/>
                <w:kern w:val="0"/>
                <w:sz w:val="28"/>
                <w:szCs w:val="28"/>
                <w:u w:val="none"/>
                <w:lang w:val="en-US" w:eastAsia="zh-CN" w:bidi="ar"/>
              </w:rPr>
              <w:t>广西畜禽精准营养垂类大模型数据训练基地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58B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广西大学</w:t>
            </w:r>
          </w:p>
        </w:tc>
        <w:tc>
          <w:tcPr>
            <w:tcW w:w="2707" w:type="dxa"/>
            <w:tcBorders>
              <w:top w:val="single" w:color="000000" w:sz="4" w:space="0"/>
              <w:left w:val="single" w:color="000000" w:sz="4" w:space="0"/>
              <w:bottom w:val="single" w:color="000000" w:sz="4" w:space="0"/>
              <w:right w:val="single" w:color="000000" w:sz="4" w:space="0"/>
            </w:tcBorders>
            <w:noWrap w:val="0"/>
            <w:vAlign w:val="center"/>
          </w:tcPr>
          <w:p w14:paraId="13BAF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广西扬翔集团股份有限公司，中国移动通信集团广西有限公司，广西产研院人工智能与大数据应用研究所有限公司，广西扬翔农牧有限责任公司，广西扬翔猪基因科技有限公司</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3A9E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兰伟</w:t>
            </w:r>
          </w:p>
          <w:p w14:paraId="5D17F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0771—3274458</w:t>
            </w:r>
          </w:p>
        </w:tc>
        <w:tc>
          <w:tcPr>
            <w:tcW w:w="3548" w:type="dxa"/>
            <w:tcBorders>
              <w:top w:val="single" w:color="000000" w:sz="4" w:space="0"/>
              <w:left w:val="single" w:color="000000" w:sz="4" w:space="0"/>
              <w:bottom w:val="single" w:color="000000" w:sz="4" w:space="0"/>
              <w:right w:val="single" w:color="000000" w:sz="4" w:space="0"/>
            </w:tcBorders>
            <w:noWrap w:val="0"/>
            <w:vAlign w:val="center"/>
          </w:tcPr>
          <w:p w14:paraId="6E9951A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基地针对传统生猪饲料营养方案同质化、原料配方单一化的行业痛点，构建生猪营养与饲料原料指标一站式数据采集平台，搭建生猪营养需求及配方行业知识图谱，为生猪饲料配方科学化、精准化与养殖产业智能化、高效化等应用场景提供训练数据支撑。</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18EDB79">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val="en-US" w:eastAsia="zh-CN" w:bidi="ar"/>
              </w:rPr>
              <w:t>基地数据资源涵盖生猪饲养全流程、精准饲料配方研发等核心环节相关行业数据，总规模达1.3PB。</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344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val="0"/>
                <w:bCs w:val="0"/>
                <w:i w:val="0"/>
                <w:color w:val="auto"/>
                <w:kern w:val="0"/>
                <w:sz w:val="28"/>
                <w:szCs w:val="28"/>
                <w:u w:val="none"/>
                <w:lang w:val="en-US" w:eastAsia="zh-CN" w:bidi="ar"/>
              </w:rPr>
            </w:pPr>
            <w:r>
              <w:rPr>
                <w:rFonts w:hint="default" w:ascii="Times New Roman" w:hAnsi="Times New Roman" w:eastAsia="仿宋_GB2312" w:cs="Times New Roman"/>
                <w:b w:val="0"/>
                <w:bCs w:val="0"/>
                <w:i w:val="0"/>
                <w:color w:val="auto"/>
                <w:kern w:val="0"/>
                <w:sz w:val="28"/>
                <w:szCs w:val="28"/>
                <w:u w:val="none"/>
                <w:lang w:val="en-US" w:eastAsia="zh-CN" w:bidi="ar"/>
              </w:rPr>
              <w:t>120P</w:t>
            </w:r>
          </w:p>
        </w:tc>
      </w:tr>
    </w:tbl>
    <w:p w14:paraId="33574BE6">
      <w:pPr>
        <w:pStyle w:val="5"/>
        <w:keepNext w:val="0"/>
        <w:keepLines w:val="0"/>
        <w:pageBreakBefore w:val="0"/>
        <w:kinsoku/>
        <w:wordWrap/>
        <w:overflowPunct/>
        <w:topLinePunct w:val="0"/>
        <w:autoSpaceDE/>
        <w:autoSpaceDN/>
        <w:bidi w:val="0"/>
        <w:adjustRightInd/>
        <w:snapToGrid/>
        <w:spacing w:line="360" w:lineRule="exact"/>
      </w:pPr>
    </w:p>
    <w:p w14:paraId="5060F6AC">
      <w:pPr>
        <w:pStyle w:val="2"/>
        <w:rPr>
          <w:rFonts w:hint="eastAsia"/>
          <w:lang w:val="en-US" w:eastAsia="zh-CN"/>
        </w:rPr>
        <w:sectPr>
          <w:footerReference r:id="rId5" w:type="first"/>
          <w:headerReference r:id="rId3" w:type="default"/>
          <w:footerReference r:id="rId4" w:type="default"/>
          <w:pgSz w:w="16838" w:h="11906" w:orient="landscape"/>
          <w:pgMar w:top="2098" w:right="1531" w:bottom="1701" w:left="1531" w:header="851" w:footer="1417" w:gutter="0"/>
          <w:paperSrc/>
          <w:pgNumType w:fmt="decimal"/>
          <w:cols w:space="720" w:num="1"/>
          <w:titlePg/>
          <w:rtlGutter w:val="0"/>
          <w:docGrid w:type="lines" w:linePitch="315" w:charSpace="0"/>
        </w:sectPr>
      </w:pPr>
      <w:bookmarkStart w:id="0" w:name="_GoBack"/>
      <w:bookmarkEnd w:id="0"/>
    </w:p>
    <w:p w14:paraId="303D9D70">
      <w:pPr>
        <w:pStyle w:val="2"/>
        <w:spacing w:line="100" w:lineRule="exact"/>
        <w:rPr>
          <w:rFonts w:ascii="Times New Roman" w:hAnsi="Times New Roman" w:eastAsia="仿宋_GB2312" w:cs="Times New Roman"/>
          <w:sz w:val="32"/>
          <w:szCs w:val="32"/>
        </w:rPr>
      </w:pPr>
    </w:p>
    <w:sectPr>
      <w:footerReference r:id="rId6" w:type="default"/>
      <w:footerReference r:id="rId7" w:type="even"/>
      <w:pgSz w:w="16838" w:h="11906" w:orient="landscape"/>
      <w:pgMar w:top="1531" w:right="2098" w:bottom="1531" w:left="1701" w:header="851" w:footer="1417" w:gutter="0"/>
      <w:paperSrc/>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A87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F0A5E">
                          <w:pPr>
                            <w:pStyle w:val="7"/>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EUQt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ecOWFp4Jfv3y4/fl1+fmUv&#10;kj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JRFELdAQAAvgMAAA4AAAAAAAAA&#10;AQAgAAAAHgEAAGRycy9lMm9Eb2MueG1sUEsFBgAAAAAGAAYAWQEAAG0FAAAAAA==&#10;">
              <v:fill on="f" focussize="0,0"/>
              <v:stroke on="f"/>
              <v:imagedata o:title=""/>
              <o:lock v:ext="edit" aspectratio="f"/>
              <v:textbox inset="0mm,0mm,0mm,0mm" style="mso-fit-shape-to-text:t;">
                <w:txbxContent>
                  <w:p w14:paraId="5EDF0A5E">
                    <w:pPr>
                      <w:pStyle w:val="7"/>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637F">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FDDA4">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5D9FDDA4">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8895">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C282F">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45CC282F">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F833">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5E720">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v:fill on="f" focussize="0,0"/>
              <v:stroke on="f"/>
              <v:imagedata o:title=""/>
              <o:lock v:ext="edit" aspectratio="f"/>
              <v:textbox inset="0mm,0mm,0mm,0mm" style="mso-fit-shape-to-text:t;">
                <w:txbxContent>
                  <w:p w14:paraId="7C75E720">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BE7E">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6865915D">
                          <w:r>
                            <w:t>ImpTraceLabel=PD94bWwgdmVyc2lvbj0nMS4wJyBlbmNvZGluZz0nVVRGLTgnPz48dHJhY2U+PGNvbnRlbnQ+PC9jb250ZW50PjxhY2NvdW50PjNrdXZhYmNpOWhjY2gwdjdtODNxdHE8L2FjY291bnQ+PG1hY2hpbmVDb2RlPkszOFpTM0gwMDE1NjgKPC9tYWNoaW5lQ29kZT48dGltZT4yMDI2LTAyLTA5IDA5OjAwOjI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6865915D">
                    <w:r>
                      <w:t>ImpTraceLabel=PD94bWwgdmVyc2lvbj0nMS4wJyBlbmNvZGluZz0nVVRGLTgnPz48dHJhY2U+PGNvbnRlbnQ+PC9jb250ZW50PjxhY2NvdW50PjNrdXZhYmNpOWhjY2gwdjdtODNxdHE8L2FjY291bnQ+PG1hY2hpbmVDb2RlPkszOFpTM0gwMDE1NjgKPC9tYWNoaW5lQ29kZT48dGltZT4yMDI2LTAyLTA5IDA5OjAwOjIx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08C5BCF"/>
    <w:rsid w:val="1FFB6BB7"/>
    <w:rsid w:val="25F9AFC7"/>
    <w:rsid w:val="26BC7BDE"/>
    <w:rsid w:val="2FB78D57"/>
    <w:rsid w:val="55625F0C"/>
    <w:rsid w:val="57FFB94D"/>
    <w:rsid w:val="5AF35FEF"/>
    <w:rsid w:val="5CC44C22"/>
    <w:rsid w:val="5D7DA44A"/>
    <w:rsid w:val="5F2A78FD"/>
    <w:rsid w:val="5F7746D1"/>
    <w:rsid w:val="642971E3"/>
    <w:rsid w:val="66C9548A"/>
    <w:rsid w:val="6AFE5D15"/>
    <w:rsid w:val="6D7F6622"/>
    <w:rsid w:val="75477E01"/>
    <w:rsid w:val="775F87F6"/>
    <w:rsid w:val="7BB5B76D"/>
    <w:rsid w:val="7BF713E3"/>
    <w:rsid w:val="AFFF5854"/>
    <w:rsid w:val="BEFFCE19"/>
    <w:rsid w:val="DABFDD98"/>
    <w:rsid w:val="DD7F1A55"/>
    <w:rsid w:val="DE5F22D3"/>
    <w:rsid w:val="F3EF5292"/>
    <w:rsid w:val="FEFD9048"/>
    <w:rsid w:val="FF7FC1DB"/>
    <w:rsid w:val="FFF6FF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4">
    <w:name w:val="Body Text"/>
    <w:next w:val="5"/>
    <w:qFormat/>
    <w:uiPriority w:val="0"/>
    <w:pPr>
      <w:widowControl w:val="0"/>
      <w:spacing w:afterLines="0" w:afterAutospacing="0"/>
      <w:ind w:firstLine="640" w:firstLineChars="200"/>
      <w:jc w:val="both"/>
    </w:pPr>
    <w:rPr>
      <w:rFonts w:ascii="Calibri" w:hAnsi="Calibri" w:eastAsia="仿宋_GB2312" w:cs="Times New Roman"/>
      <w:kern w:val="2"/>
      <w:sz w:val="32"/>
      <w:szCs w:val="24"/>
      <w:lang w:val="en-US" w:eastAsia="zh-CN" w:bidi="ar-SA"/>
    </w:rPr>
  </w:style>
  <w:style w:type="paragraph" w:styleId="5">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6">
    <w:name w:val="Balloon Text"/>
    <w:basedOn w:val="1"/>
    <w:link w:val="13"/>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6"/>
    <w:qFormat/>
    <w:uiPriority w:val="0"/>
    <w:rPr>
      <w:kern w:val="2"/>
      <w:sz w:val="18"/>
      <w:szCs w:val="18"/>
    </w:rPr>
  </w:style>
  <w:style w:type="character" w:customStyle="1" w:styleId="14">
    <w:name w:val="页脚 Char"/>
    <w:basedOn w:val="12"/>
    <w:link w:val="7"/>
    <w:qFormat/>
    <w:uiPriority w:val="99"/>
    <w:rPr>
      <w:kern w:val="2"/>
      <w:sz w:val="18"/>
      <w:szCs w:val="18"/>
    </w:rPr>
  </w:style>
  <w:style w:type="character" w:customStyle="1" w:styleId="15">
    <w:name w:val="页眉 Char"/>
    <w:basedOn w:val="12"/>
    <w:link w:val="8"/>
    <w:qFormat/>
    <w:uiPriority w:val="99"/>
    <w:rPr>
      <w:kern w:val="2"/>
      <w:sz w:val="18"/>
      <w:szCs w:val="18"/>
    </w:rPr>
  </w:style>
  <w:style w:type="paragraph" w:customStyle="1" w:styleId="1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7">
    <w:name w:val="List Paragraph"/>
    <w:basedOn w:val="1"/>
    <w:unhideWhenUsed/>
    <w:qFormat/>
    <w:uiPriority w:val="99"/>
    <w:pPr>
      <w:ind w:firstLine="420" w:firstLineChars="200"/>
    </w:pPr>
  </w:style>
  <w:style w:type="paragraph" w:customStyle="1" w:styleId="18">
    <w:name w:val="正文 首行缩进:  2 字符"/>
    <w:qFormat/>
    <w:uiPriority w:val="99"/>
    <w:pPr>
      <w:widowControl w:val="0"/>
      <w:ind w:firstLine="200" w:firstLineChars="200"/>
      <w:jc w:val="both"/>
    </w:pPr>
    <w:rPr>
      <w:rFonts w:ascii="Calibri" w:hAnsi="Calibri" w:eastAsia="宋体" w:cs="Times New Roman"/>
      <w:kern w:val="2"/>
      <w:sz w:val="24"/>
      <w:szCs w:val="24"/>
      <w:lang w:val="en-US" w:eastAsia="zh-CN" w:bidi="ar-SA"/>
    </w:rPr>
  </w:style>
  <w:style w:type="character" w:customStyle="1" w:styleId="19">
    <w:name w:val="font71"/>
    <w:qFormat/>
    <w:uiPriority w:val="0"/>
    <w:rPr>
      <w:rFonts w:hint="default"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8</Pages>
  <Words>782</Words>
  <Characters>824</Characters>
  <Lines>1</Lines>
  <Paragraphs>1</Paragraphs>
  <TotalTime>19.6666666666667</TotalTime>
  <ScaleCrop>false</ScaleCrop>
  <LinksUpToDate>false</LinksUpToDate>
  <CharactersWithSpaces>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2020-03-14T08:33:00Z</dcterms:created>
  <dc:creator>梁晖</dc:creator>
  <cp:lastModifiedBy>墨迹夏子</cp:lastModifiedBy>
  <cp:lastPrinted>2026-02-09T17:59:59Z</cp:lastPrinted>
  <dcterms:modified xsi:type="dcterms:W3CDTF">2026-02-09T04:03:53Z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ACAAA933422D491A840850A304602596_13</vt:lpwstr>
  </property>
</Properties>
</file>