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BD9E">
      <w:pPr>
        <w:keepNext w:val="0"/>
        <w:keepLines w:val="0"/>
        <w:pageBreakBefore w:val="0"/>
        <w:widowControl w:val="0"/>
        <w:kinsoku/>
        <w:wordWrap/>
        <w:overflowPunct/>
        <w:topLinePunct w:val="0"/>
        <w:bidi w:val="0"/>
        <w:snapToGrid/>
        <w:spacing w:line="560" w:lineRule="exact"/>
        <w:jc w:val="right"/>
        <w:rPr>
          <w:rFonts w:ascii="仿宋_GB2312" w:hAnsi="Times New Roman" w:eastAsia="仿宋_GB2312"/>
          <w:sz w:val="32"/>
          <w:szCs w:val="32"/>
        </w:rPr>
      </w:pPr>
    </w:p>
    <w:p w14:paraId="62E5E437">
      <w:pPr>
        <w:keepNext w:val="0"/>
        <w:keepLines w:val="0"/>
        <w:pageBreakBefore w:val="0"/>
        <w:widowControl w:val="0"/>
        <w:kinsoku/>
        <w:wordWrap/>
        <w:overflowPunct/>
        <w:topLinePunct w:val="0"/>
        <w:bidi w:val="0"/>
        <w:snapToGrid/>
        <w:spacing w:line="560" w:lineRule="exact"/>
        <w:jc w:val="right"/>
        <w:rPr>
          <w:rFonts w:ascii="仿宋_GB2312" w:hAnsi="Times New Roman" w:eastAsia="仿宋_GB2312"/>
          <w:sz w:val="32"/>
          <w:szCs w:val="32"/>
        </w:rPr>
      </w:pPr>
    </w:p>
    <w:p w14:paraId="2083AEE1">
      <w:pPr>
        <w:pStyle w:val="2"/>
        <w:keepNext w:val="0"/>
        <w:keepLines w:val="0"/>
        <w:pageBreakBefore w:val="0"/>
        <w:widowControl w:val="0"/>
        <w:kinsoku/>
        <w:wordWrap/>
        <w:overflowPunct/>
        <w:topLinePunct w:val="0"/>
        <w:bidi w:val="0"/>
        <w:snapToGrid/>
        <w:spacing w:line="560" w:lineRule="exact"/>
        <w:rPr>
          <w:rFonts w:hint="eastAsia"/>
        </w:rPr>
      </w:pPr>
    </w:p>
    <w:tbl>
      <w:tblPr>
        <w:tblStyle w:val="10"/>
        <w:tblW w:w="9061" w:type="dxa"/>
        <w:jc w:val="center"/>
        <w:tblLayout w:type="autofit"/>
        <w:tblCellMar>
          <w:top w:w="0" w:type="dxa"/>
          <w:left w:w="108" w:type="dxa"/>
          <w:bottom w:w="0" w:type="dxa"/>
          <w:right w:w="108" w:type="dxa"/>
        </w:tblCellMar>
      </w:tblPr>
      <w:tblGrid>
        <w:gridCol w:w="7226"/>
        <w:gridCol w:w="1835"/>
      </w:tblGrid>
      <w:tr w14:paraId="173FF2C4">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6F8AB12D">
            <w:pPr>
              <w:spacing w:line="900" w:lineRule="exact"/>
              <w:ind w:right="63"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广西壮族自治区科学技术厅</w:t>
            </w:r>
          </w:p>
        </w:tc>
        <w:tc>
          <w:tcPr>
            <w:tcW w:w="1835" w:type="dxa"/>
            <w:vMerge w:val="restart"/>
            <w:noWrap w:val="0"/>
            <w:tcMar>
              <w:left w:w="0" w:type="dxa"/>
              <w:right w:w="0" w:type="dxa"/>
            </w:tcMar>
            <w:vAlign w:val="center"/>
          </w:tcPr>
          <w:p w14:paraId="42A8E1E9">
            <w:pPr>
              <w:jc w:val="right"/>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54576FD0">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1773F03E">
            <w:pPr>
              <w:spacing w:line="900" w:lineRule="exact"/>
              <w:ind w:right="63"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广西壮族自治区财政厅</w:t>
            </w:r>
          </w:p>
        </w:tc>
        <w:tc>
          <w:tcPr>
            <w:tcW w:w="1835" w:type="dxa"/>
            <w:vMerge w:val="continue"/>
            <w:noWrap w:val="0"/>
            <w:tcMar>
              <w:left w:w="0" w:type="dxa"/>
              <w:right w:w="0" w:type="dxa"/>
            </w:tcMar>
            <w:vAlign w:val="center"/>
          </w:tcPr>
          <w:p w14:paraId="59BFBF69">
            <w:pPr>
              <w:jc w:val="center"/>
              <w:rPr>
                <w:rFonts w:hint="eastAsia" w:ascii="方正小标宋简体" w:eastAsia="方正小标宋简体"/>
                <w:color w:val="FF0000"/>
                <w:sz w:val="86"/>
                <w:szCs w:val="86"/>
              </w:rPr>
            </w:pPr>
          </w:p>
        </w:tc>
      </w:tr>
    </w:tbl>
    <w:p w14:paraId="39CBE599">
      <w:pPr>
        <w:shd w:val="clear" w:color="auto" w:fill="auto"/>
        <w:adjustRightInd w:val="0"/>
        <w:snapToGrid w:val="0"/>
        <w:spacing w:line="400" w:lineRule="exact"/>
        <w:jc w:val="center"/>
        <w:rPr>
          <w:rFonts w:hint="eastAsia" w:ascii="方正小标宋_GBK" w:hAnsi="CG Times" w:eastAsia="方正小标宋_GBK"/>
          <w:snapToGrid w:val="0"/>
          <w:color w:val="000000"/>
          <w:spacing w:val="-10"/>
          <w:kern w:val="0"/>
          <w:sz w:val="92"/>
          <w:szCs w:val="92"/>
        </w:rPr>
      </w:pPr>
    </w:p>
    <w:p w14:paraId="17169D23">
      <w:pPr>
        <w:shd w:val="clear" w:color="auto" w:fill="auto"/>
        <w:spacing w:line="400" w:lineRule="exact"/>
        <w:jc w:val="center"/>
        <w:rPr>
          <w:rFonts w:eastAsia="仿宋_GB2312"/>
          <w:color w:val="000000"/>
          <w:sz w:val="32"/>
          <w:szCs w:val="32"/>
        </w:rPr>
      </w:pPr>
    </w:p>
    <w:p w14:paraId="5C2C0C50">
      <w:pPr>
        <w:shd w:val="clear" w:color="auto" w:fill="auto"/>
        <w:jc w:val="center"/>
        <w:rPr>
          <w:rFonts w:hint="eastAsia" w:eastAsia="楷体_GB2312"/>
          <w:bCs/>
          <w:snapToGrid w:val="0"/>
          <w:color w:val="auto"/>
          <w:kern w:val="0"/>
          <w:sz w:val="32"/>
          <w:szCs w:val="32"/>
          <w:lang w:val="en-US" w:eastAsia="zh-CN"/>
        </w:rPr>
      </w:pPr>
      <w:r>
        <w:rPr>
          <w:rFonts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ascii="Times New Roman" w:hAnsi="Times New Roman" w:eastAsia="仿宋_GB2312" w:cs="Times New Roman"/>
          <w:bCs/>
          <w:snapToGrid w:val="0"/>
          <w:kern w:val="0"/>
          <w:sz w:val="32"/>
          <w:szCs w:val="32"/>
        </w:rPr>
        <w:t>〔202</w:t>
      </w:r>
      <w:r>
        <w:rPr>
          <w:rFonts w:hint="default" w:ascii="Times New Roman" w:hAnsi="Times New Roman" w:eastAsia="仿宋_GB2312" w:cs="Times New Roman"/>
          <w:bCs/>
          <w:snapToGrid w:val="0"/>
          <w:kern w:val="0"/>
          <w:sz w:val="32"/>
          <w:szCs w:val="32"/>
          <w:lang w:val="en" w:eastAsia="zh-CN"/>
        </w:rPr>
        <w:t>5</w:t>
      </w:r>
      <w:r>
        <w:rPr>
          <w:rFonts w:ascii="Times New Roman" w:hAnsi="Times New Roman" w:eastAsia="仿宋_GB2312" w:cs="Times New Roman"/>
          <w:bCs/>
          <w:snapToGrid w:val="0"/>
          <w:kern w:val="0"/>
          <w:sz w:val="32"/>
          <w:szCs w:val="32"/>
        </w:rPr>
        <w:t>〕</w:t>
      </w:r>
      <w:r>
        <w:rPr>
          <w:rFonts w:hint="default" w:ascii="Times New Roman" w:hAnsi="Times New Roman" w:cs="Times New Roman"/>
          <w:bCs/>
          <w:snapToGrid w:val="0"/>
          <w:kern w:val="0"/>
          <w:sz w:val="32"/>
          <w:szCs w:val="32"/>
          <w:lang w:val="en" w:eastAsia="zh-CN"/>
        </w:rPr>
        <w:t>17</w:t>
      </w:r>
      <w:r>
        <w:rPr>
          <w:rFonts w:ascii="Times New Roman" w:hAnsi="Times New Roman" w:eastAsia="仿宋_GB2312" w:cs="Times New Roman"/>
          <w:bCs/>
          <w:snapToGrid w:val="0"/>
          <w:kern w:val="0"/>
          <w:sz w:val="32"/>
          <w:szCs w:val="32"/>
        </w:rPr>
        <w:t>号</w:t>
      </w:r>
    </w:p>
    <w:p w14:paraId="666FCC1C">
      <w:pPr>
        <w:keepNext w:val="0"/>
        <w:keepLines w:val="0"/>
        <w:pageBreakBefore w:val="0"/>
        <w:widowControl w:val="0"/>
        <w:shd w:val="clear" w:color="auto" w:fill="auto"/>
        <w:kinsoku/>
        <w:wordWrap/>
        <w:overflowPunct/>
        <w:topLinePunct w:val="0"/>
        <w:autoSpaceDE/>
        <w:autoSpaceDN/>
        <w:bidi w:val="0"/>
        <w:adjustRightInd w:val="0"/>
        <w:snapToGrid w:val="0"/>
        <w:spacing w:line="800" w:lineRule="exact"/>
        <w:textAlignment w:val="auto"/>
        <w:rPr>
          <w:rFonts w:eastAsia="方正仿宋_GBK"/>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82550</wp:posOffset>
                </wp:positionV>
                <wp:extent cx="5760085" cy="0"/>
                <wp:effectExtent l="0" t="12700" r="635" b="17780"/>
                <wp:wrapNone/>
                <wp:docPr id="1" name="直线 2"/>
                <wp:cNvGraphicFramePr/>
                <a:graphic xmlns:a="http://schemas.openxmlformats.org/drawingml/2006/main">
                  <a:graphicData uri="http://schemas.microsoft.com/office/word/2010/wordprocessingShape">
                    <wps:wsp>
                      <wps:cNvSpPr/>
                      <wps:spPr>
                        <a:xfrm flipV="1">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7pt;margin-top:6.5pt;height:0pt;width:453.55pt;z-index:251659264;mso-width-relative:page;mso-height-relative:page;" filled="f" stroked="t" coordsize="21600,21600" o:gfxdata="UEsDBAoAAAAAAIdO4kAAAAAAAAAAAAAAAAAEAAAAZHJzL1BLAwQUAAAACACHTuJACcMHQ9QAAAAJ&#10;AQAADwAAAGRycy9kb3ducmV2LnhtbE2PwU7DMBBE70j8g7VI3Fo7pIUS4vQA4sAFqQHubryNI+J1&#10;FDtJ+XsWcYDjzjzNzpT7s+/FjGPsAmnI1goEUhNsR62G97fn1Q5ETIas6QOhhi+MsK8uL0pT2LDQ&#10;Aec6tYJDKBZGg0tpKKSMjUNv4joMSOydwuhN4nNspR3NwuG+lzdK3UpvOuIPzgz46LD5rCev4YPy&#10;KbxsnzZqrg+DyU+vy+JQ6+urTD2ASHhOfzD81OfqUHGnY5jIRtFrWGXZhlE2ct7EwO5+ewfi+CvI&#10;qpT/F1TfUEsDBBQAAAAIAIdO4kCcBOdZ8QEAAOYDAAAOAAAAZHJzL2Uyb0RvYy54bWytU82O0zAQ&#10;viPxDpbvNGlFl1XUdA+UckGw0gL3qX8SS/6Tx23aZ+E1OHHhcfY1GCfdAsulB3KIxp6Zb+b7Zry6&#10;OzrLDiqhCb7l81nNmfIiSOO7ln/5vH11yxlm8BJs8KrlJ4X8bv3yxWqIjVqEPlipEiMQj80QW97n&#10;HJuqQtErBzgLUXly6pAcZDqmrpIJBkJ3tlrU9U01hCRjCkIh0u1mcvIzYroGMGhthNoEsXfK5wk1&#10;KQuZKGFvIvL12K3WSuRPWqPKzLacmObxT0XI3pV/tV5B0yWIvRHnFuCaFp5xcmA8Fb1AbSAD2yfz&#10;D5QzIgUMOs9EcNVEZFSEWMzrZ9o89BDVyIWkxngRHf8frPh4uE/MSNoEzjw4Gvjjt++PP36yRdFm&#10;iNhQyEO8T+cTklmIHnVyTFsTv5bUckNk2HFU9nRRVh0zE3S5fHNT17dLzsSTr5ogSmJMmN+r4Fgx&#10;Wm6NL6ShgcMHzFSWQp9CyrX1bGj5Yvm6piEKoBXUNHoyXSQa6LsxGYM1cmusLSmYut1bm9gBaA22&#10;25q+wo6A/worVTaA/RQ3uqYF6RXId16yfIokkKd3wUsPTknOrKJnVCwChCaDsddEUmnrqYMi8CRp&#10;sXZBnmgc+5hM15MU87HL4qHxj/2eV7Xs15/nEen38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DB0PUAAAACQEAAA8AAAAAAAAAAQAgAAAAIgAAAGRycy9kb3ducmV2LnhtbFBLAQIUABQAAAAI&#10;AIdO4kCcBOdZ8QEAAOYDAAAOAAAAAAAAAAEAIAAAACMBAABkcnMvZTJvRG9jLnhtbFBLBQYAAAAA&#10;BgAGAFkBAACGBQAAAAA=&#10;">
                <v:fill on="f" focussize="0,0"/>
                <v:stroke weight="2pt" color="#FF0000" joinstyle="round"/>
                <v:imagedata o:title=""/>
                <o:lock v:ext="edit" aspectratio="f"/>
              </v:line>
            </w:pict>
          </mc:Fallback>
        </mc:AlternateContent>
      </w:r>
    </w:p>
    <w:p w14:paraId="2F54CA5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bCs/>
          <w:sz w:val="44"/>
          <w:szCs w:val="44"/>
          <w:lang w:val="en-US" w:eastAsia="zh-CN"/>
        </w:rPr>
        <w:t>广西壮族自治区科学技术厅 广西壮族自治区财政厅</w:t>
      </w:r>
      <w:r>
        <w:rPr>
          <w:rFonts w:hint="eastAsia" w:ascii="Times New Roman" w:hAnsi="Times New Roman" w:eastAsia="方正小标宋简体" w:cs="Times New Roman"/>
          <w:bCs/>
          <w:sz w:val="44"/>
          <w:szCs w:val="44"/>
          <w:lang w:eastAsia="zh-CN"/>
        </w:rPr>
        <w:t>关于印发</w:t>
      </w:r>
      <w:r>
        <w:rPr>
          <w:rFonts w:hint="default" w:ascii="Times New Roman" w:hAnsi="Times New Roman" w:eastAsia="方正小标宋简体" w:cs="Times New Roman"/>
          <w:bCs/>
          <w:sz w:val="44"/>
          <w:szCs w:val="44"/>
          <w:lang w:eastAsia="zh-CN"/>
        </w:rPr>
        <w:t>《</w:t>
      </w:r>
      <w:r>
        <w:rPr>
          <w:rFonts w:hint="default" w:ascii="Times New Roman" w:hAnsi="Times New Roman" w:eastAsia="方正小标宋简体" w:cs="Times New Roman"/>
          <w:color w:val="auto"/>
          <w:sz w:val="44"/>
          <w:szCs w:val="44"/>
          <w:highlight w:val="none"/>
        </w:rPr>
        <w:t>广西科技</w:t>
      </w:r>
      <w:r>
        <w:rPr>
          <w:rFonts w:hint="eastAsia" w:ascii="Times New Roman" w:hAnsi="Times New Roman" w:eastAsia="方正小标宋简体" w:cs="Times New Roman"/>
          <w:color w:val="auto"/>
          <w:sz w:val="44"/>
          <w:szCs w:val="44"/>
          <w:highlight w:val="none"/>
          <w:lang w:val="en-US" w:eastAsia="zh-CN"/>
        </w:rPr>
        <w:t>计划</w:t>
      </w:r>
      <w:r>
        <w:rPr>
          <w:rFonts w:hint="default" w:ascii="Times New Roman" w:hAnsi="Times New Roman" w:eastAsia="方正小标宋简体" w:cs="Times New Roman"/>
          <w:color w:val="auto"/>
          <w:sz w:val="44"/>
          <w:szCs w:val="44"/>
          <w:highlight w:val="none"/>
          <w:lang w:eastAsia="zh-CN"/>
        </w:rPr>
        <w:t>项目</w:t>
      </w:r>
      <w:bookmarkStart w:id="0" w:name="_GoBack"/>
    </w:p>
    <w:bookmarkEnd w:id="0"/>
    <w:p w14:paraId="2C3CB84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color w:val="auto"/>
          <w:sz w:val="44"/>
          <w:szCs w:val="44"/>
          <w:highlight w:val="none"/>
          <w:lang w:eastAsia="zh-CN"/>
        </w:rPr>
        <w:t>经费</w:t>
      </w:r>
      <w:r>
        <w:rPr>
          <w:rFonts w:hint="default" w:ascii="Times New Roman" w:hAnsi="Times New Roman" w:eastAsia="方正小标宋简体" w:cs="Times New Roman"/>
          <w:color w:val="auto"/>
          <w:sz w:val="44"/>
          <w:szCs w:val="44"/>
          <w:highlight w:val="none"/>
        </w:rPr>
        <w:t>管理办法</w:t>
      </w:r>
      <w:r>
        <w:rPr>
          <w:rFonts w:hint="default" w:ascii="Times New Roman" w:hAnsi="Times New Roman" w:eastAsia="方正小标宋简体" w:cs="Times New Roman"/>
          <w:bCs/>
          <w:sz w:val="44"/>
          <w:szCs w:val="44"/>
          <w:lang w:eastAsia="zh-CN"/>
        </w:rPr>
        <w:t>》</w:t>
      </w:r>
      <w:r>
        <w:rPr>
          <w:rFonts w:hint="eastAsia" w:ascii="Times New Roman" w:hAnsi="Times New Roman" w:eastAsia="方正小标宋简体" w:cs="Times New Roman"/>
          <w:bCs/>
          <w:sz w:val="44"/>
          <w:szCs w:val="44"/>
          <w:lang w:eastAsia="zh-CN"/>
        </w:rPr>
        <w:t>的通知</w:t>
      </w:r>
    </w:p>
    <w:p w14:paraId="67F264C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sz w:val="44"/>
          <w:szCs w:val="44"/>
        </w:rPr>
      </w:pPr>
    </w:p>
    <w:p w14:paraId="05E32F5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color w:val="000000"/>
          <w:kern w:val="2"/>
          <w:sz w:val="32"/>
          <w:szCs w:val="32"/>
          <w:shd w:val="clear" w:color="auto" w:fill="FFFFFF"/>
        </w:rPr>
      </w:pPr>
      <w:r>
        <w:rPr>
          <w:rFonts w:hint="eastAsia" w:ascii="Times New Roman" w:hAnsi="Times New Roman" w:eastAsia="仿宋_GB2312" w:cs="Times New Roman"/>
          <w:color w:val="000000"/>
          <w:kern w:val="2"/>
          <w:sz w:val="32"/>
          <w:szCs w:val="32"/>
          <w:shd w:val="clear" w:color="auto" w:fill="FFFFFF"/>
          <w:lang w:eastAsia="zh-CN"/>
        </w:rPr>
        <w:t>各有关单位</w:t>
      </w:r>
      <w:r>
        <w:rPr>
          <w:rFonts w:hint="default" w:ascii="Times New Roman" w:hAnsi="Times New Roman" w:eastAsia="仿宋_GB2312" w:cs="Times New Roman"/>
          <w:color w:val="000000"/>
          <w:kern w:val="2"/>
          <w:sz w:val="32"/>
          <w:szCs w:val="32"/>
          <w:shd w:val="clear" w:color="auto" w:fill="FFFFFF"/>
        </w:rPr>
        <w:t>：</w:t>
      </w:r>
    </w:p>
    <w:p w14:paraId="6CA3B9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现将《广西科技</w:t>
      </w:r>
      <w:r>
        <w:rPr>
          <w:rFonts w:hint="eastAsia" w:ascii="Times New Roman" w:hAnsi="Times New Roman" w:eastAsia="仿宋_GB2312" w:cs="Times New Roman"/>
          <w:sz w:val="32"/>
          <w:szCs w:val="32"/>
          <w:lang w:val="en-US" w:eastAsia="zh-CN"/>
        </w:rPr>
        <w:t>计划</w:t>
      </w:r>
      <w:r>
        <w:rPr>
          <w:rFonts w:hint="eastAsia" w:ascii="Times New Roman" w:hAnsi="Times New Roman" w:eastAsia="仿宋_GB2312" w:cs="Times New Roman"/>
          <w:sz w:val="32"/>
          <w:szCs w:val="32"/>
          <w:lang w:eastAsia="zh-CN"/>
        </w:rPr>
        <w:t>项目经费管理办法》印发给你们，请结合工作实际认真贯彻执行</w:t>
      </w:r>
      <w:r>
        <w:rPr>
          <w:rFonts w:hint="default" w:ascii="Times New Roman" w:hAnsi="Times New Roman" w:eastAsia="仿宋_GB2312" w:cs="Times New Roman"/>
          <w:sz w:val="32"/>
          <w:szCs w:val="32"/>
        </w:rPr>
        <w:t>。</w:t>
      </w:r>
    </w:p>
    <w:p w14:paraId="486DE5AF">
      <w:pPr>
        <w:keepNext w:val="0"/>
        <w:keepLines w:val="0"/>
        <w:pageBreakBefore w:val="0"/>
        <w:widowControl w:val="0"/>
        <w:shd w:val="clear" w:color="auto" w:fill="auto"/>
        <w:kinsoku/>
        <w:wordWrap/>
        <w:overflowPunct/>
        <w:topLinePunct w:val="0"/>
        <w:autoSpaceDE/>
        <w:autoSpaceDN/>
        <w:bidi w:val="0"/>
        <w:adjustRightInd/>
        <w:snapToGrid/>
        <w:spacing w:line="700" w:lineRule="exact"/>
        <w:ind w:right="0" w:rightChars="0"/>
        <w:jc w:val="left"/>
        <w:textAlignment w:val="auto"/>
        <w:rPr>
          <w:rFonts w:hint="default" w:ascii="仿宋_GB2312" w:eastAsia="仿宋_GB2312"/>
          <w:color w:val="auto"/>
          <w:sz w:val="32"/>
          <w:szCs w:val="32"/>
          <w:lang w:val="en-US" w:eastAsia="zh-CN"/>
        </w:rPr>
      </w:pPr>
    </w:p>
    <w:p w14:paraId="67095BDE">
      <w:pPr>
        <w:pStyle w:val="2"/>
        <w:keepNext w:val="0"/>
        <w:keepLines w:val="0"/>
        <w:pageBreakBefore w:val="0"/>
        <w:widowControl w:val="0"/>
        <w:kinsoku/>
        <w:wordWrap/>
        <w:overflowPunct/>
        <w:topLinePunct w:val="0"/>
        <w:bidi w:val="0"/>
        <w:snapToGrid/>
        <w:spacing w:line="700" w:lineRule="exact"/>
        <w:rPr>
          <w:rFonts w:hint="default"/>
          <w:lang w:val="en-US" w:eastAsia="zh-CN"/>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2"/>
        <w:gridCol w:w="283"/>
        <w:gridCol w:w="4139"/>
      </w:tblGrid>
      <w:tr w14:paraId="5ECC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082" w:type="dxa"/>
            <w:tcBorders>
              <w:tl2br w:val="nil"/>
              <w:tr2bl w:val="nil"/>
            </w:tcBorders>
            <w:noWrap w:val="0"/>
            <w:vAlign w:val="top"/>
          </w:tcPr>
          <w:p w14:paraId="4CF690A4">
            <w:pPr>
              <w:pStyle w:val="2"/>
              <w:keepNext w:val="0"/>
              <w:keepLines w:val="0"/>
              <w:pageBreakBefore w:val="0"/>
              <w:widowControl w:val="0"/>
              <w:kinsoku/>
              <w:wordWrap/>
              <w:overflowPunct/>
              <w:topLinePunct w:val="0"/>
              <w:bidi w:val="0"/>
              <w:snapToGrid/>
              <w:spacing w:line="500" w:lineRule="exact"/>
              <w:jc w:val="distribute"/>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科学技术厅</w:t>
            </w:r>
          </w:p>
        </w:tc>
        <w:tc>
          <w:tcPr>
            <w:tcW w:w="283" w:type="dxa"/>
            <w:tcBorders>
              <w:tl2br w:val="nil"/>
              <w:tr2bl w:val="nil"/>
            </w:tcBorders>
            <w:noWrap w:val="0"/>
            <w:vAlign w:val="top"/>
          </w:tcPr>
          <w:p w14:paraId="2DECE9BF">
            <w:pPr>
              <w:pStyle w:val="2"/>
              <w:keepNext w:val="0"/>
              <w:keepLines w:val="0"/>
              <w:pageBreakBefore w:val="0"/>
              <w:widowControl w:val="0"/>
              <w:kinsoku/>
              <w:wordWrap/>
              <w:overflowPunct/>
              <w:topLinePunct w:val="0"/>
              <w:bidi w:val="0"/>
              <w:snapToGrid/>
              <w:spacing w:line="500" w:lineRule="exact"/>
              <w:jc w:val="center"/>
              <w:rPr>
                <w:rFonts w:ascii="Times New Roman" w:hAnsi="Times New Roman" w:eastAsia="仿宋_GB2312"/>
                <w:color w:val="auto"/>
                <w:sz w:val="32"/>
                <w:szCs w:val="32"/>
              </w:rPr>
            </w:pPr>
          </w:p>
        </w:tc>
        <w:tc>
          <w:tcPr>
            <w:tcW w:w="4139" w:type="dxa"/>
            <w:tcBorders>
              <w:tl2br w:val="nil"/>
              <w:tr2bl w:val="nil"/>
            </w:tcBorders>
            <w:noWrap w:val="0"/>
            <w:vAlign w:val="top"/>
          </w:tcPr>
          <w:p w14:paraId="271C87C6">
            <w:pPr>
              <w:pStyle w:val="2"/>
              <w:keepNext w:val="0"/>
              <w:keepLines w:val="0"/>
              <w:pageBreakBefore w:val="0"/>
              <w:widowControl w:val="0"/>
              <w:kinsoku/>
              <w:wordWrap/>
              <w:overflowPunct/>
              <w:topLinePunct w:val="0"/>
              <w:bidi w:val="0"/>
              <w:snapToGrid/>
              <w:spacing w:line="500" w:lineRule="exact"/>
              <w:jc w:val="center"/>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财政</w:t>
            </w:r>
            <w:r>
              <w:rPr>
                <w:rFonts w:ascii="Times New Roman" w:hAnsi="Times New Roman" w:eastAsia="仿宋_GB2312"/>
                <w:color w:val="auto"/>
                <w:sz w:val="32"/>
                <w:szCs w:val="32"/>
              </w:rPr>
              <w:t>厅</w:t>
            </w:r>
          </w:p>
        </w:tc>
      </w:tr>
    </w:tbl>
    <w:p w14:paraId="65451CE6">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jc w:val="right"/>
        <w:textAlignment w:val="auto"/>
        <w:rPr>
          <w:rFonts w:hint="default" w:ascii="Times New Roman" w:hAnsi="Times New Roman" w:eastAsia="仿宋_GB2312" w:cs="Times New Roman"/>
          <w:spacing w:val="12"/>
          <w:sz w:val="32"/>
          <w:szCs w:val="32"/>
          <w:lang w:val="en-US" w:eastAsia="zh-CN"/>
        </w:rPr>
      </w:pPr>
      <w:r>
        <w:rPr>
          <w:rFonts w:hint="default" w:ascii="Times New Roman" w:hAnsi="Times New Roman" w:eastAsia="仿宋_GB2312" w:cs="Times New Roman"/>
          <w:spacing w:val="0"/>
          <w:sz w:val="32"/>
          <w:szCs w:val="32"/>
          <w:lang w:val="en-US" w:eastAsia="zh-CN"/>
        </w:rPr>
        <w:t>2025年</w:t>
      </w:r>
      <w:r>
        <w:rPr>
          <w:rFonts w:hint="default" w:ascii="Times New Roman" w:hAnsi="Times New Roman" w:cs="Times New Roman"/>
          <w:spacing w:val="0"/>
          <w:sz w:val="32"/>
          <w:szCs w:val="32"/>
          <w:lang w:val="en" w:eastAsia="zh-CN"/>
        </w:rPr>
        <w:t>12</w:t>
      </w:r>
      <w:r>
        <w:rPr>
          <w:rFonts w:hint="default" w:ascii="Times New Roman" w:hAnsi="Times New Roman" w:eastAsia="仿宋_GB2312" w:cs="Times New Roman"/>
          <w:spacing w:val="0"/>
          <w:sz w:val="32"/>
          <w:szCs w:val="32"/>
          <w:lang w:val="en-US" w:eastAsia="zh-CN"/>
        </w:rPr>
        <w:t>月</w:t>
      </w:r>
      <w:r>
        <w:rPr>
          <w:rFonts w:hint="default" w:ascii="Times New Roman" w:hAnsi="Times New Roman" w:cs="Times New Roman"/>
          <w:spacing w:val="0"/>
          <w:sz w:val="32"/>
          <w:szCs w:val="32"/>
          <w:lang w:val="en" w:eastAsia="zh-CN"/>
        </w:rPr>
        <w:t>11</w:t>
      </w:r>
      <w:r>
        <w:rPr>
          <w:rFonts w:hint="default" w:ascii="Times New Roman" w:hAnsi="Times New Roman" w:eastAsia="仿宋_GB2312" w:cs="Times New Roman"/>
          <w:spacing w:val="0"/>
          <w:sz w:val="32"/>
          <w:szCs w:val="32"/>
          <w:lang w:val="en-US" w:eastAsia="zh-CN"/>
        </w:rPr>
        <w:t>日</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p>
    <w:p w14:paraId="49E0646E">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sz w:val="32"/>
          <w:szCs w:val="32"/>
          <w:highlight w:val="none"/>
          <w:lang w:val="en" w:eastAsia="zh-CN"/>
        </w:rPr>
      </w:pPr>
      <w:r>
        <w:rPr>
          <w:rFonts w:hint="default" w:ascii="Times New Roman" w:hAnsi="Times New Roman" w:eastAsia="仿宋_GB2312" w:cs="Times New Roman"/>
          <w:spacing w:val="0"/>
          <w:sz w:val="32"/>
          <w:szCs w:val="32"/>
          <w:highlight w:val="none"/>
          <w:lang w:val="en-US" w:eastAsia="zh-CN"/>
        </w:rPr>
        <w:t>（此件公开发布）</w:t>
      </w:r>
      <w:r>
        <w:rPr>
          <w:rFonts w:hint="eastAsia" w:ascii="Times New Roman" w:hAnsi="Times New Roman" w:eastAsia="仿宋_GB2312" w:cs="Times New Roman"/>
          <w:color w:val="000000"/>
          <w:sz w:val="32"/>
          <w:szCs w:val="32"/>
          <w:lang w:eastAsia="zh-CN"/>
        </w:rPr>
        <w:br w:type="page"/>
      </w:r>
    </w:p>
    <w:p w14:paraId="4F3601E4">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广西科技</w:t>
      </w:r>
      <w:r>
        <w:rPr>
          <w:rFonts w:hint="eastAsia" w:ascii="Times New Roman" w:hAnsi="Times New Roman" w:eastAsia="方正小标宋简体" w:cs="Times New Roman"/>
          <w:color w:val="auto"/>
          <w:sz w:val="44"/>
          <w:szCs w:val="44"/>
          <w:highlight w:val="none"/>
          <w:lang w:val="en-US" w:eastAsia="zh-CN"/>
        </w:rPr>
        <w:t>计划</w:t>
      </w:r>
      <w:r>
        <w:rPr>
          <w:rFonts w:hint="default" w:ascii="Times New Roman" w:hAnsi="Times New Roman" w:eastAsia="方正小标宋简体" w:cs="Times New Roman"/>
          <w:color w:val="auto"/>
          <w:sz w:val="44"/>
          <w:szCs w:val="44"/>
          <w:highlight w:val="none"/>
          <w:lang w:eastAsia="zh-CN"/>
        </w:rPr>
        <w:t>项目经费</w:t>
      </w:r>
      <w:r>
        <w:rPr>
          <w:rFonts w:hint="default" w:ascii="Times New Roman" w:hAnsi="Times New Roman" w:eastAsia="方正小标宋简体" w:cs="Times New Roman"/>
          <w:color w:val="auto"/>
          <w:sz w:val="44"/>
          <w:szCs w:val="44"/>
          <w:highlight w:val="none"/>
        </w:rPr>
        <w:t>管理办法</w:t>
      </w:r>
    </w:p>
    <w:p w14:paraId="080AEA1A">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14:paraId="5A706881">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w:t>
      </w:r>
      <w:r>
        <w:rPr>
          <w:rFonts w:hint="default" w:ascii="Times New Roman" w:hAnsi="Times New Roman" w:eastAsia="黑体" w:cs="Times New Roman"/>
          <w:color w:val="auto"/>
          <w:sz w:val="32"/>
          <w:szCs w:val="32"/>
          <w:highlight w:val="none"/>
          <w:lang w:val="en"/>
        </w:rPr>
        <w:t xml:space="preserve">  </w:t>
      </w:r>
      <w:r>
        <w:rPr>
          <w:rFonts w:hint="default" w:ascii="Times New Roman" w:hAnsi="Times New Roman" w:eastAsia="黑体" w:cs="Times New Roman"/>
          <w:color w:val="auto"/>
          <w:sz w:val="32"/>
          <w:szCs w:val="32"/>
          <w:highlight w:val="none"/>
        </w:rPr>
        <w:t>总</w:t>
      </w:r>
      <w:r>
        <w:rPr>
          <w:rFonts w:hint="default" w:ascii="Times New Roman" w:hAnsi="Times New Roman" w:eastAsia="黑体" w:cs="Times New Roman"/>
          <w:color w:val="auto"/>
          <w:sz w:val="32"/>
          <w:szCs w:val="32"/>
          <w:highlight w:val="none"/>
          <w:lang w:val="en"/>
        </w:rPr>
        <w:t xml:space="preserve">  </w:t>
      </w:r>
      <w:r>
        <w:rPr>
          <w:rFonts w:hint="default" w:ascii="Times New Roman" w:hAnsi="Times New Roman" w:eastAsia="黑体" w:cs="Times New Roman"/>
          <w:color w:val="auto"/>
          <w:sz w:val="32"/>
          <w:szCs w:val="32"/>
          <w:highlight w:val="none"/>
        </w:rPr>
        <w:t>则</w:t>
      </w:r>
    </w:p>
    <w:p w14:paraId="5A2AE20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p>
    <w:p w14:paraId="650A559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第一条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为规范</w:t>
      </w:r>
      <w:r>
        <w:rPr>
          <w:rFonts w:hint="eastAsia"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lang w:val="en-US" w:eastAsia="zh-CN"/>
        </w:rPr>
        <w:t>科技计划项目</w:t>
      </w:r>
      <w:r>
        <w:rPr>
          <w:rFonts w:hint="default" w:ascii="Times New Roman" w:hAnsi="Times New Roman" w:eastAsia="仿宋_GB2312" w:cs="Times New Roman"/>
          <w:color w:val="auto"/>
          <w:sz w:val="32"/>
          <w:szCs w:val="32"/>
          <w:highlight w:val="none"/>
        </w:rPr>
        <w:t>经费管理和使用，提高经费使用效益，根据国家、自治区有关财经</w:t>
      </w:r>
      <w:r>
        <w:rPr>
          <w:rFonts w:hint="default" w:ascii="Times New Roman" w:hAnsi="Times New Roman" w:eastAsia="仿宋_GB2312" w:cs="Times New Roman"/>
          <w:color w:val="auto"/>
          <w:sz w:val="32"/>
          <w:szCs w:val="32"/>
          <w:highlight w:val="none"/>
          <w:lang w:val="en-US" w:eastAsia="zh-CN"/>
        </w:rPr>
        <w:t>法律制度</w:t>
      </w:r>
      <w:r>
        <w:rPr>
          <w:rFonts w:hint="default" w:ascii="Times New Roman" w:hAnsi="Times New Roman" w:eastAsia="仿宋_GB2312" w:cs="Times New Roman"/>
          <w:color w:val="auto"/>
          <w:sz w:val="32"/>
          <w:szCs w:val="32"/>
          <w:highlight w:val="none"/>
        </w:rPr>
        <w:t>和</w:t>
      </w:r>
      <w:r>
        <w:rPr>
          <w:rFonts w:hint="default" w:ascii="Times New Roman" w:hAnsi="Times New Roman" w:eastAsia="仿宋_GB2312" w:cs="Times New Roman"/>
          <w:color w:val="auto"/>
          <w:sz w:val="32"/>
          <w:szCs w:val="32"/>
          <w:highlight w:val="none"/>
          <w:lang w:val="en-US" w:eastAsia="zh-CN"/>
        </w:rPr>
        <w:t>政策要求</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val="en-US" w:eastAsia="zh-CN"/>
        </w:rPr>
        <w:t>自治区科技计划项目</w:t>
      </w:r>
      <w:r>
        <w:rPr>
          <w:rFonts w:hint="default" w:ascii="Times New Roman" w:hAnsi="Times New Roman" w:eastAsia="仿宋_GB2312" w:cs="Times New Roman"/>
          <w:color w:val="auto"/>
          <w:sz w:val="32"/>
          <w:szCs w:val="32"/>
          <w:highlight w:val="none"/>
        </w:rPr>
        <w:t>管理</w:t>
      </w:r>
      <w:r>
        <w:rPr>
          <w:rFonts w:hint="default" w:ascii="Times New Roman" w:hAnsi="Times New Roman" w:eastAsia="仿宋_GB2312" w:cs="Times New Roman"/>
          <w:color w:val="auto"/>
          <w:sz w:val="32"/>
          <w:szCs w:val="32"/>
          <w:highlight w:val="none"/>
          <w:lang w:val="en-US" w:eastAsia="zh-CN"/>
        </w:rPr>
        <w:t>工作实际</w:t>
      </w:r>
      <w:r>
        <w:rPr>
          <w:rFonts w:hint="default" w:ascii="Times New Roman" w:hAnsi="Times New Roman" w:eastAsia="仿宋_GB2312" w:cs="Times New Roman"/>
          <w:color w:val="auto"/>
          <w:sz w:val="32"/>
          <w:szCs w:val="32"/>
          <w:highlight w:val="none"/>
        </w:rPr>
        <w:t>，制定本办法。</w:t>
      </w:r>
    </w:p>
    <w:p w14:paraId="6EE06B1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lang w:val="en-US" w:eastAsia="zh-CN"/>
        </w:rPr>
        <w:t>科技计划项目经费（以下简称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项目经费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）是指自治区本</w:t>
      </w:r>
      <w:r>
        <w:rPr>
          <w:rFonts w:hint="default" w:ascii="Times New Roman" w:hAnsi="Times New Roman" w:eastAsia="仿宋_GB2312" w:cs="Times New Roman"/>
          <w:color w:val="auto"/>
          <w:sz w:val="32"/>
          <w:szCs w:val="32"/>
          <w:highlight w:val="none"/>
        </w:rPr>
        <w:t>级财政预算安排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科技计划</w:t>
      </w:r>
      <w:r>
        <w:rPr>
          <w:rFonts w:hint="eastAsia"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lang w:val="en-US" w:eastAsia="zh-CN"/>
        </w:rPr>
        <w:t>用于</w:t>
      </w:r>
      <w:r>
        <w:rPr>
          <w:rFonts w:hint="default" w:ascii="Times New Roman" w:hAnsi="Times New Roman" w:eastAsia="仿宋_GB2312" w:cs="Times New Roman"/>
          <w:color w:val="auto"/>
          <w:sz w:val="32"/>
          <w:szCs w:val="32"/>
          <w:highlight w:val="none"/>
        </w:rPr>
        <w:t>基础研究、关键核心技术攻关、</w:t>
      </w:r>
      <w:r>
        <w:rPr>
          <w:rFonts w:hint="default" w:ascii="Times New Roman" w:hAnsi="Times New Roman" w:eastAsia="仿宋_GB2312" w:cs="Times New Roman"/>
          <w:color w:val="auto"/>
          <w:sz w:val="32"/>
          <w:szCs w:val="32"/>
          <w:highlight w:val="none"/>
          <w:lang w:val="en-US" w:eastAsia="zh-CN"/>
        </w:rPr>
        <w:t>科技成果转化、科技</w:t>
      </w:r>
      <w:r>
        <w:rPr>
          <w:rFonts w:hint="default" w:ascii="Times New Roman" w:hAnsi="Times New Roman" w:eastAsia="仿宋_GB2312" w:cs="Times New Roman"/>
          <w:color w:val="auto"/>
          <w:sz w:val="32"/>
          <w:szCs w:val="32"/>
          <w:highlight w:val="none"/>
        </w:rPr>
        <w:t>创新平台建设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区域创新能力提升、科技交流与合作</w:t>
      </w:r>
      <w:r>
        <w:rPr>
          <w:rFonts w:hint="eastAsia" w:ascii="Times New Roman" w:hAnsi="Times New Roman" w:eastAsia="仿宋_GB2312" w:cs="Times New Roman"/>
          <w:color w:val="auto"/>
          <w:sz w:val="32"/>
          <w:szCs w:val="32"/>
          <w:highlight w:val="none"/>
          <w:lang w:val="en-US" w:eastAsia="zh-CN"/>
        </w:rPr>
        <w:t>、战略决策咨询，</w:t>
      </w:r>
      <w:r>
        <w:rPr>
          <w:rFonts w:hint="default" w:ascii="Times New Roman" w:hAnsi="Times New Roman" w:eastAsia="仿宋_GB2312" w:cs="Times New Roman"/>
          <w:color w:val="auto"/>
          <w:sz w:val="32"/>
          <w:szCs w:val="32"/>
          <w:highlight w:val="none"/>
        </w:rPr>
        <w:t>以及与国家、自治区有关部门和地方共同组织实施</w:t>
      </w:r>
      <w:r>
        <w:rPr>
          <w:rFonts w:hint="eastAsia" w:ascii="Times New Roman" w:hAnsi="Times New Roman" w:eastAsia="仿宋_GB2312" w:cs="Times New Roman"/>
          <w:color w:val="auto"/>
          <w:sz w:val="32"/>
          <w:szCs w:val="32"/>
          <w:highlight w:val="none"/>
          <w:lang w:eastAsia="zh-CN"/>
        </w:rPr>
        <w:t>的项目</w:t>
      </w:r>
      <w:r>
        <w:rPr>
          <w:rFonts w:hint="default" w:ascii="Times New Roman" w:hAnsi="Times New Roman" w:eastAsia="仿宋_GB2312" w:cs="Times New Roman"/>
          <w:color w:val="auto"/>
          <w:sz w:val="32"/>
          <w:szCs w:val="32"/>
          <w:highlight w:val="none"/>
          <w:lang w:val="en-US" w:eastAsia="zh-CN"/>
        </w:rPr>
        <w:t>等方面</w:t>
      </w:r>
      <w:r>
        <w:rPr>
          <w:rFonts w:hint="eastAsia"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rPr>
        <w:t>。</w:t>
      </w:r>
    </w:p>
    <w:p w14:paraId="4EF5F83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第三条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lang w:eastAsia="zh-CN"/>
        </w:rPr>
        <w:t>项目经费按照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突出重点、分类支持、科学管理、注重绩效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的原则管理和使用</w:t>
      </w:r>
      <w:r>
        <w:rPr>
          <w:rFonts w:hint="default" w:ascii="Times New Roman" w:hAnsi="Times New Roman" w:eastAsia="仿宋_GB2312" w:cs="Times New Roman"/>
          <w:color w:val="auto"/>
          <w:sz w:val="32"/>
          <w:szCs w:val="32"/>
          <w:highlight w:val="none"/>
        </w:rPr>
        <w:t>。</w:t>
      </w:r>
    </w:p>
    <w:p w14:paraId="58E605D8">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rPr>
      </w:pPr>
    </w:p>
    <w:p w14:paraId="47B37239">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黑体" w:cs="Times New Roman"/>
          <w:color w:val="auto"/>
          <w:sz w:val="32"/>
          <w:szCs w:val="32"/>
          <w:highlight w:val="none"/>
          <w:lang w:val="en" w:eastAsia="zh-CN"/>
        </w:rPr>
      </w:pPr>
      <w:r>
        <w:rPr>
          <w:rFonts w:hint="default" w:ascii="Times New Roman" w:hAnsi="Times New Roman" w:eastAsia="黑体" w:cs="Times New Roman"/>
          <w:color w:val="auto"/>
          <w:sz w:val="32"/>
          <w:szCs w:val="32"/>
          <w:highlight w:val="none"/>
        </w:rPr>
        <w:t>第二章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职责</w:t>
      </w:r>
      <w:r>
        <w:rPr>
          <w:rFonts w:hint="eastAsia" w:ascii="Times New Roman" w:hAnsi="Times New Roman" w:eastAsia="黑体" w:cs="Times New Roman"/>
          <w:color w:val="auto"/>
          <w:sz w:val="32"/>
          <w:szCs w:val="32"/>
          <w:highlight w:val="none"/>
          <w:lang w:eastAsia="zh-CN"/>
        </w:rPr>
        <w:t>分工</w:t>
      </w:r>
    </w:p>
    <w:p w14:paraId="5C72A53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lang w:eastAsia="zh-CN"/>
        </w:rPr>
      </w:pPr>
    </w:p>
    <w:p w14:paraId="23A7B78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lang w:val="en-US" w:eastAsia="zh-CN"/>
        </w:rPr>
        <w:t>自治区</w:t>
      </w:r>
      <w:r>
        <w:rPr>
          <w:rFonts w:hint="eastAsia" w:ascii="Times New Roman" w:hAnsi="Times New Roman" w:eastAsia="仿宋_GB2312" w:cs="Times New Roman"/>
          <w:color w:val="auto"/>
          <w:sz w:val="32"/>
          <w:szCs w:val="32"/>
          <w:highlight w:val="none"/>
          <w:lang w:eastAsia="zh-CN"/>
        </w:rPr>
        <w:t>科技</w:t>
      </w:r>
      <w:r>
        <w:rPr>
          <w:rFonts w:hint="default" w:ascii="Times New Roman" w:hAnsi="Times New Roman" w:eastAsia="仿宋_GB2312" w:cs="Times New Roman"/>
          <w:color w:val="auto"/>
          <w:sz w:val="32"/>
          <w:szCs w:val="32"/>
          <w:highlight w:val="none"/>
        </w:rPr>
        <w:t>厅会同</w:t>
      </w:r>
      <w:r>
        <w:rPr>
          <w:rFonts w:hint="default" w:ascii="Times New Roman" w:hAnsi="Times New Roman" w:eastAsia="仿宋_GB2312" w:cs="Times New Roman"/>
          <w:color w:val="auto"/>
          <w:sz w:val="32"/>
          <w:szCs w:val="32"/>
          <w:highlight w:val="none"/>
          <w:lang w:val="en-US" w:eastAsia="zh-CN"/>
        </w:rPr>
        <w:t>自治区</w:t>
      </w:r>
      <w:r>
        <w:rPr>
          <w:rFonts w:hint="eastAsia"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厅制定</w:t>
      </w:r>
      <w:r>
        <w:rPr>
          <w:rFonts w:hint="default" w:ascii="Times New Roman" w:hAnsi="Times New Roman" w:eastAsia="仿宋_GB2312" w:cs="Times New Roman"/>
          <w:color w:val="auto"/>
          <w:sz w:val="32"/>
          <w:szCs w:val="32"/>
          <w:highlight w:val="none"/>
          <w:lang w:val="en-US" w:eastAsia="zh-CN"/>
        </w:rPr>
        <w:t>项目经费</w:t>
      </w:r>
      <w:r>
        <w:rPr>
          <w:rFonts w:hint="default" w:ascii="Times New Roman" w:hAnsi="Times New Roman" w:eastAsia="仿宋_GB2312" w:cs="Times New Roman"/>
          <w:color w:val="auto"/>
          <w:sz w:val="32"/>
          <w:szCs w:val="32"/>
          <w:highlight w:val="none"/>
        </w:rPr>
        <w:t>管理办法</w:t>
      </w:r>
      <w:r>
        <w:rPr>
          <w:rFonts w:hint="default" w:ascii="Times New Roman" w:hAnsi="Times New Roman" w:eastAsia="仿宋_GB2312" w:cs="Times New Roman"/>
          <w:color w:val="auto"/>
          <w:sz w:val="32"/>
          <w:szCs w:val="32"/>
          <w:highlight w:val="none"/>
          <w:lang w:eastAsia="zh-CN"/>
        </w:rPr>
        <w:t>，组织编报项目（课题）经费预算及决算，组织或委托项目管理机构开展项目（课题）</w:t>
      </w:r>
      <w:r>
        <w:rPr>
          <w:rFonts w:hint="eastAsia" w:ascii="Times New Roman" w:hAnsi="Times New Roman" w:eastAsia="仿宋_GB2312" w:cs="Times New Roman"/>
          <w:color w:val="auto"/>
          <w:sz w:val="32"/>
          <w:szCs w:val="32"/>
          <w:highlight w:val="none"/>
          <w:lang w:eastAsia="zh-CN"/>
        </w:rPr>
        <w:t>立项评审，</w:t>
      </w:r>
      <w:r>
        <w:rPr>
          <w:rFonts w:hint="default" w:ascii="Times New Roman" w:hAnsi="Times New Roman" w:eastAsia="仿宋_GB2312" w:cs="Times New Roman"/>
          <w:color w:val="auto"/>
          <w:sz w:val="32"/>
          <w:szCs w:val="32"/>
          <w:highlight w:val="none"/>
        </w:rPr>
        <w:t>提出</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经费</w:t>
      </w:r>
      <w:r>
        <w:rPr>
          <w:rFonts w:hint="default" w:ascii="Times New Roman" w:hAnsi="Times New Roman" w:eastAsia="仿宋_GB2312" w:cs="Times New Roman"/>
          <w:color w:val="auto"/>
          <w:sz w:val="32"/>
          <w:szCs w:val="32"/>
          <w:highlight w:val="none"/>
          <w:lang w:val="en-US" w:eastAsia="zh-CN"/>
        </w:rPr>
        <w:t>分配建议</w:t>
      </w:r>
      <w:r>
        <w:rPr>
          <w:rFonts w:hint="default" w:ascii="Times New Roman" w:hAnsi="Times New Roman" w:eastAsia="仿宋_GB2312" w:cs="Times New Roman"/>
          <w:color w:val="auto"/>
          <w:sz w:val="32"/>
          <w:szCs w:val="32"/>
          <w:highlight w:val="none"/>
        </w:rPr>
        <w:t>方案，拨付</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经费</w:t>
      </w:r>
      <w:r>
        <w:rPr>
          <w:rFonts w:hint="eastAsia" w:ascii="Times New Roman" w:hAnsi="Times New Roman" w:eastAsia="仿宋_GB2312" w:cs="Times New Roman"/>
          <w:color w:val="auto"/>
          <w:sz w:val="32"/>
          <w:szCs w:val="32"/>
          <w:highlight w:val="none"/>
          <w:lang w:eastAsia="zh-CN"/>
        </w:rPr>
        <w:t>，监督</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经费</w:t>
      </w:r>
      <w:r>
        <w:rPr>
          <w:rFonts w:hint="eastAsia"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按规定组织开展</w:t>
      </w:r>
      <w:r>
        <w:rPr>
          <w:rFonts w:hint="default" w:ascii="Times New Roman" w:hAnsi="Times New Roman" w:eastAsia="仿宋_GB2312" w:cs="Times New Roman"/>
          <w:color w:val="auto"/>
          <w:sz w:val="32"/>
          <w:szCs w:val="32"/>
          <w:highlight w:val="none"/>
          <w:lang w:val="en-US" w:eastAsia="zh-CN"/>
        </w:rPr>
        <w:t>项目经费</w:t>
      </w:r>
      <w:r>
        <w:rPr>
          <w:rFonts w:hint="default" w:ascii="Times New Roman" w:hAnsi="Times New Roman" w:eastAsia="仿宋_GB2312" w:cs="Times New Roman"/>
          <w:color w:val="auto"/>
          <w:sz w:val="32"/>
          <w:szCs w:val="32"/>
          <w:highlight w:val="none"/>
          <w:lang w:eastAsia="zh-CN"/>
        </w:rPr>
        <w:t>预算绩效管理</w:t>
      </w:r>
      <w:r>
        <w:rPr>
          <w:rFonts w:hint="default" w:ascii="Times New Roman" w:hAnsi="Times New Roman" w:eastAsia="仿宋_GB2312" w:cs="Times New Roman"/>
          <w:color w:val="auto"/>
          <w:sz w:val="32"/>
          <w:szCs w:val="32"/>
          <w:highlight w:val="none"/>
          <w:lang w:val="en-US" w:eastAsia="zh-CN"/>
        </w:rPr>
        <w:t>和监督检查</w:t>
      </w:r>
      <w:r>
        <w:rPr>
          <w:rFonts w:hint="default" w:ascii="Times New Roman" w:hAnsi="Times New Roman" w:eastAsia="仿宋_GB2312" w:cs="Times New Roman"/>
          <w:color w:val="auto"/>
          <w:sz w:val="32"/>
          <w:szCs w:val="32"/>
          <w:highlight w:val="none"/>
          <w:lang w:eastAsia="zh-CN"/>
        </w:rPr>
        <w:t>等。</w:t>
      </w:r>
    </w:p>
    <w:p w14:paraId="7A0ECEE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lang w:val="en-US" w:eastAsia="zh-CN"/>
        </w:rPr>
        <w:t>自治区</w:t>
      </w:r>
      <w:r>
        <w:rPr>
          <w:rFonts w:hint="eastAsia"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厅</w:t>
      </w:r>
      <w:r>
        <w:rPr>
          <w:rFonts w:hint="default" w:ascii="Times New Roman" w:hAnsi="Times New Roman" w:eastAsia="仿宋_GB2312" w:cs="Times New Roman"/>
          <w:color w:val="auto"/>
          <w:sz w:val="32"/>
          <w:szCs w:val="32"/>
          <w:highlight w:val="none"/>
          <w:lang w:val="en-US" w:eastAsia="zh-CN"/>
        </w:rPr>
        <w:t>参与制定项目经费管理办法，</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项目经费</w:t>
      </w:r>
      <w:r>
        <w:rPr>
          <w:rFonts w:hint="default" w:ascii="Times New Roman" w:hAnsi="Times New Roman" w:eastAsia="仿宋_GB2312" w:cs="Times New Roman"/>
          <w:color w:val="auto"/>
          <w:sz w:val="32"/>
          <w:szCs w:val="32"/>
          <w:highlight w:val="none"/>
        </w:rPr>
        <w:t>预算管理，及时审批用款计划，监管</w:t>
      </w:r>
      <w:r>
        <w:rPr>
          <w:rFonts w:hint="default" w:ascii="Times New Roman" w:hAnsi="Times New Roman" w:eastAsia="仿宋_GB2312" w:cs="Times New Roman"/>
          <w:color w:val="auto"/>
          <w:sz w:val="32"/>
          <w:szCs w:val="32"/>
          <w:highlight w:val="none"/>
          <w:lang w:val="en-US" w:eastAsia="zh-CN"/>
        </w:rPr>
        <w:t>项目经费</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与自治区</w:t>
      </w:r>
      <w:r>
        <w:rPr>
          <w:rFonts w:hint="default" w:ascii="Times New Roman" w:hAnsi="Times New Roman" w:eastAsia="仿宋_GB2312" w:cs="Times New Roman"/>
          <w:color w:val="auto"/>
          <w:sz w:val="32"/>
          <w:szCs w:val="32"/>
          <w:highlight w:val="none"/>
        </w:rPr>
        <w:t>科技厅开展</w:t>
      </w:r>
      <w:r>
        <w:rPr>
          <w:rFonts w:hint="default" w:ascii="Times New Roman" w:hAnsi="Times New Roman" w:eastAsia="仿宋_GB2312" w:cs="Times New Roman"/>
          <w:color w:val="auto"/>
          <w:sz w:val="32"/>
          <w:szCs w:val="32"/>
          <w:highlight w:val="none"/>
          <w:lang w:val="en-US" w:eastAsia="zh-CN"/>
        </w:rPr>
        <w:t>全过程预算</w:t>
      </w:r>
      <w:r>
        <w:rPr>
          <w:rFonts w:hint="default" w:ascii="Times New Roman" w:hAnsi="Times New Roman" w:eastAsia="仿宋_GB2312" w:cs="Times New Roman"/>
          <w:color w:val="auto"/>
          <w:sz w:val="32"/>
          <w:szCs w:val="32"/>
          <w:highlight w:val="none"/>
        </w:rPr>
        <w:t>绩效</w:t>
      </w:r>
      <w:r>
        <w:rPr>
          <w:rFonts w:hint="default" w:ascii="Times New Roman" w:hAnsi="Times New Roman" w:eastAsia="仿宋_GB2312" w:cs="Times New Roman"/>
          <w:color w:val="auto"/>
          <w:sz w:val="32"/>
          <w:szCs w:val="32"/>
          <w:highlight w:val="none"/>
          <w:lang w:val="en-US" w:eastAsia="zh-CN"/>
        </w:rPr>
        <w:t>管理和监督检查</w:t>
      </w:r>
      <w:r>
        <w:rPr>
          <w:rFonts w:hint="default" w:ascii="Times New Roman" w:hAnsi="Times New Roman" w:eastAsia="仿宋_GB2312" w:cs="Times New Roman"/>
          <w:color w:val="auto"/>
          <w:sz w:val="32"/>
          <w:szCs w:val="32"/>
          <w:highlight w:val="none"/>
        </w:rPr>
        <w:t>等。</w:t>
      </w:r>
    </w:p>
    <w:p w14:paraId="0DB1040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val="en-US" w:eastAsia="zh-CN"/>
        </w:rPr>
        <w:t>管理机构组织开展预算评审，</w:t>
      </w:r>
      <w:r>
        <w:rPr>
          <w:rFonts w:hint="eastAsia" w:ascii="Times New Roman" w:hAnsi="Times New Roman" w:eastAsia="仿宋_GB2312" w:cs="Times New Roman"/>
          <w:color w:val="auto"/>
          <w:sz w:val="32"/>
          <w:szCs w:val="32"/>
          <w:highlight w:val="none"/>
          <w:lang w:eastAsia="zh-CN"/>
        </w:rPr>
        <w:t>督促</w:t>
      </w:r>
      <w:r>
        <w:rPr>
          <w:rFonts w:hint="default" w:ascii="Times New Roman" w:hAnsi="Times New Roman" w:eastAsia="仿宋_GB2312" w:cs="Times New Roman"/>
          <w:color w:val="auto"/>
          <w:sz w:val="32"/>
          <w:szCs w:val="32"/>
          <w:highlight w:val="none"/>
        </w:rPr>
        <w:t>项目承担单位落实</w:t>
      </w:r>
      <w:r>
        <w:rPr>
          <w:rFonts w:hint="eastAsia" w:ascii="Times New Roman" w:hAnsi="Times New Roman" w:eastAsia="仿宋_GB2312" w:cs="Times New Roman"/>
          <w:color w:val="auto"/>
          <w:sz w:val="32"/>
          <w:szCs w:val="32"/>
          <w:highlight w:val="none"/>
          <w:lang w:val="en-US" w:eastAsia="zh-CN"/>
        </w:rPr>
        <w:t>配套的自筹</w:t>
      </w:r>
      <w:r>
        <w:rPr>
          <w:rFonts w:hint="eastAsia" w:ascii="Times New Roman" w:hAnsi="Times New Roman" w:eastAsia="仿宋_GB2312" w:cs="Times New Roman"/>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及相关配套条件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配合有关部门对项目经费使用情况进行监督检查和绩效考评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olor w:val="auto"/>
          <w:sz w:val="32"/>
          <w:szCs w:val="32"/>
          <w:highlight w:val="none"/>
        </w:rPr>
        <w:t>对因故需终止</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撤销</w:t>
      </w:r>
      <w:r>
        <w:rPr>
          <w:rFonts w:hint="eastAsia" w:ascii="Times New Roman" w:hAnsi="Times New Roman" w:eastAsia="仿宋_GB2312"/>
          <w:color w:val="auto"/>
          <w:sz w:val="32"/>
          <w:szCs w:val="32"/>
          <w:highlight w:val="none"/>
          <w:lang w:eastAsia="zh-CN"/>
        </w:rPr>
        <w:t>或验收不通过</w:t>
      </w:r>
      <w:r>
        <w:rPr>
          <w:rFonts w:hint="eastAsia" w:ascii="Times New Roman" w:hAnsi="Times New Roman" w:eastAsia="仿宋_GB2312"/>
          <w:color w:val="auto"/>
          <w:sz w:val="32"/>
          <w:szCs w:val="32"/>
          <w:highlight w:val="none"/>
        </w:rPr>
        <w:t>项目的</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olor w:val="auto"/>
          <w:sz w:val="32"/>
          <w:szCs w:val="32"/>
          <w:highlight w:val="none"/>
        </w:rPr>
        <w:t>支出情况</w:t>
      </w:r>
      <w:r>
        <w:rPr>
          <w:rFonts w:hint="eastAsia" w:ascii="Times New Roman" w:hAnsi="Times New Roman" w:eastAsia="仿宋_GB2312"/>
          <w:color w:val="auto"/>
          <w:sz w:val="32"/>
          <w:szCs w:val="32"/>
          <w:highlight w:val="none"/>
          <w:lang w:eastAsia="zh-CN"/>
        </w:rPr>
        <w:t>组织复核</w:t>
      </w:r>
      <w:r>
        <w:rPr>
          <w:rFonts w:hint="eastAsia" w:ascii="Times New Roman" w:hAnsi="Times New Roman" w:eastAsia="仿宋_GB2312"/>
          <w:color w:val="auto"/>
          <w:sz w:val="32"/>
          <w:szCs w:val="32"/>
          <w:highlight w:val="none"/>
        </w:rPr>
        <w:t>，并配合自治区</w:t>
      </w:r>
      <w:r>
        <w:rPr>
          <w:rFonts w:hint="eastAsia" w:ascii="Times New Roman" w:hAnsi="Times New Roman" w:eastAsia="仿宋_GB2312"/>
          <w:color w:val="auto"/>
          <w:sz w:val="32"/>
          <w:szCs w:val="32"/>
          <w:highlight w:val="none"/>
          <w:lang w:eastAsia="zh-CN"/>
        </w:rPr>
        <w:t>科技厅、</w:t>
      </w:r>
      <w:r>
        <w:rPr>
          <w:rFonts w:hint="eastAsia" w:ascii="Times New Roman" w:hAnsi="Times New Roman" w:eastAsia="仿宋_GB2312"/>
          <w:color w:val="auto"/>
          <w:sz w:val="32"/>
          <w:szCs w:val="32"/>
          <w:highlight w:val="none"/>
        </w:rPr>
        <w:t>财政厅收回资金</w:t>
      </w:r>
      <w:r>
        <w:rPr>
          <w:rFonts w:hint="default" w:ascii="Times New Roman" w:hAnsi="Times New Roman" w:eastAsia="仿宋_GB2312" w:cs="Times New Roman"/>
          <w:color w:val="auto"/>
          <w:sz w:val="32"/>
          <w:szCs w:val="32"/>
          <w:highlight w:val="none"/>
        </w:rPr>
        <w:t>。</w:t>
      </w:r>
    </w:p>
    <w:p w14:paraId="5BC6B19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sz w:val="32"/>
          <w:szCs w:val="32"/>
          <w:highlight w:val="none"/>
          <w:lang w:eastAsia="zh-CN"/>
        </w:rPr>
        <w:t>七</w:t>
      </w:r>
      <w:r>
        <w:rPr>
          <w:rFonts w:hint="eastAsia" w:ascii="黑体" w:hAnsi="黑体" w:eastAsia="黑体" w:cs="黑体"/>
          <w:b w:val="0"/>
          <w:bCs w:val="0"/>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项目承担单位负责</w:t>
      </w:r>
      <w:r>
        <w:rPr>
          <w:rFonts w:hint="eastAsia"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lang w:val="en-US" w:eastAsia="zh-CN"/>
        </w:rPr>
        <w:t>经费</w:t>
      </w:r>
      <w:r>
        <w:rPr>
          <w:rFonts w:hint="default" w:ascii="Times New Roman" w:hAnsi="Times New Roman" w:eastAsia="仿宋_GB2312" w:cs="Times New Roman"/>
          <w:color w:val="auto"/>
          <w:sz w:val="32"/>
          <w:szCs w:val="32"/>
          <w:highlight w:val="none"/>
        </w:rPr>
        <w:t>的日常管理和监督</w:t>
      </w:r>
      <w:r>
        <w:rPr>
          <w:rFonts w:hint="eastAsia" w:ascii="Times New Roman" w:hAnsi="Times New Roman" w:eastAsia="仿宋_GB2312" w:cs="Times New Roman"/>
          <w:color w:val="auto"/>
          <w:sz w:val="32"/>
          <w:szCs w:val="32"/>
          <w:highlight w:val="none"/>
          <w:lang w:eastAsia="zh-CN"/>
        </w:rPr>
        <w:t>（牵头单位履行经费使用管理主体责任）</w:t>
      </w:r>
      <w:r>
        <w:rPr>
          <w:rFonts w:hint="default" w:ascii="Times New Roman" w:hAnsi="Times New Roman" w:eastAsia="仿宋_GB2312" w:cs="Times New Roman"/>
          <w:color w:val="auto"/>
          <w:sz w:val="32"/>
          <w:szCs w:val="32"/>
          <w:highlight w:val="none"/>
        </w:rPr>
        <w:t>，并负责落实全过程预算绩效管理具体工作</w:t>
      </w:r>
      <w:r>
        <w:rPr>
          <w:rFonts w:hint="eastAsia" w:ascii="Times New Roman" w:hAnsi="Times New Roman" w:eastAsia="仿宋_GB2312" w:cs="Times New Roman"/>
          <w:color w:val="auto"/>
          <w:sz w:val="32"/>
          <w:szCs w:val="32"/>
          <w:highlight w:val="none"/>
          <w:lang w:eastAsia="zh-CN"/>
        </w:rPr>
        <w:t>。</w:t>
      </w:r>
    </w:p>
    <w:p w14:paraId="7F8314D7">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（一）</w:t>
      </w:r>
      <w:r>
        <w:rPr>
          <w:rFonts w:hint="eastAsia" w:ascii="Times New Roman" w:hAnsi="Times New Roman" w:eastAsia="仿宋_GB2312" w:cs="Times New Roman"/>
          <w:color w:val="auto"/>
          <w:sz w:val="32"/>
          <w:szCs w:val="32"/>
          <w:highlight w:val="none"/>
        </w:rPr>
        <w:t>自主管理使用本单位</w:t>
      </w:r>
      <w:r>
        <w:rPr>
          <w:rFonts w:hint="eastAsia" w:ascii="Times New Roman" w:hAnsi="Times New Roman" w:eastAsia="仿宋_GB2312" w:cs="Times New Roman"/>
          <w:color w:val="auto"/>
          <w:sz w:val="32"/>
          <w:szCs w:val="32"/>
          <w:highlight w:val="none"/>
          <w:lang w:eastAsia="zh-CN"/>
        </w:rPr>
        <w:t>项目经费</w:t>
      </w:r>
      <w:r>
        <w:rPr>
          <w:rFonts w:hint="eastAsia" w:ascii="Times New Roman" w:hAnsi="Times New Roman" w:eastAsia="仿宋_GB2312" w:cs="Times New Roman"/>
          <w:color w:val="auto"/>
          <w:sz w:val="32"/>
          <w:szCs w:val="32"/>
          <w:highlight w:val="none"/>
        </w:rPr>
        <w:t>，落实项目自筹</w:t>
      </w:r>
      <w:r>
        <w:rPr>
          <w:rFonts w:hint="eastAsia" w:ascii="Times New Roman" w:hAnsi="Times New Roman" w:eastAsia="仿宋_GB2312" w:cs="Times New Roman"/>
          <w:color w:val="auto"/>
          <w:sz w:val="32"/>
          <w:szCs w:val="32"/>
          <w:highlight w:val="none"/>
          <w:lang w:eastAsia="zh-CN"/>
        </w:rPr>
        <w:t>经费</w:t>
      </w:r>
      <w:r>
        <w:rPr>
          <w:rFonts w:hint="eastAsia" w:ascii="Times New Roman" w:hAnsi="Times New Roman" w:eastAsia="仿宋_GB2312" w:cs="Times New Roman"/>
          <w:color w:val="auto"/>
          <w:sz w:val="32"/>
          <w:szCs w:val="32"/>
          <w:highlight w:val="none"/>
        </w:rPr>
        <w:t>及其他保障条件，落实科研经费使用管理改革放权政策</w:t>
      </w:r>
      <w:r>
        <w:rPr>
          <w:rFonts w:hint="eastAsia" w:ascii="Times New Roman" w:hAnsi="Times New Roman" w:eastAsia="仿宋_GB2312" w:cs="Times New Roman"/>
          <w:color w:val="auto"/>
          <w:sz w:val="32"/>
          <w:szCs w:val="32"/>
          <w:highlight w:val="none"/>
          <w:lang w:eastAsia="zh-CN"/>
        </w:rPr>
        <w:t>。</w:t>
      </w:r>
    </w:p>
    <w:p w14:paraId="0E1229C1">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eastAsia="仿宋_GB2312" w:cs="Times New Roman"/>
          <w:color w:val="auto"/>
          <w:kern w:val="2"/>
          <w:sz w:val="32"/>
          <w:szCs w:val="32"/>
          <w:highlight w:val="none"/>
          <w:lang w:val="en-US" w:eastAsia="zh-CN" w:bidi="ar-SA"/>
        </w:rPr>
        <w:t>负责</w:t>
      </w:r>
      <w:r>
        <w:rPr>
          <w:rFonts w:hint="eastAsia" w:ascii="Times New Roman" w:hAnsi="Times New Roman" w:eastAsia="仿宋_GB2312" w:cs="Times New Roman"/>
          <w:color w:val="auto"/>
          <w:kern w:val="2"/>
          <w:sz w:val="32"/>
          <w:szCs w:val="32"/>
          <w:highlight w:val="none"/>
          <w:lang w:val="en-US" w:eastAsia="zh-CN" w:bidi="ar-SA"/>
        </w:rPr>
        <w:t>建立</w:t>
      </w:r>
      <w:r>
        <w:rPr>
          <w:rFonts w:hint="default" w:ascii="Times New Roman" w:hAnsi="Times New Roman" w:eastAsia="仿宋_GB2312" w:cs="Times New Roman"/>
          <w:color w:val="auto"/>
          <w:kern w:val="2"/>
          <w:sz w:val="32"/>
          <w:szCs w:val="32"/>
          <w:highlight w:val="none"/>
          <w:lang w:val="en-US" w:eastAsia="zh-CN" w:bidi="ar-SA"/>
        </w:rPr>
        <w:t>和完善单位内控制度</w:t>
      </w:r>
      <w:r>
        <w:rPr>
          <w:rFonts w:hint="eastAsia" w:ascii="Times New Roman" w:hAnsi="Times New Roman" w:eastAsia="仿宋_GB2312" w:cs="Times New Roman"/>
          <w:color w:val="auto"/>
          <w:kern w:val="2"/>
          <w:sz w:val="32"/>
          <w:szCs w:val="32"/>
          <w:highlight w:val="none"/>
          <w:lang w:val="en-US" w:eastAsia="zh-CN" w:bidi="ar-SA"/>
        </w:rPr>
        <w:t>，以及</w:t>
      </w:r>
      <w:r>
        <w:rPr>
          <w:rFonts w:hint="default" w:ascii="Times New Roman" w:hAnsi="Times New Roman" w:eastAsia="仿宋_GB2312" w:cs="Times New Roman"/>
          <w:color w:val="auto"/>
          <w:kern w:val="2"/>
          <w:sz w:val="32"/>
          <w:szCs w:val="32"/>
          <w:highlight w:val="none"/>
          <w:lang w:val="en-US" w:eastAsia="zh-CN" w:bidi="ar-SA"/>
        </w:rPr>
        <w:t>与项目经费管理有关的预算、支出、报销等财务规章制度</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落实项目预算调剂、科研仪器设备采购管理</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劳务费管理、差旅会议管理、间接费用管理（含绩效分配）、结余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kern w:val="2"/>
          <w:sz w:val="32"/>
          <w:szCs w:val="32"/>
          <w:highlight w:val="none"/>
          <w:lang w:val="en-US" w:eastAsia="zh-CN" w:bidi="ar-SA"/>
        </w:rPr>
        <w:t>使用</w:t>
      </w:r>
      <w:r>
        <w:rPr>
          <w:rFonts w:hint="eastAsia" w:ascii="Times New Roman" w:hAnsi="Times New Roman" w:eastAsia="仿宋_GB2312" w:cs="Times New Roman"/>
          <w:color w:val="auto"/>
          <w:kern w:val="2"/>
          <w:sz w:val="32"/>
          <w:szCs w:val="32"/>
          <w:highlight w:val="none"/>
          <w:lang w:val="en-US" w:eastAsia="zh-CN" w:bidi="ar-SA"/>
        </w:rPr>
        <w:t>、研发投入归集</w:t>
      </w:r>
      <w:r>
        <w:rPr>
          <w:rFonts w:hint="default" w:ascii="Times New Roman" w:hAnsi="Times New Roman" w:eastAsia="仿宋_GB2312" w:cs="Times New Roman"/>
          <w:color w:val="auto"/>
          <w:kern w:val="2"/>
          <w:sz w:val="32"/>
          <w:szCs w:val="32"/>
          <w:highlight w:val="none"/>
          <w:lang w:val="en-US" w:eastAsia="zh-CN" w:bidi="ar-SA"/>
        </w:rPr>
        <w:t>等管理</w:t>
      </w:r>
      <w:r>
        <w:rPr>
          <w:rFonts w:hint="eastAsia" w:ascii="Times New Roman" w:hAnsi="Times New Roman" w:eastAsia="仿宋_GB2312" w:cs="Times New Roman"/>
          <w:color w:val="auto"/>
          <w:kern w:val="2"/>
          <w:sz w:val="32"/>
          <w:szCs w:val="32"/>
          <w:highlight w:val="none"/>
          <w:lang w:val="en-US" w:eastAsia="zh-CN" w:bidi="ar-SA"/>
        </w:rPr>
        <w:t>工作。</w:t>
      </w:r>
    </w:p>
    <w:p w14:paraId="08B4D35D">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w:t>
      </w:r>
      <w:r>
        <w:rPr>
          <w:rFonts w:hint="default" w:ascii="Times New Roman" w:hAnsi="Times New Roman" w:eastAsia="仿宋_GB2312" w:cs="Times New Roman"/>
          <w:color w:val="auto"/>
          <w:kern w:val="2"/>
          <w:sz w:val="32"/>
          <w:szCs w:val="32"/>
          <w:highlight w:val="none"/>
          <w:lang w:val="en-US" w:eastAsia="zh-CN" w:bidi="ar-SA"/>
        </w:rPr>
        <w:t>负责</w:t>
      </w:r>
      <w:r>
        <w:rPr>
          <w:rFonts w:hint="eastAsia" w:ascii="Times New Roman" w:hAnsi="Times New Roman" w:eastAsia="仿宋_GB2312" w:cs="Times New Roman"/>
          <w:color w:val="auto"/>
          <w:kern w:val="2"/>
          <w:sz w:val="32"/>
          <w:szCs w:val="32"/>
          <w:highlight w:val="none"/>
          <w:lang w:val="en-US" w:eastAsia="zh-CN" w:bidi="ar-SA"/>
        </w:rPr>
        <w:t>有关财务文件的归档保存，</w:t>
      </w:r>
      <w:r>
        <w:rPr>
          <w:rFonts w:hint="default" w:ascii="Times New Roman" w:hAnsi="Times New Roman" w:eastAsia="仿宋_GB2312" w:cs="Times New Roman"/>
          <w:color w:val="auto"/>
          <w:kern w:val="2"/>
          <w:sz w:val="32"/>
          <w:szCs w:val="32"/>
          <w:highlight w:val="none"/>
          <w:lang w:val="en-US" w:eastAsia="zh-CN" w:bidi="ar-SA"/>
        </w:rPr>
        <w:t>完善单位内部信息公开公示制度，加强项目经费内部监督</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配合进行项目经费审计等工作，接受自治区科技厅、财政厅等有关部门的监督检查、绩效评价等，并对发现的问题按要求做好整改工作</w:t>
      </w:r>
      <w:r>
        <w:rPr>
          <w:rFonts w:hint="eastAsia" w:ascii="Times New Roman" w:hAnsi="Times New Roman" w:eastAsia="仿宋_GB2312" w:cs="Times New Roman"/>
          <w:color w:val="auto"/>
          <w:kern w:val="2"/>
          <w:sz w:val="32"/>
          <w:szCs w:val="32"/>
          <w:highlight w:val="none"/>
          <w:lang w:val="en-US" w:eastAsia="zh-CN" w:bidi="ar-SA"/>
        </w:rPr>
        <w:t>。</w:t>
      </w:r>
    </w:p>
    <w:p w14:paraId="355B82B0">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kern w:val="2"/>
          <w:sz w:val="32"/>
          <w:szCs w:val="32"/>
          <w:highlight w:val="none"/>
          <w:lang w:val="en-US" w:eastAsia="zh-CN" w:bidi="ar-SA"/>
        </w:rPr>
        <w:t>负责建立健全科研财务助理制度</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rPr>
        <w:t>为科研人员在预算编制、经费报销等方面提供专业化服务</w:t>
      </w:r>
      <w:r>
        <w:rPr>
          <w:rFonts w:hint="eastAsia" w:ascii="Times New Roman" w:hAnsi="Times New Roman" w:eastAsia="仿宋_GB2312" w:cs="Times New Roman"/>
          <w:color w:val="auto"/>
          <w:sz w:val="32"/>
          <w:szCs w:val="32"/>
          <w:highlight w:val="none"/>
          <w:lang w:eastAsia="zh-CN"/>
        </w:rPr>
        <w:t>。</w:t>
      </w:r>
    </w:p>
    <w:p w14:paraId="5842AEAD">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（五）</w:t>
      </w:r>
      <w:r>
        <w:rPr>
          <w:rFonts w:hint="eastAsia" w:ascii="Times New Roman" w:hAnsi="Times New Roman" w:eastAsia="仿宋_GB2312" w:cs="Times New Roman"/>
          <w:color w:val="auto"/>
          <w:sz w:val="32"/>
          <w:szCs w:val="32"/>
          <w:highlight w:val="none"/>
        </w:rPr>
        <w:t>对因故需终止实施或撤销的项目及时按程序报批，并主动按规定退回终止或验收不通过项目的结余经费及违规使用财政经费。</w:t>
      </w:r>
    </w:p>
    <w:p w14:paraId="2D1BA7DD">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eastAsia="仿宋_GB2312"/>
          <w:color w:val="auto"/>
          <w:highlight w:val="none"/>
          <w:lang w:eastAsia="zh-CN"/>
        </w:rPr>
      </w:pPr>
      <w:r>
        <w:rPr>
          <w:rFonts w:hint="eastAsia" w:ascii="Times New Roman" w:hAnsi="Times New Roman" w:eastAsia="仿宋_GB2312" w:cs="Times New Roman"/>
          <w:color w:val="auto"/>
          <w:kern w:val="2"/>
          <w:sz w:val="32"/>
          <w:szCs w:val="32"/>
          <w:highlight w:val="none"/>
          <w:lang w:val="en-US" w:eastAsia="zh-CN" w:bidi="ar-SA"/>
        </w:rPr>
        <w:t>（六）</w:t>
      </w:r>
      <w:r>
        <w:rPr>
          <w:rFonts w:hint="eastAsia" w:ascii="Times New Roman" w:hAnsi="Times New Roman" w:eastAsia="仿宋_GB2312" w:cs="Times New Roman"/>
          <w:color w:val="auto"/>
          <w:sz w:val="32"/>
          <w:szCs w:val="32"/>
          <w:highlight w:val="none"/>
          <w:lang w:eastAsia="zh-CN"/>
        </w:rPr>
        <w:t>负责制定单位内部项目结余经费管理制度以及结余经费盘活制度，落实项目结余经费管理，统筹加快结余经费使用进度，提高结余经费使用效率。</w:t>
      </w:r>
    </w:p>
    <w:p w14:paraId="6C0BABD4">
      <w:pPr>
        <w:pStyle w:val="2"/>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（七）</w:t>
      </w:r>
      <w:r>
        <w:rPr>
          <w:rFonts w:hint="eastAsia" w:ascii="Times New Roman" w:hAnsi="Times New Roman" w:eastAsia="仿宋_GB2312" w:cs="Times New Roman"/>
          <w:color w:val="auto"/>
          <w:sz w:val="32"/>
          <w:szCs w:val="32"/>
          <w:highlight w:val="none"/>
          <w:lang w:val="en-US" w:eastAsia="zh-CN"/>
        </w:rPr>
        <w:t>国家、自治区有关政策文件及项目任务书规定的其他职责。</w:t>
      </w:r>
    </w:p>
    <w:p w14:paraId="0A09C74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pPr>
      <w:r>
        <w:rPr>
          <w:rFonts w:hint="eastAsia" w:ascii="黑体" w:hAnsi="黑体" w:eastAsia="黑体" w:cs="黑体"/>
          <w:b w:val="0"/>
          <w:bCs w:val="0"/>
          <w:i w:val="0"/>
          <w:iCs w:val="0"/>
          <w:caps w:val="0"/>
          <w:color w:val="auto"/>
          <w:spacing w:val="0"/>
          <w:sz w:val="32"/>
          <w:szCs w:val="32"/>
          <w:highlight w:val="none"/>
          <w:shd w:val="clear" w:color="auto" w:fill="auto"/>
        </w:rPr>
        <w:t>第</w:t>
      </w:r>
      <w:r>
        <w:rPr>
          <w:rFonts w:hint="eastAsia" w:ascii="黑体" w:hAnsi="黑体" w:eastAsia="黑体" w:cs="黑体"/>
          <w:b w:val="0"/>
          <w:bCs w:val="0"/>
          <w:i w:val="0"/>
          <w:iCs w:val="0"/>
          <w:caps w:val="0"/>
          <w:color w:val="auto"/>
          <w:spacing w:val="0"/>
          <w:sz w:val="32"/>
          <w:szCs w:val="32"/>
          <w:highlight w:val="none"/>
          <w:shd w:val="clear" w:color="auto" w:fill="auto"/>
          <w:lang w:eastAsia="zh-CN"/>
        </w:rPr>
        <w:t>八</w:t>
      </w:r>
      <w:r>
        <w:rPr>
          <w:rFonts w:hint="eastAsia" w:ascii="黑体" w:hAnsi="黑体" w:eastAsia="黑体" w:cs="黑体"/>
          <w:b w:val="0"/>
          <w:bCs w:val="0"/>
          <w:i w:val="0"/>
          <w:iCs w:val="0"/>
          <w:caps w:val="0"/>
          <w:color w:val="auto"/>
          <w:spacing w:val="0"/>
          <w:sz w:val="32"/>
          <w:szCs w:val="32"/>
          <w:highlight w:val="none"/>
          <w:shd w:val="clear" w:color="auto" w:fill="auto"/>
        </w:rPr>
        <w:t>条</w:t>
      </w:r>
      <w:r>
        <w:rPr>
          <w:rFonts w:hint="eastAsia" w:ascii="Times New Roman" w:hAnsi="Times New Roman" w:eastAsia="仿宋_GB2312" w:cs="Times New Roman"/>
          <w:b/>
          <w:bCs/>
          <w:i w:val="0"/>
          <w:iCs w:val="0"/>
          <w:caps w:val="0"/>
          <w:color w:val="auto"/>
          <w:spacing w:val="0"/>
          <w:sz w:val="32"/>
          <w:szCs w:val="32"/>
          <w:highlight w:val="none"/>
          <w:shd w:val="clear" w:color="auto" w:fill="auto"/>
          <w:lang w:val="en-US" w:eastAsia="zh-CN"/>
        </w:rPr>
        <w:t xml:space="preserve">  </w:t>
      </w:r>
      <w:r>
        <w:rPr>
          <w:rFonts w:hint="eastAsia" w:ascii="Times New Roman" w:hAnsi="Times New Roman" w:eastAsia="仿宋_GB2312" w:cs="Times New Roman"/>
          <w:i w:val="0"/>
          <w:iCs w:val="0"/>
          <w:caps w:val="0"/>
          <w:color w:val="auto"/>
          <w:spacing w:val="0"/>
          <w:sz w:val="32"/>
          <w:szCs w:val="32"/>
          <w:highlight w:val="none"/>
          <w:shd w:val="clear" w:color="auto" w:fill="auto"/>
        </w:rPr>
        <w:t>项目负责人</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是项目经费使用的直接责任人，</w:t>
      </w:r>
      <w:r>
        <w:rPr>
          <w:rFonts w:hint="eastAsia" w:ascii="Times New Roman" w:hAnsi="Times New Roman" w:eastAsia="仿宋_GB2312"/>
          <w:color w:val="auto"/>
          <w:sz w:val="32"/>
          <w:szCs w:val="32"/>
          <w:highlight w:val="none"/>
          <w:shd w:val="clear" w:color="auto" w:fill="auto"/>
        </w:rPr>
        <w:t>对经费使用的合规性、合理性、真实性和</w:t>
      </w:r>
      <w:r>
        <w:rPr>
          <w:rFonts w:hint="eastAsia" w:ascii="Times New Roman" w:hAnsi="Times New Roman" w:eastAsia="仿宋_GB2312"/>
          <w:color w:val="auto"/>
          <w:sz w:val="32"/>
          <w:szCs w:val="32"/>
          <w:highlight w:val="none"/>
          <w:shd w:val="clear" w:color="auto" w:fill="auto"/>
          <w:lang w:eastAsia="zh-CN"/>
        </w:rPr>
        <w:t>与项目实施的</w:t>
      </w:r>
      <w:r>
        <w:rPr>
          <w:rFonts w:hint="eastAsia" w:ascii="Times New Roman" w:hAnsi="Times New Roman" w:eastAsia="仿宋_GB2312"/>
          <w:color w:val="auto"/>
          <w:sz w:val="32"/>
          <w:szCs w:val="32"/>
          <w:highlight w:val="none"/>
          <w:shd w:val="clear" w:color="auto" w:fill="auto"/>
        </w:rPr>
        <w:t>相关性负责</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p>
    <w:p w14:paraId="1683D07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一</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合理编制项目预算，统筹考虑多元化</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i w:val="0"/>
          <w:iCs w:val="0"/>
          <w:caps w:val="0"/>
          <w:color w:val="auto"/>
          <w:spacing w:val="0"/>
          <w:sz w:val="32"/>
          <w:szCs w:val="32"/>
          <w:highlight w:val="none"/>
          <w:shd w:val="clear" w:color="auto" w:fill="auto"/>
        </w:rPr>
        <w:t>来源，综合考虑任务相关性、配置适当性和经济合理性等</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p>
    <w:p w14:paraId="68E6EFF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二</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科学合理地编制绩效目标，确保目标的相关性、适当性和可考核性，并认真开展绩效评价</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p>
    <w:p w14:paraId="4856C69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三</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auto"/>
        </w:rPr>
        <w:t>加强科研活动</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经费支出</w:t>
      </w:r>
      <w:r>
        <w:rPr>
          <w:rFonts w:hint="eastAsia" w:ascii="Times New Roman" w:hAnsi="Times New Roman" w:eastAsia="仿宋_GB2312" w:cs="Times New Roman"/>
          <w:i w:val="0"/>
          <w:iCs w:val="0"/>
          <w:caps w:val="0"/>
          <w:color w:val="auto"/>
          <w:spacing w:val="0"/>
          <w:sz w:val="32"/>
          <w:szCs w:val="32"/>
          <w:highlight w:val="none"/>
          <w:shd w:val="clear" w:color="auto" w:fill="auto"/>
        </w:rPr>
        <w:t>原始记录</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管理</w:t>
      </w:r>
      <w:r>
        <w:rPr>
          <w:rFonts w:hint="eastAsia" w:ascii="Times New Roman" w:hAnsi="Times New Roman" w:eastAsia="仿宋_GB2312" w:cs="Times New Roman"/>
          <w:i w:val="0"/>
          <w:iCs w:val="0"/>
          <w:caps w:val="0"/>
          <w:color w:val="auto"/>
          <w:spacing w:val="0"/>
          <w:sz w:val="32"/>
          <w:szCs w:val="32"/>
          <w:highlight w:val="none"/>
          <w:shd w:val="clear" w:color="auto" w:fill="auto"/>
        </w:rPr>
        <w:t>，据实记录科研项目及经费使用相关内容。如实编制项目决算，并对</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i w:val="0"/>
          <w:iCs w:val="0"/>
          <w:caps w:val="0"/>
          <w:color w:val="auto"/>
          <w:spacing w:val="0"/>
          <w:sz w:val="32"/>
          <w:szCs w:val="32"/>
          <w:highlight w:val="none"/>
          <w:shd w:val="clear" w:color="auto" w:fill="auto"/>
        </w:rPr>
        <w:t>使用的合法性、合规性和真实性负责</w:t>
      </w: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w:t>
      </w:r>
    </w:p>
    <w:p w14:paraId="14E55C0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auto"/>
          <w:lang w:eastAsia="zh-CN"/>
        </w:rPr>
        <w:t>（四）</w:t>
      </w:r>
      <w:r>
        <w:rPr>
          <w:rFonts w:hint="eastAsia" w:ascii="Times New Roman" w:hAnsi="Times New Roman" w:eastAsia="仿宋_GB2312" w:cs="Times New Roman"/>
          <w:color w:val="auto"/>
          <w:sz w:val="32"/>
          <w:szCs w:val="32"/>
          <w:highlight w:val="none"/>
        </w:rPr>
        <w:t>对因故需终止实施或撤销的项目，须及时向项目承担单位及</w:t>
      </w:r>
      <w:r>
        <w:rPr>
          <w:rFonts w:hint="eastAsia" w:ascii="Times New Roman" w:hAnsi="Times New Roman" w:eastAsia="仿宋_GB2312" w:cs="Times New Roman"/>
          <w:color w:val="auto"/>
          <w:sz w:val="32"/>
          <w:szCs w:val="32"/>
          <w:highlight w:val="none"/>
          <w:lang w:eastAsia="zh-CN"/>
        </w:rPr>
        <w:t>项目管理机构</w:t>
      </w:r>
      <w:r>
        <w:rPr>
          <w:rFonts w:hint="eastAsia" w:ascii="Times New Roman" w:hAnsi="Times New Roman" w:eastAsia="仿宋_GB2312" w:cs="Times New Roman"/>
          <w:color w:val="auto"/>
          <w:sz w:val="32"/>
          <w:szCs w:val="32"/>
          <w:highlight w:val="none"/>
        </w:rPr>
        <w:t>提出项目终止或撤销书面申请并说明原因</w:t>
      </w:r>
      <w:r>
        <w:rPr>
          <w:rFonts w:hint="eastAsia" w:ascii="Times New Roman" w:hAnsi="Times New Roman" w:eastAsia="仿宋_GB2312" w:cs="Times New Roman"/>
          <w:color w:val="auto"/>
          <w:sz w:val="32"/>
          <w:szCs w:val="32"/>
          <w:highlight w:val="none"/>
          <w:lang w:eastAsia="zh-CN"/>
        </w:rPr>
        <w:t>。</w:t>
      </w:r>
    </w:p>
    <w:p w14:paraId="185B4DE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default" w:ascii="Times New Roman" w:hAnsi="Times New Roman" w:eastAsia="黑体"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lang w:val="en-US" w:eastAsia="zh-CN"/>
        </w:rPr>
        <w:t>国家、自治区有关政策文件及项目任务书规定的其他职责。</w:t>
      </w:r>
    </w:p>
    <w:p w14:paraId="6271A409">
      <w:pPr>
        <w:pStyle w:val="4"/>
        <w:keepNext w:val="0"/>
        <w:keepLines w:val="0"/>
        <w:pageBreakBefore w:val="0"/>
        <w:widowControl w:val="0"/>
        <w:kinsoku/>
        <w:wordWrap/>
        <w:overflowPunct/>
        <w:topLinePunct w:val="0"/>
        <w:autoSpaceDE/>
        <w:autoSpaceDN/>
        <w:bidi w:val="0"/>
        <w:adjustRightInd/>
        <w:snapToGrid/>
        <w:spacing w:line="580" w:lineRule="exact"/>
        <w:rPr>
          <w:rFonts w:hint="default"/>
        </w:rPr>
      </w:pPr>
    </w:p>
    <w:p w14:paraId="78624175">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章</w:t>
      </w:r>
      <w:r>
        <w:rPr>
          <w:rFonts w:hint="default" w:ascii="Times New Roman" w:hAnsi="Times New Roman" w:eastAsia="黑体" w:cs="Times New Roman"/>
          <w:color w:val="auto"/>
          <w:sz w:val="32"/>
          <w:szCs w:val="32"/>
          <w:highlight w:val="none"/>
          <w:lang w:val="en-US" w:eastAsia="zh-CN"/>
        </w:rPr>
        <w:t xml:space="preserve">  经费</w:t>
      </w:r>
      <w:r>
        <w:rPr>
          <w:rFonts w:hint="default" w:ascii="Times New Roman" w:hAnsi="Times New Roman" w:eastAsia="黑体" w:cs="Times New Roman"/>
          <w:color w:val="auto"/>
          <w:sz w:val="32"/>
          <w:szCs w:val="32"/>
          <w:highlight w:val="none"/>
        </w:rPr>
        <w:t>支持范围</w:t>
      </w:r>
      <w:r>
        <w:rPr>
          <w:rFonts w:hint="eastAsia" w:ascii="Times New Roman" w:hAnsi="Times New Roman" w:eastAsia="黑体" w:cs="Times New Roman"/>
          <w:color w:val="auto"/>
          <w:sz w:val="32"/>
          <w:szCs w:val="32"/>
          <w:highlight w:val="none"/>
          <w:lang w:val="en-US" w:eastAsia="zh-CN"/>
        </w:rPr>
        <w:t>和</w:t>
      </w:r>
      <w:r>
        <w:rPr>
          <w:rFonts w:hint="default" w:ascii="Times New Roman" w:hAnsi="Times New Roman" w:eastAsia="黑体" w:cs="Times New Roman"/>
          <w:color w:val="auto"/>
          <w:sz w:val="32"/>
          <w:szCs w:val="32"/>
          <w:highlight w:val="none"/>
        </w:rPr>
        <w:t>开支范围</w:t>
      </w:r>
    </w:p>
    <w:p w14:paraId="27756866">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highlight w:val="none"/>
          <w:lang w:val="en-US" w:eastAsia="zh-CN"/>
        </w:rPr>
      </w:pPr>
    </w:p>
    <w:p w14:paraId="2E8A35C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经费</w:t>
      </w:r>
      <w:r>
        <w:rPr>
          <w:rFonts w:hint="eastAsia" w:ascii="Times New Roman" w:hAnsi="Times New Roman" w:eastAsia="仿宋_GB2312" w:cs="Times New Roman"/>
          <w:color w:val="auto"/>
          <w:sz w:val="32"/>
          <w:szCs w:val="32"/>
          <w:highlight w:val="none"/>
          <w:lang w:val="en-US" w:eastAsia="zh-CN"/>
        </w:rPr>
        <w:t>支持范围包括</w:t>
      </w:r>
      <w:r>
        <w:rPr>
          <w:rFonts w:hint="default" w:ascii="Times New Roman" w:hAnsi="Times New Roman" w:eastAsia="仿宋_GB2312" w:cs="Times New Roman"/>
          <w:color w:val="auto"/>
          <w:sz w:val="32"/>
          <w:szCs w:val="32"/>
          <w:highlight w:val="none"/>
          <w:lang w:val="en-US" w:eastAsia="zh-CN"/>
        </w:rPr>
        <w:t>：</w:t>
      </w:r>
    </w:p>
    <w:p w14:paraId="4B9466B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夯基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行动计划（</w:t>
      </w:r>
      <w:r>
        <w:rPr>
          <w:rFonts w:hint="default" w:ascii="Times New Roman" w:hAnsi="Times New Roman" w:eastAsia="仿宋_GB2312" w:cs="Times New Roman"/>
          <w:color w:val="auto"/>
          <w:sz w:val="32"/>
          <w:szCs w:val="32"/>
          <w:highlight w:val="none"/>
          <w:lang w:val="en-US" w:eastAsia="zh-CN"/>
        </w:rPr>
        <w:t>广西</w:t>
      </w:r>
      <w:r>
        <w:rPr>
          <w:rFonts w:hint="default" w:ascii="Times New Roman" w:hAnsi="Times New Roman" w:eastAsia="仿宋_GB2312" w:cs="Times New Roman"/>
          <w:color w:val="auto"/>
          <w:sz w:val="32"/>
          <w:szCs w:val="32"/>
          <w:highlight w:val="none"/>
        </w:rPr>
        <w:t>基础研究计划）</w:t>
      </w:r>
      <w:r>
        <w:rPr>
          <w:rFonts w:hint="eastAsia" w:ascii="Times New Roman" w:hAnsi="Times New Roman" w:eastAsia="仿宋_GB2312" w:cs="Times New Roman"/>
          <w:color w:val="auto"/>
          <w:sz w:val="32"/>
          <w:szCs w:val="32"/>
          <w:highlight w:val="none"/>
          <w:lang w:eastAsia="zh-CN"/>
        </w:rPr>
        <w:t>；</w:t>
      </w:r>
    </w:p>
    <w:p w14:paraId="41020C0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尖锋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行动计划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广西重大专项计划</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14:paraId="276D0C1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智果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行动计划（广西科技成果转化计划）</w:t>
      </w:r>
      <w:r>
        <w:rPr>
          <w:rFonts w:hint="eastAsia" w:ascii="Times New Roman" w:hAnsi="Times New Roman" w:eastAsia="仿宋_GB2312" w:cs="Times New Roman"/>
          <w:color w:val="auto"/>
          <w:sz w:val="32"/>
          <w:szCs w:val="32"/>
          <w:highlight w:val="none"/>
          <w:lang w:val="en-US" w:eastAsia="zh-CN"/>
        </w:rPr>
        <w:t>；</w:t>
      </w:r>
    </w:p>
    <w:p w14:paraId="7CE73AE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垒台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行动</w:t>
      </w:r>
      <w:r>
        <w:rPr>
          <w:rFonts w:hint="default" w:ascii="Times New Roman" w:hAnsi="Times New Roman" w:eastAsia="仿宋_GB2312" w:cs="Times New Roman"/>
          <w:color w:val="auto"/>
          <w:sz w:val="32"/>
          <w:szCs w:val="32"/>
          <w:highlight w:val="none"/>
        </w:rPr>
        <w:t>计划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广西科技创新平台计划</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p>
    <w:p w14:paraId="01EE0D7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协同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行动计划（广西区域创新能力提升计划）</w:t>
      </w:r>
      <w:r>
        <w:rPr>
          <w:rFonts w:hint="eastAsia" w:ascii="Times New Roman" w:hAnsi="Times New Roman" w:eastAsia="仿宋_GB2312" w:cs="Times New Roman"/>
          <w:color w:val="auto"/>
          <w:sz w:val="32"/>
          <w:szCs w:val="32"/>
          <w:highlight w:val="none"/>
          <w:lang w:eastAsia="zh-CN"/>
        </w:rPr>
        <w:t>；</w:t>
      </w:r>
    </w:p>
    <w:p w14:paraId="6CEDC97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赋能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行动计划（广西重点研发计划）</w:t>
      </w:r>
      <w:r>
        <w:rPr>
          <w:rFonts w:hint="eastAsia" w:ascii="Times New Roman" w:hAnsi="Times New Roman" w:eastAsia="仿宋_GB2312" w:cs="Times New Roman"/>
          <w:color w:val="auto"/>
          <w:sz w:val="32"/>
          <w:szCs w:val="32"/>
          <w:highlight w:val="none"/>
          <w:lang w:eastAsia="zh-CN"/>
        </w:rPr>
        <w:t>；</w:t>
      </w:r>
    </w:p>
    <w:p w14:paraId="6EC21B4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）其他方面。围绕</w:t>
      </w:r>
      <w:r>
        <w:rPr>
          <w:rFonts w:hint="default" w:ascii="Times New Roman" w:hAnsi="Times New Roman" w:eastAsia="仿宋_GB2312" w:cs="Times New Roman"/>
          <w:color w:val="auto"/>
          <w:sz w:val="32"/>
          <w:szCs w:val="32"/>
          <w:highlight w:val="none"/>
          <w:lang w:val="en-US" w:eastAsia="zh-CN"/>
        </w:rPr>
        <w:t>自治区党委</w:t>
      </w:r>
      <w:r>
        <w:rPr>
          <w:rFonts w:hint="default" w:ascii="Times New Roman" w:hAnsi="Times New Roman" w:eastAsia="仿宋_GB2312" w:cs="Times New Roman"/>
          <w:color w:val="auto"/>
          <w:sz w:val="32"/>
          <w:szCs w:val="32"/>
          <w:highlight w:val="none"/>
        </w:rPr>
        <w:t>、政府重点工作部署，由</w:t>
      </w:r>
      <w:r>
        <w:rPr>
          <w:rFonts w:hint="default"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科技厅立项支持的其他科技项目，以及与</w:t>
      </w:r>
      <w:r>
        <w:rPr>
          <w:rFonts w:hint="eastAsia" w:ascii="Times New Roman" w:hAnsi="Times New Roman" w:eastAsia="仿宋_GB2312" w:cs="Times New Roman"/>
          <w:color w:val="auto"/>
          <w:sz w:val="32"/>
          <w:szCs w:val="32"/>
          <w:highlight w:val="none"/>
          <w:lang w:val="en-US" w:eastAsia="zh-CN"/>
        </w:rPr>
        <w:t>国家、</w:t>
      </w:r>
      <w:r>
        <w:rPr>
          <w:rFonts w:hint="default"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有关部门和地方共同组织实施的项目等。</w:t>
      </w:r>
    </w:p>
    <w:p w14:paraId="7EE7E62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项目经费支持</w:t>
      </w:r>
      <w:r>
        <w:rPr>
          <w:rFonts w:hint="default" w:ascii="Times New Roman" w:hAnsi="Times New Roman" w:eastAsia="仿宋_GB2312" w:cs="Times New Roman"/>
          <w:color w:val="auto"/>
          <w:sz w:val="32"/>
          <w:szCs w:val="32"/>
          <w:highlight w:val="none"/>
          <w:lang w:val="en-US" w:eastAsia="zh-CN"/>
        </w:rPr>
        <w:t>方式主要包括前</w:t>
      </w:r>
      <w:r>
        <w:rPr>
          <w:rFonts w:hint="eastAsia" w:ascii="Times New Roman" w:hAnsi="Times New Roman" w:eastAsia="仿宋_GB2312" w:cs="Times New Roman"/>
          <w:color w:val="auto"/>
          <w:sz w:val="32"/>
          <w:szCs w:val="32"/>
          <w:highlight w:val="none"/>
          <w:lang w:val="en-US" w:eastAsia="zh-CN"/>
        </w:rPr>
        <w:t>资</w:t>
      </w:r>
      <w:r>
        <w:rPr>
          <w:rFonts w:hint="default" w:ascii="Times New Roman" w:hAnsi="Times New Roman" w:eastAsia="仿宋_GB2312" w:cs="Times New Roman"/>
          <w:color w:val="auto"/>
          <w:sz w:val="32"/>
          <w:szCs w:val="32"/>
          <w:highlight w:val="none"/>
          <w:lang w:val="en-US" w:eastAsia="zh-CN"/>
        </w:rPr>
        <w:t>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后补助</w:t>
      </w:r>
      <w:r>
        <w:rPr>
          <w:rFonts w:hint="eastAsia" w:ascii="Times New Roman" w:hAnsi="Times New Roman" w:eastAsia="仿宋_GB2312" w:cs="Times New Roman"/>
          <w:color w:val="auto"/>
          <w:sz w:val="32"/>
          <w:szCs w:val="32"/>
          <w:highlight w:val="none"/>
          <w:lang w:val="en-US" w:eastAsia="zh-CN"/>
        </w:rPr>
        <w:t>和其他支持方式</w:t>
      </w:r>
      <w:r>
        <w:rPr>
          <w:rFonts w:hint="default" w:ascii="Times New Roman" w:hAnsi="Times New Roman" w:eastAsia="仿宋_GB2312" w:cs="Times New Roman"/>
          <w:color w:val="auto"/>
          <w:sz w:val="32"/>
          <w:szCs w:val="32"/>
          <w:highlight w:val="none"/>
          <w:lang w:val="en-US" w:eastAsia="zh-CN"/>
        </w:rPr>
        <w:t>。</w:t>
      </w:r>
    </w:p>
    <w:p w14:paraId="4F4E3F2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（一）</w:t>
      </w:r>
      <w:r>
        <w:rPr>
          <w:rFonts w:hint="default" w:ascii="Times New Roman" w:hAnsi="Times New Roman" w:eastAsia="仿宋_GB2312" w:cs="Times New Roman"/>
          <w:color w:val="auto"/>
          <w:kern w:val="2"/>
          <w:sz w:val="32"/>
          <w:szCs w:val="22"/>
          <w:highlight w:val="none"/>
          <w:lang w:val="en-US" w:eastAsia="zh-CN" w:bidi="ar-SA"/>
        </w:rPr>
        <w:t>前资助是指项目立项后核定预算，一次性或按照项目执行进度分年度拨付经费的财政支持方式。</w:t>
      </w:r>
    </w:p>
    <w:p w14:paraId="31CC7D0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（二）</w:t>
      </w:r>
      <w:r>
        <w:rPr>
          <w:rFonts w:hint="default" w:ascii="Times New Roman" w:hAnsi="Times New Roman" w:eastAsia="仿宋_GB2312" w:cs="Times New Roman"/>
          <w:color w:val="auto"/>
          <w:kern w:val="2"/>
          <w:sz w:val="32"/>
          <w:szCs w:val="22"/>
          <w:highlight w:val="none"/>
          <w:lang w:val="en-US" w:eastAsia="zh-CN" w:bidi="ar-SA"/>
        </w:rPr>
        <w:t>后补助包括</w:t>
      </w:r>
      <w:r>
        <w:rPr>
          <w:rFonts w:hint="default" w:ascii="Times New Roman" w:hAnsi="Times New Roman" w:eastAsia="仿宋_GB2312" w:cs="Times New Roman"/>
          <w:color w:val="auto"/>
          <w:kern w:val="2"/>
          <w:sz w:val="32"/>
          <w:szCs w:val="32"/>
          <w:highlight w:val="none"/>
          <w:lang w:val="en-US" w:eastAsia="zh-CN" w:bidi="ar-SA"/>
        </w:rPr>
        <w:t>事前</w:t>
      </w:r>
      <w:r>
        <w:rPr>
          <w:rFonts w:hint="default" w:ascii="Times New Roman" w:hAnsi="Times New Roman" w:eastAsia="仿宋_GB2312" w:cs="Times New Roman"/>
          <w:color w:val="auto"/>
          <w:kern w:val="2"/>
          <w:sz w:val="32"/>
          <w:szCs w:val="22"/>
          <w:highlight w:val="none"/>
          <w:lang w:val="en-US" w:eastAsia="zh-CN" w:bidi="ar-SA"/>
        </w:rPr>
        <w:t>立项事后补助（含贷补联动）和奖励性后补助。事前立项事后补助是指项目按照规定程序立项后，由项目承担单位先行投入</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kern w:val="2"/>
          <w:sz w:val="32"/>
          <w:szCs w:val="32"/>
          <w:highlight w:val="none"/>
          <w:lang w:val="en-US" w:eastAsia="zh-CN" w:bidi="ar-SA"/>
        </w:rPr>
        <w:t>组织</w:t>
      </w:r>
      <w:r>
        <w:rPr>
          <w:rFonts w:hint="default" w:ascii="Times New Roman" w:hAnsi="Times New Roman" w:eastAsia="仿宋_GB2312" w:cs="Times New Roman"/>
          <w:color w:val="auto"/>
          <w:kern w:val="2"/>
          <w:sz w:val="32"/>
          <w:szCs w:val="22"/>
          <w:highlight w:val="none"/>
          <w:lang w:val="en-US" w:eastAsia="zh-CN" w:bidi="ar-SA"/>
        </w:rPr>
        <w:t>实施，项目结束并通过验收（综合绩效评价）后，给予相应补助</w:t>
      </w:r>
      <w:r>
        <w:rPr>
          <w:rFonts w:hint="eastAsia" w:ascii="Times New Roman" w:hAnsi="Times New Roman" w:eastAsia="仿宋_GB2312"/>
          <w:color w:val="auto"/>
          <w:sz w:val="32"/>
          <w:szCs w:val="32"/>
          <w:highlight w:val="none"/>
          <w:lang w:eastAsia="zh-CN"/>
        </w:rPr>
        <w:t>经费</w:t>
      </w:r>
      <w:r>
        <w:rPr>
          <w:rFonts w:hint="eastAsia" w:ascii="Times New Roman" w:hAnsi="Times New Roman" w:cs="Times New Roman"/>
          <w:color w:val="auto"/>
          <w:kern w:val="2"/>
          <w:sz w:val="32"/>
          <w:szCs w:val="22"/>
          <w:highlight w:val="none"/>
          <w:lang w:val="en-US" w:eastAsia="zh-CN" w:bidi="ar-SA"/>
        </w:rPr>
        <w:t>。</w:t>
      </w:r>
      <w:r>
        <w:rPr>
          <w:rFonts w:hint="default" w:ascii="Times New Roman" w:hAnsi="Times New Roman" w:eastAsia="仿宋_GB2312" w:cs="Times New Roman"/>
          <w:color w:val="auto"/>
          <w:kern w:val="2"/>
          <w:sz w:val="32"/>
          <w:szCs w:val="22"/>
          <w:highlight w:val="none"/>
          <w:lang w:val="en-US" w:eastAsia="zh-CN" w:bidi="ar-SA"/>
        </w:rPr>
        <w:t>奖励性后补助，是指</w:t>
      </w:r>
      <w:r>
        <w:rPr>
          <w:rFonts w:hint="eastAsia" w:ascii="Times New Roman" w:hAnsi="Times New Roman" w:eastAsia="仿宋_GB2312" w:cs="Times New Roman"/>
          <w:color w:val="auto"/>
          <w:kern w:val="2"/>
          <w:sz w:val="32"/>
          <w:szCs w:val="22"/>
          <w:highlight w:val="none"/>
          <w:lang w:val="en-US" w:eastAsia="zh-CN" w:bidi="ar-SA"/>
        </w:rPr>
        <w:t>项目承担</w:t>
      </w:r>
      <w:r>
        <w:rPr>
          <w:rFonts w:hint="default" w:ascii="Times New Roman" w:hAnsi="Times New Roman" w:eastAsia="仿宋_GB2312" w:cs="Times New Roman"/>
          <w:color w:val="auto"/>
          <w:kern w:val="2"/>
          <w:sz w:val="32"/>
          <w:szCs w:val="22"/>
          <w:highlight w:val="none"/>
          <w:lang w:val="en-US" w:eastAsia="zh-CN" w:bidi="ar-SA"/>
        </w:rPr>
        <w:t>单位根据市场需求及自身发展需要，先行投入</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kern w:val="2"/>
          <w:sz w:val="32"/>
          <w:szCs w:val="22"/>
          <w:highlight w:val="none"/>
          <w:lang w:val="en-US" w:eastAsia="zh-CN" w:bidi="ar-SA"/>
        </w:rPr>
        <w:t>组织开展科技活动，取得有助于解决我区经济社会发展问题的科技成果，经审查通过后，给予相应的奖励补助。</w:t>
      </w:r>
    </w:p>
    <w:p w14:paraId="19D8AA1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（三）</w:t>
      </w:r>
      <w:r>
        <w:rPr>
          <w:rFonts w:hint="eastAsia" w:ascii="Times New Roman" w:hAnsi="Times New Roman" w:eastAsia="仿宋_GB2312" w:cs="Times New Roman"/>
          <w:color w:val="auto"/>
          <w:kern w:val="2"/>
          <w:sz w:val="32"/>
          <w:szCs w:val="22"/>
          <w:highlight w:val="none"/>
        </w:rPr>
        <w:t>其他支持方式，是指除</w:t>
      </w:r>
      <w:r>
        <w:rPr>
          <w:rFonts w:hint="default" w:ascii="Times New Roman" w:hAnsi="Times New Roman" w:eastAsia="仿宋_GB2312" w:cs="Times New Roman"/>
          <w:color w:val="auto"/>
          <w:kern w:val="2"/>
          <w:sz w:val="32"/>
          <w:szCs w:val="22"/>
          <w:highlight w:val="none"/>
          <w:lang w:val="en" w:eastAsia="zh-CN"/>
        </w:rPr>
        <w:t>前资助</w:t>
      </w:r>
      <w:r>
        <w:rPr>
          <w:rFonts w:hint="eastAsia" w:ascii="Times New Roman" w:hAnsi="Times New Roman" w:eastAsia="仿宋_GB2312" w:cs="Times New Roman"/>
          <w:color w:val="auto"/>
          <w:kern w:val="2"/>
          <w:sz w:val="32"/>
          <w:szCs w:val="22"/>
          <w:highlight w:val="none"/>
        </w:rPr>
        <w:t>和后补助之外，其他管理办法或实施方案中规定的</w:t>
      </w:r>
      <w:r>
        <w:rPr>
          <w:rFonts w:hint="default" w:ascii="Times New Roman" w:hAnsi="Times New Roman" w:eastAsia="仿宋_GB2312" w:cs="Times New Roman"/>
          <w:color w:val="auto"/>
          <w:kern w:val="2"/>
          <w:sz w:val="32"/>
          <w:szCs w:val="22"/>
          <w:highlight w:val="none"/>
        </w:rPr>
        <w:t>支持</w:t>
      </w:r>
      <w:r>
        <w:rPr>
          <w:rFonts w:hint="eastAsia" w:ascii="Times New Roman" w:hAnsi="Times New Roman" w:eastAsia="仿宋_GB2312" w:cs="Times New Roman"/>
          <w:color w:val="auto"/>
          <w:kern w:val="2"/>
          <w:sz w:val="32"/>
          <w:szCs w:val="22"/>
          <w:highlight w:val="none"/>
        </w:rPr>
        <w:t>方式。</w:t>
      </w:r>
    </w:p>
    <w:p w14:paraId="68742E6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kern w:val="2"/>
          <w:sz w:val="32"/>
          <w:szCs w:val="22"/>
          <w:highlight w:val="none"/>
          <w:lang w:val="en-US" w:eastAsia="zh-CN" w:bidi="ar-SA"/>
        </w:rPr>
      </w:pPr>
      <w:r>
        <w:rPr>
          <w:rFonts w:hint="eastAsia" w:ascii="黑体" w:hAnsi="黑体" w:eastAsia="黑体" w:cs="黑体"/>
          <w:b w:val="0"/>
          <w:bCs w:val="0"/>
          <w:color w:val="auto"/>
          <w:kern w:val="2"/>
          <w:sz w:val="32"/>
          <w:szCs w:val="22"/>
          <w:highlight w:val="none"/>
          <w:lang w:val="en-US" w:eastAsia="zh-CN" w:bidi="ar-SA"/>
        </w:rPr>
        <w:t>第十一条</w:t>
      </w:r>
      <w:r>
        <w:rPr>
          <w:rFonts w:hint="eastAsia" w:ascii="Times New Roman" w:hAnsi="Times New Roman" w:eastAsia="仿宋_GB2312" w:cs="Times New Roman"/>
          <w:color w:val="auto"/>
          <w:kern w:val="2"/>
          <w:sz w:val="32"/>
          <w:szCs w:val="22"/>
          <w:highlight w:val="none"/>
          <w:lang w:val="en-US" w:eastAsia="zh-CN" w:bidi="ar-SA"/>
        </w:rPr>
        <w:t xml:space="preserve">  </w:t>
      </w:r>
      <w:r>
        <w:rPr>
          <w:rFonts w:hint="default" w:ascii="Times New Roman" w:hAnsi="Times New Roman" w:eastAsia="仿宋_GB2312" w:cs="Times New Roman"/>
          <w:color w:val="auto"/>
          <w:kern w:val="2"/>
          <w:sz w:val="32"/>
          <w:szCs w:val="22"/>
          <w:highlight w:val="none"/>
          <w:lang w:val="en-US" w:eastAsia="zh-CN" w:bidi="ar-SA"/>
        </w:rPr>
        <w:t>以</w:t>
      </w:r>
      <w:r>
        <w:rPr>
          <w:rFonts w:hint="default" w:ascii="Times New Roman" w:hAnsi="Times New Roman" w:eastAsia="仿宋_GB2312" w:cs="Times New Roman"/>
          <w:color w:val="auto"/>
          <w:kern w:val="2"/>
          <w:sz w:val="32"/>
          <w:szCs w:val="22"/>
          <w:highlight w:val="none"/>
          <w:lang w:val="en" w:eastAsia="zh-CN" w:bidi="ar-SA"/>
        </w:rPr>
        <w:t>前资助</w:t>
      </w:r>
      <w:r>
        <w:rPr>
          <w:rFonts w:hint="default" w:ascii="Times New Roman" w:hAnsi="Times New Roman" w:eastAsia="仿宋_GB2312" w:cs="Times New Roman"/>
          <w:color w:val="auto"/>
          <w:kern w:val="2"/>
          <w:sz w:val="32"/>
          <w:szCs w:val="22"/>
          <w:highlight w:val="none"/>
          <w:lang w:val="en-US" w:eastAsia="zh-CN" w:bidi="ar-SA"/>
        </w:rPr>
        <w:t>、事前立项事后补助等方式</w:t>
      </w:r>
      <w:r>
        <w:rPr>
          <w:rFonts w:hint="eastAsia" w:ascii="Times New Roman" w:hAnsi="Times New Roman" w:eastAsia="仿宋_GB2312" w:cs="Times New Roman"/>
          <w:color w:val="auto"/>
          <w:kern w:val="2"/>
          <w:sz w:val="32"/>
          <w:szCs w:val="22"/>
          <w:highlight w:val="none"/>
          <w:lang w:val="en-US" w:eastAsia="zh-CN" w:bidi="ar-SA"/>
        </w:rPr>
        <w:t>支持</w:t>
      </w:r>
      <w:r>
        <w:rPr>
          <w:rFonts w:hint="default" w:ascii="Times New Roman" w:hAnsi="Times New Roman" w:eastAsia="仿宋_GB2312" w:cs="Times New Roman"/>
          <w:color w:val="auto"/>
          <w:kern w:val="2"/>
          <w:sz w:val="32"/>
          <w:szCs w:val="22"/>
          <w:highlight w:val="none"/>
          <w:lang w:val="en-US" w:eastAsia="zh-CN" w:bidi="ar-SA"/>
        </w:rPr>
        <w:t>的项目，组织流程一般包括申报与受理、评审与立项、实施管理、验收等；以奖励性后补助方式</w:t>
      </w:r>
      <w:r>
        <w:rPr>
          <w:rFonts w:hint="eastAsia" w:ascii="Times New Roman" w:hAnsi="Times New Roman" w:eastAsia="仿宋_GB2312" w:cs="Times New Roman"/>
          <w:color w:val="auto"/>
          <w:kern w:val="2"/>
          <w:sz w:val="32"/>
          <w:szCs w:val="22"/>
          <w:highlight w:val="none"/>
          <w:lang w:val="en-US" w:eastAsia="zh-CN" w:bidi="ar-SA"/>
        </w:rPr>
        <w:t>支持</w:t>
      </w:r>
      <w:r>
        <w:rPr>
          <w:rFonts w:hint="default" w:ascii="Times New Roman" w:hAnsi="Times New Roman" w:eastAsia="仿宋_GB2312" w:cs="Times New Roman"/>
          <w:color w:val="auto"/>
          <w:kern w:val="2"/>
          <w:sz w:val="32"/>
          <w:szCs w:val="22"/>
          <w:highlight w:val="none"/>
          <w:lang w:val="en-US" w:eastAsia="zh-CN" w:bidi="ar-SA"/>
        </w:rPr>
        <w:t>的项目，组织流程包括申报与受理、评审与奖励等</w:t>
      </w:r>
      <w:r>
        <w:rPr>
          <w:rFonts w:hint="eastAsia" w:ascii="Times New Roman" w:hAnsi="Times New Roman" w:eastAsia="仿宋_GB2312" w:cs="Times New Roman"/>
          <w:color w:val="auto"/>
          <w:kern w:val="2"/>
          <w:sz w:val="32"/>
          <w:szCs w:val="22"/>
          <w:highlight w:val="none"/>
          <w:lang w:val="en-US" w:eastAsia="zh-CN" w:bidi="ar-SA"/>
        </w:rPr>
        <w:t>；以其他方式</w:t>
      </w:r>
      <w:r>
        <w:rPr>
          <w:rFonts w:hint="default" w:ascii="Times New Roman" w:hAnsi="Times New Roman" w:eastAsia="仿宋_GB2312" w:cs="Times New Roman"/>
          <w:color w:val="auto"/>
          <w:kern w:val="2"/>
          <w:sz w:val="32"/>
          <w:szCs w:val="22"/>
          <w:highlight w:val="none"/>
          <w:lang w:val="en-US" w:eastAsia="zh-CN" w:bidi="ar-SA"/>
        </w:rPr>
        <w:t>支持</w:t>
      </w:r>
      <w:r>
        <w:rPr>
          <w:rFonts w:hint="eastAsia" w:ascii="Times New Roman" w:hAnsi="Times New Roman" w:eastAsia="仿宋_GB2312" w:cs="Times New Roman"/>
          <w:color w:val="auto"/>
          <w:kern w:val="2"/>
          <w:sz w:val="32"/>
          <w:szCs w:val="22"/>
          <w:highlight w:val="none"/>
          <w:lang w:val="en-US" w:eastAsia="zh-CN" w:bidi="ar-SA"/>
        </w:rPr>
        <w:t>的项目，按相应管理办法或实施方案规定流程办理</w:t>
      </w:r>
      <w:r>
        <w:rPr>
          <w:rFonts w:hint="default" w:ascii="Times New Roman" w:hAnsi="Times New Roman" w:eastAsia="仿宋_GB2312" w:cs="Times New Roman"/>
          <w:color w:val="auto"/>
          <w:kern w:val="2"/>
          <w:sz w:val="32"/>
          <w:szCs w:val="22"/>
          <w:highlight w:val="none"/>
          <w:lang w:val="en-US" w:eastAsia="zh-CN" w:bidi="ar-SA"/>
        </w:rPr>
        <w:t>。</w:t>
      </w:r>
    </w:p>
    <w:p w14:paraId="5E04AA5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项目经费</w:t>
      </w:r>
      <w:r>
        <w:rPr>
          <w:rFonts w:hint="eastAsia" w:ascii="Times New Roman" w:hAnsi="Times New Roman" w:eastAsia="仿宋_GB2312" w:cs="Times New Roman"/>
          <w:color w:val="auto"/>
          <w:sz w:val="32"/>
          <w:szCs w:val="32"/>
          <w:highlight w:val="none"/>
          <w:lang w:val="en-US" w:eastAsia="zh-CN"/>
        </w:rPr>
        <w:t>开支范围包括</w:t>
      </w:r>
      <w:r>
        <w:rPr>
          <w:rFonts w:hint="default" w:ascii="Times New Roman" w:hAnsi="Times New Roman" w:eastAsia="仿宋_GB2312" w:cs="Times New Roman"/>
          <w:color w:val="auto"/>
          <w:sz w:val="32"/>
          <w:szCs w:val="32"/>
          <w:highlight w:val="none"/>
        </w:rPr>
        <w:t>直接费用和间接费用</w:t>
      </w:r>
      <w:r>
        <w:rPr>
          <w:rFonts w:hint="eastAsia" w:ascii="Times New Roman" w:hAnsi="Times New Roman" w:eastAsia="仿宋_GB2312" w:cs="Times New Roman"/>
          <w:color w:val="auto"/>
          <w:sz w:val="32"/>
          <w:szCs w:val="32"/>
          <w:highlight w:val="none"/>
          <w:lang w:val="en-US" w:eastAsia="zh-CN"/>
        </w:rPr>
        <w:t>两部分</w:t>
      </w:r>
      <w:r>
        <w:rPr>
          <w:rFonts w:hint="default" w:ascii="Times New Roman" w:hAnsi="Times New Roman" w:eastAsia="仿宋_GB2312" w:cs="Times New Roman"/>
          <w:color w:val="auto"/>
          <w:sz w:val="32"/>
          <w:szCs w:val="32"/>
          <w:highlight w:val="none"/>
        </w:rPr>
        <w:t>。</w:t>
      </w:r>
    </w:p>
    <w:p w14:paraId="0AA39E7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（一）直接费用是指在项目实施过程中发生的与之直接相关的费用。</w:t>
      </w:r>
      <w:r>
        <w:rPr>
          <w:rFonts w:hint="default" w:ascii="Times New Roman" w:hAnsi="Times New Roman" w:eastAsia="仿宋_GB2312" w:cs="Times New Roman"/>
          <w:color w:val="auto"/>
          <w:sz w:val="32"/>
          <w:szCs w:val="32"/>
          <w:highlight w:val="none"/>
          <w:lang w:val="en-US" w:eastAsia="zh-CN"/>
        </w:rPr>
        <w:t>主要</w:t>
      </w:r>
      <w:r>
        <w:rPr>
          <w:rFonts w:hint="default" w:ascii="Times New Roman" w:hAnsi="Times New Roman" w:eastAsia="仿宋_GB2312" w:cs="Times New Roman"/>
          <w:color w:val="auto"/>
          <w:sz w:val="32"/>
          <w:szCs w:val="32"/>
          <w:highlight w:val="none"/>
        </w:rPr>
        <w:t>包括：</w:t>
      </w:r>
    </w:p>
    <w:p w14:paraId="43CF3E1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rPr>
        <w:t>设备费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指在项目实施过程中购置或试制专用仪器设备，对现有仪器设备进行升级改造，以及租赁外单位仪器设备而发生的费用。计算类仪器设备和软件工具可在设备费科目列支。严格控制设备购置尤其是大型科学仪器设备购置，鼓励开放共享、自主研制、租赁专用仪器设备</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对现有仪器设备进行升级改造，避免重复购置。</w:t>
      </w:r>
    </w:p>
    <w:p w14:paraId="6D376E4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业务费。是指在项目实施过程中消耗的各种材料、辅助材料等低值易耗品的采购、运输、装卸、整理等费用，发生的测试化验加工、燃料动力、出版/文献/信息传播/知识产权事务、会议/差旅/国际合作交流等费用以及其他相关支出。对国内差旅费中的伙食补助费、市内交通费和难以取得发票的住宿费探索实</w:t>
      </w:r>
      <w:r>
        <w:rPr>
          <w:rFonts w:hint="eastAsia" w:ascii="Times New Roman" w:hAnsi="Times New Roman" w:cs="Times New Roman"/>
          <w:color w:val="auto"/>
          <w:sz w:val="32"/>
          <w:szCs w:val="32"/>
          <w:highlight w:val="none"/>
          <w:lang w:eastAsia="zh-CN"/>
        </w:rPr>
        <w:t>施</w:t>
      </w:r>
      <w:r>
        <w:rPr>
          <w:rFonts w:hint="default" w:ascii="Times New Roman" w:hAnsi="Times New Roman" w:eastAsia="仿宋_GB2312" w:cs="Times New Roman"/>
          <w:color w:val="auto"/>
          <w:sz w:val="32"/>
          <w:szCs w:val="32"/>
          <w:highlight w:val="none"/>
        </w:rPr>
        <w:t>包干制的项目承担单位，应制定相应的财务管理规定并承担主体责任。</w:t>
      </w:r>
    </w:p>
    <w:p w14:paraId="03BD816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rPr>
        <w:t>劳务费。是指在项目实施过程中支付给参与项目的研究生、博士后、访问学者和项目聘用的研究人员、科研辅助人员等劳务性费用，以及支付给临时聘请的咨询专家的费用等。</w:t>
      </w:r>
    </w:p>
    <w:p w14:paraId="5BDEE3C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项目聘用人员劳务费</w:t>
      </w:r>
      <w:r>
        <w:rPr>
          <w:rFonts w:hint="default" w:ascii="Times New Roman" w:hAnsi="Times New Roman" w:eastAsia="仿宋_GB2312" w:cs="Times New Roman"/>
          <w:color w:val="auto"/>
          <w:sz w:val="32"/>
          <w:szCs w:val="32"/>
          <w:highlight w:val="none"/>
          <w:lang w:val="en-US" w:eastAsia="zh-CN"/>
        </w:rPr>
        <w:t>开支标准，</w:t>
      </w:r>
      <w:r>
        <w:rPr>
          <w:rFonts w:hint="default" w:ascii="Times New Roman" w:hAnsi="Times New Roman" w:eastAsia="仿宋_GB2312" w:cs="Times New Roman"/>
          <w:color w:val="auto"/>
          <w:sz w:val="32"/>
          <w:szCs w:val="32"/>
          <w:highlight w:val="none"/>
        </w:rPr>
        <w:t>应参照当地科学研究和技术服务业从业人员近三年平均工资水平，根据</w:t>
      </w:r>
      <w:r>
        <w:rPr>
          <w:rFonts w:hint="default" w:ascii="Times New Roman" w:hAnsi="Times New Roman" w:eastAsia="仿宋_GB2312" w:cs="Times New Roman"/>
          <w:color w:val="auto"/>
          <w:sz w:val="32"/>
          <w:szCs w:val="32"/>
          <w:highlight w:val="none"/>
          <w:lang w:val="en-US" w:eastAsia="zh-CN"/>
        </w:rPr>
        <w:t>其</w:t>
      </w:r>
      <w:r>
        <w:rPr>
          <w:rFonts w:hint="default" w:ascii="Times New Roman" w:hAnsi="Times New Roman" w:eastAsia="仿宋_GB2312" w:cs="Times New Roman"/>
          <w:color w:val="auto"/>
          <w:sz w:val="32"/>
          <w:szCs w:val="32"/>
          <w:highlight w:val="none"/>
        </w:rPr>
        <w:t>在项目研究中承担的工作任务确定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其由单位缴纳的社会保险补助、住房公积金等</w:t>
      </w:r>
      <w:r>
        <w:rPr>
          <w:rFonts w:hint="default" w:ascii="Times New Roman" w:hAnsi="Times New Roman" w:eastAsia="仿宋_GB2312" w:cs="Times New Roman"/>
          <w:color w:val="auto"/>
          <w:sz w:val="32"/>
          <w:szCs w:val="32"/>
          <w:highlight w:val="none"/>
          <w:lang w:val="en-US" w:eastAsia="zh-CN"/>
        </w:rPr>
        <w:t>可</w:t>
      </w:r>
      <w:r>
        <w:rPr>
          <w:rFonts w:hint="default" w:ascii="Times New Roman" w:hAnsi="Times New Roman" w:eastAsia="仿宋_GB2312" w:cs="Times New Roman"/>
          <w:color w:val="auto"/>
          <w:sz w:val="32"/>
          <w:szCs w:val="32"/>
          <w:highlight w:val="none"/>
        </w:rPr>
        <w:t>纳入劳务费科目</w:t>
      </w:r>
      <w:r>
        <w:rPr>
          <w:rFonts w:hint="eastAsia" w:ascii="Times New Roman" w:hAnsi="Times New Roman" w:cs="Times New Roman"/>
          <w:color w:val="auto"/>
          <w:sz w:val="32"/>
          <w:szCs w:val="32"/>
          <w:highlight w:val="none"/>
          <w:lang w:eastAsia="zh-CN"/>
        </w:rPr>
        <w:t>开</w:t>
      </w:r>
      <w:r>
        <w:rPr>
          <w:rFonts w:hint="default" w:ascii="Times New Roman" w:hAnsi="Times New Roman" w:eastAsia="仿宋_GB2312" w:cs="Times New Roman"/>
          <w:color w:val="auto"/>
          <w:sz w:val="32"/>
          <w:szCs w:val="32"/>
          <w:highlight w:val="none"/>
        </w:rPr>
        <w:t>支。专家咨询费不得支付给项目组成员及与本项目管理相关的工作人员。</w:t>
      </w:r>
    </w:p>
    <w:p w14:paraId="0C601BD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（二）</w:t>
      </w:r>
      <w:r>
        <w:rPr>
          <w:rFonts w:hint="default" w:ascii="Times New Roman" w:hAnsi="Times New Roman" w:eastAsia="仿宋_GB2312" w:cs="Times New Roman"/>
          <w:b w:val="0"/>
          <w:bCs w:val="0"/>
          <w:color w:val="auto"/>
          <w:sz w:val="32"/>
          <w:szCs w:val="32"/>
          <w:highlight w:val="none"/>
        </w:rPr>
        <w:t>间接费用是指</w:t>
      </w:r>
      <w:r>
        <w:rPr>
          <w:rFonts w:hint="eastAsia"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rPr>
        <w:t>承担单位在组织实施项目过程中发生</w:t>
      </w:r>
      <w:r>
        <w:rPr>
          <w:rFonts w:hint="default" w:ascii="Times New Roman" w:hAnsi="Times New Roman" w:eastAsia="仿宋_GB2312" w:cs="Times New Roman"/>
          <w:color w:val="auto"/>
          <w:sz w:val="32"/>
          <w:szCs w:val="32"/>
          <w:highlight w:val="none"/>
        </w:rPr>
        <w:t>的，无法在直接费用中列支的相关费用。主要包括：</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承担单位为项目研究提供的房屋占用，日常水、电、气、暖消耗，有关管理费用的补助支出，</w:t>
      </w:r>
      <w:r>
        <w:rPr>
          <w:rFonts w:hint="eastAsia" w:ascii="Times New Roman" w:hAnsi="Times New Roman" w:eastAsia="仿宋_GB2312" w:cs="Times New Roman"/>
          <w:color w:val="auto"/>
          <w:sz w:val="32"/>
          <w:szCs w:val="32"/>
          <w:highlight w:val="none"/>
          <w:lang w:eastAsia="zh-CN"/>
        </w:rPr>
        <w:t>重大产业类项目科</w:t>
      </w:r>
      <w:r>
        <w:rPr>
          <w:rFonts w:hint="default" w:ascii="Times New Roman" w:hAnsi="Times New Roman" w:eastAsia="仿宋_GB2312" w:cs="Times New Roman"/>
          <w:color w:val="auto"/>
          <w:sz w:val="32"/>
          <w:szCs w:val="32"/>
          <w:highlight w:val="none"/>
        </w:rPr>
        <w:t>技保险费</w:t>
      </w:r>
      <w:r>
        <w:rPr>
          <w:rFonts w:hint="eastAsia" w:ascii="Times New Roman" w:hAnsi="Times New Roman" w:eastAsia="仿宋_GB2312" w:cs="Times New Roman"/>
          <w:color w:val="auto"/>
          <w:sz w:val="32"/>
          <w:szCs w:val="32"/>
          <w:highlight w:val="none"/>
          <w:lang w:eastAsia="zh-CN"/>
        </w:rPr>
        <w:t>（不超过项目财政科技经费的</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，以及激励科研人员的绩效支出等。</w:t>
      </w:r>
    </w:p>
    <w:p w14:paraId="091ADA9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间接费用实行总额控制，按照</w:t>
      </w:r>
      <w:r>
        <w:rPr>
          <w:rFonts w:hint="default" w:ascii="Times New Roman" w:hAnsi="Times New Roman" w:eastAsia="仿宋_GB2312" w:cs="Times New Roman"/>
          <w:color w:val="auto"/>
          <w:sz w:val="32"/>
          <w:szCs w:val="32"/>
          <w:highlight w:val="none"/>
          <w:lang w:val="en-US" w:eastAsia="zh-CN"/>
        </w:rPr>
        <w:t>直接</w:t>
      </w:r>
      <w:r>
        <w:rPr>
          <w:rFonts w:hint="default" w:ascii="Times New Roman" w:hAnsi="Times New Roman" w:eastAsia="仿宋_GB2312" w:cs="Times New Roman"/>
          <w:color w:val="auto"/>
          <w:sz w:val="32"/>
          <w:szCs w:val="32"/>
          <w:highlight w:val="none"/>
        </w:rPr>
        <w:t>费用扣除设备费后的一定比例核定。具体比例为：</w:t>
      </w:r>
      <w:r>
        <w:rPr>
          <w:rFonts w:hint="eastAsia" w:ascii="Times New Roman" w:hAnsi="Times New Roman" w:eastAsia="仿宋_GB2312" w:cs="Times New Roman"/>
          <w:color w:val="auto"/>
          <w:sz w:val="32"/>
          <w:szCs w:val="32"/>
          <w:highlight w:val="none"/>
          <w:lang w:eastAsia="zh-CN"/>
        </w:rPr>
        <w:t>项目经费总额</w:t>
      </w:r>
      <w:r>
        <w:rPr>
          <w:rFonts w:hint="default" w:ascii="Times New Roman" w:hAnsi="Times New Roman" w:eastAsia="仿宋_GB2312" w:cs="Times New Roman"/>
          <w:color w:val="auto"/>
          <w:sz w:val="32"/>
          <w:szCs w:val="32"/>
          <w:highlight w:val="none"/>
        </w:rPr>
        <w:t>500万元以下部分，不超过</w:t>
      </w: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%；500万元至1000万元的部分，不超过</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%；1000万元以上的部分，不超过</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对数学、软件开发等纯理论基础研究项目，间接费用比例最高不超过</w:t>
      </w:r>
      <w:r>
        <w:rPr>
          <w:rFonts w:hint="eastAsia" w:ascii="Times New Roman" w:hAnsi="Times New Roman" w:eastAsia="仿宋_GB2312" w:cs="Times New Roman"/>
          <w:color w:val="auto"/>
          <w:sz w:val="32"/>
          <w:szCs w:val="32"/>
          <w:highlight w:val="none"/>
          <w:lang w:val="en-US" w:eastAsia="zh-CN"/>
        </w:rPr>
        <w:t>60%。</w:t>
      </w:r>
    </w:p>
    <w:p w14:paraId="06EE223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承担单位可将间接费用全部用于绩效支出，并向创新绩效突出的团队和个人倾斜。间接费用中绩效支出纳入项目承担单位绩效工资总量管理，不计入项目承担单位年度绩效工资基数。项目承担单位不得在核定的间接费用以外再以任何名义在项目经费中重复提取、列支相关费用。</w:t>
      </w:r>
    </w:p>
    <w:p w14:paraId="2D9F9BD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承担单位应当建立健全间接费用的内部管理办法，公开透明、合规合理使用间接费用，处理好分摊间接成本和对科研人员激励的关系，绩效支出安排与项目组</w:t>
      </w:r>
      <w:r>
        <w:rPr>
          <w:rFonts w:hint="eastAsia" w:ascii="Times New Roman" w:hAnsi="Times New Roman" w:eastAsia="仿宋_GB2312" w:cs="Times New Roman"/>
          <w:color w:val="auto"/>
          <w:sz w:val="32"/>
          <w:szCs w:val="32"/>
          <w:highlight w:val="none"/>
          <w:lang w:val="en-US" w:eastAsia="zh-CN"/>
        </w:rPr>
        <w:t>成</w:t>
      </w:r>
      <w:r>
        <w:rPr>
          <w:rFonts w:hint="default" w:ascii="Times New Roman" w:hAnsi="Times New Roman" w:eastAsia="仿宋_GB2312" w:cs="Times New Roman"/>
          <w:color w:val="auto"/>
          <w:sz w:val="32"/>
          <w:szCs w:val="32"/>
          <w:highlight w:val="none"/>
        </w:rPr>
        <w:t>员在项目工作中的实际贡献挂钩。</w:t>
      </w:r>
    </w:p>
    <w:p w14:paraId="07BF3C5C">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rPr>
      </w:pPr>
    </w:p>
    <w:p w14:paraId="5A00D519">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第四章</w:t>
      </w:r>
      <w:r>
        <w:rPr>
          <w:rFonts w:hint="default" w:ascii="Times New Roman" w:hAnsi="Times New Roman" w:eastAsia="黑体" w:cs="Times New Roman"/>
          <w:color w:val="auto"/>
          <w:sz w:val="32"/>
          <w:szCs w:val="32"/>
          <w:highlight w:val="none"/>
          <w:lang w:val="en-US" w:eastAsia="zh-CN"/>
        </w:rPr>
        <w:t xml:space="preserve">  经费</w:t>
      </w:r>
      <w:r>
        <w:rPr>
          <w:rFonts w:hint="default" w:ascii="Times New Roman" w:hAnsi="Times New Roman" w:eastAsia="黑体" w:cs="Times New Roman"/>
          <w:color w:val="auto"/>
          <w:sz w:val="32"/>
          <w:szCs w:val="32"/>
          <w:highlight w:val="none"/>
        </w:rPr>
        <w:t>预算管理</w:t>
      </w:r>
    </w:p>
    <w:p w14:paraId="0D5AF5EF">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auto"/>
          <w:highlight w:val="none"/>
        </w:rPr>
      </w:pPr>
    </w:p>
    <w:p w14:paraId="46AA596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lang w:val="en" w:eastAsia="zh-CN"/>
        </w:rPr>
        <w:t>二</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项目承担单位应当按照政策相符性、目标相关性和经济合理性原则，</w:t>
      </w:r>
      <w:r>
        <w:rPr>
          <w:rFonts w:hint="eastAsia" w:ascii="Times New Roman" w:hAnsi="Times New Roman" w:eastAsia="仿宋_GB2312" w:cs="Times New Roman"/>
          <w:color w:val="auto"/>
          <w:sz w:val="32"/>
          <w:szCs w:val="32"/>
          <w:highlight w:val="none"/>
          <w:lang w:eastAsia="zh-CN"/>
        </w:rPr>
        <w:t>组织项目负责人</w:t>
      </w:r>
      <w:r>
        <w:rPr>
          <w:rFonts w:hint="default" w:ascii="Times New Roman" w:hAnsi="Times New Roman" w:eastAsia="仿宋_GB2312" w:cs="Times New Roman"/>
          <w:color w:val="auto"/>
          <w:sz w:val="32"/>
          <w:szCs w:val="32"/>
          <w:highlight w:val="none"/>
        </w:rPr>
        <w:t>科学、合理、</w:t>
      </w:r>
      <w:r>
        <w:rPr>
          <w:rFonts w:hint="eastAsia" w:ascii="Times New Roman" w:hAnsi="Times New Roman" w:eastAsia="仿宋_GB2312" w:cs="Times New Roman"/>
          <w:color w:val="auto"/>
          <w:sz w:val="32"/>
          <w:szCs w:val="32"/>
          <w:highlight w:val="none"/>
          <w:lang w:eastAsia="zh-CN"/>
        </w:rPr>
        <w:t>准确、</w:t>
      </w:r>
      <w:r>
        <w:rPr>
          <w:rFonts w:hint="default" w:ascii="Times New Roman" w:hAnsi="Times New Roman" w:eastAsia="仿宋_GB2312" w:cs="Times New Roman"/>
          <w:color w:val="auto"/>
          <w:sz w:val="32"/>
          <w:szCs w:val="32"/>
          <w:highlight w:val="none"/>
        </w:rPr>
        <w:t>真实地编制</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预算</w:t>
      </w:r>
      <w:r>
        <w:rPr>
          <w:rFonts w:hint="eastAsia" w:ascii="Times New Roman" w:hAnsi="Times New Roman" w:eastAsia="仿宋_GB2312" w:cs="Times New Roman"/>
          <w:color w:val="auto"/>
          <w:sz w:val="32"/>
          <w:szCs w:val="32"/>
          <w:highlight w:val="none"/>
          <w:lang w:eastAsia="zh-CN"/>
        </w:rPr>
        <w:t>及年度支出计划，提高项目经费的准确</w:t>
      </w:r>
      <w:r>
        <w:rPr>
          <w:rFonts w:hint="eastAsia" w:ascii="Times New Roman" w:hAnsi="Times New Roman"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。有多个单位联合申报一个项目的，应当同时编列各单位承担的主要任务、经费预算等。实行经费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包干制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的项目无需编制项目预算。</w:t>
      </w:r>
    </w:p>
    <w:p w14:paraId="3254668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val="en" w:eastAsia="zh-CN"/>
        </w:rPr>
        <w:t>三</w:t>
      </w:r>
      <w:r>
        <w:rPr>
          <w:rFonts w:hint="eastAsia" w:ascii="黑体" w:hAnsi="黑体" w:eastAsia="黑体" w:cs="黑体"/>
          <w:b w:val="0"/>
          <w:bCs w:val="0"/>
          <w:color w:val="auto"/>
          <w:sz w:val="32"/>
          <w:szCs w:val="32"/>
          <w:highlight w:val="none"/>
        </w:rPr>
        <w:t>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val="en-US" w:eastAsia="zh-CN"/>
        </w:rPr>
        <w:t>经费预算由收入预算和</w:t>
      </w:r>
      <w:r>
        <w:rPr>
          <w:rFonts w:hint="eastAsia" w:ascii="Times New Roman" w:hAnsi="Times New Roman" w:eastAsia="仿宋_GB2312" w:cs="Times New Roman"/>
          <w:color w:val="auto"/>
          <w:sz w:val="32"/>
          <w:szCs w:val="32"/>
          <w:highlight w:val="none"/>
          <w:lang w:val="en-US" w:eastAsia="zh-CN"/>
        </w:rPr>
        <w:t>支出</w:t>
      </w:r>
      <w:r>
        <w:rPr>
          <w:rFonts w:hint="default" w:ascii="Times New Roman" w:hAnsi="Times New Roman" w:eastAsia="仿宋_GB2312" w:cs="Times New Roman"/>
          <w:color w:val="auto"/>
          <w:sz w:val="32"/>
          <w:szCs w:val="32"/>
          <w:highlight w:val="none"/>
          <w:lang w:val="en-US" w:eastAsia="zh-CN"/>
        </w:rPr>
        <w:t>预算构成。</w:t>
      </w:r>
      <w:r>
        <w:rPr>
          <w:rFonts w:hint="default" w:ascii="Times New Roman" w:hAnsi="Times New Roman" w:eastAsia="仿宋_GB2312" w:cs="Times New Roman"/>
          <w:color w:val="auto"/>
          <w:sz w:val="32"/>
          <w:szCs w:val="32"/>
          <w:highlight w:val="none"/>
        </w:rPr>
        <w:t>收入预算包括自治区本级财政经费、市县财政经费、单位自筹经费</w:t>
      </w:r>
      <w:r>
        <w:rPr>
          <w:rFonts w:hint="default" w:ascii="Times New Roman" w:hAnsi="Times New Roman" w:eastAsia="仿宋_GB2312" w:cs="Times New Roman"/>
          <w:color w:val="auto"/>
          <w:sz w:val="32"/>
          <w:szCs w:val="32"/>
          <w:highlight w:val="none"/>
          <w:lang w:val="en-US" w:eastAsia="zh-CN"/>
        </w:rPr>
        <w:t>和其他资金来源等</w:t>
      </w:r>
      <w:r>
        <w:rPr>
          <w:rFonts w:hint="default" w:ascii="Times New Roman" w:hAnsi="Times New Roman" w:eastAsia="仿宋_GB2312" w:cs="Times New Roman"/>
          <w:color w:val="auto"/>
          <w:sz w:val="32"/>
          <w:szCs w:val="32"/>
          <w:highlight w:val="none"/>
        </w:rPr>
        <w:t>从</w:t>
      </w:r>
      <w:r>
        <w:rPr>
          <w:rFonts w:hint="default" w:ascii="Times New Roman" w:hAnsi="Times New Roman" w:eastAsia="仿宋_GB2312" w:cs="Times New Roman"/>
          <w:color w:val="auto"/>
          <w:sz w:val="32"/>
          <w:szCs w:val="32"/>
          <w:highlight w:val="none"/>
          <w:lang w:val="en-US" w:eastAsia="zh-CN"/>
        </w:rPr>
        <w:t>各种</w:t>
      </w:r>
      <w:r>
        <w:rPr>
          <w:rFonts w:hint="default" w:ascii="Times New Roman" w:hAnsi="Times New Roman" w:eastAsia="仿宋_GB2312" w:cs="Times New Roman"/>
          <w:color w:val="auto"/>
          <w:sz w:val="32"/>
          <w:szCs w:val="32"/>
          <w:highlight w:val="none"/>
        </w:rPr>
        <w:t>渠道获得的经费。支出预算按照经费开支范围确定的支出科目和不同经费来源分别编列，并对各项支出的主要用途和测算理由等进行说明。直接费用中除50万元以上设备费外，其他费用只提供基本测算说明，不需要提供明细。</w:t>
      </w:r>
    </w:p>
    <w:p w14:paraId="1D399B2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val="en" w:eastAsia="zh-CN"/>
        </w:rPr>
        <w:t>四</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US" w:eastAsia="zh-CN"/>
        </w:rPr>
        <w:t xml:space="preserve"> 对单台（套）价格在50万以上（含）的仪器设备，按照广西大型科研仪器开放共享管理有关规定，通过新购大型科研仪器购置评议后才能购买。</w:t>
      </w:r>
    </w:p>
    <w:p w14:paraId="516BE61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val="en" w:eastAsia="zh-CN"/>
        </w:rPr>
        <w:t>五</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管理机构按相关规定组织专家在开展项目评审时，同步进行经费预算评审。预算评审应当按照规范的程序和要求，坚持独立、客观、公正、科学的原则，对项目申报预算的政策相符性、目标相关性和经济合理性进行评审，对与申报项目不符合政策规定、目标不相关以及经济不合理的预算应予以核减。</w:t>
      </w:r>
    </w:p>
    <w:p w14:paraId="594F40B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val="en" w:eastAsia="zh-CN"/>
        </w:rPr>
        <w:t>六</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自治区科技厅在评审意见的基础上审核项目经费预算，编制项目预算建议，会商自治区财政厅，按规定报请自治区人民政府同意后，纳入自治区本级部门预算管理</w:t>
      </w:r>
      <w:r>
        <w:rPr>
          <w:rFonts w:hint="eastAsia" w:ascii="Times New Roman" w:hAnsi="Times New Roman" w:eastAsia="仿宋_GB2312" w:cs="Times New Roman"/>
          <w:color w:val="auto"/>
          <w:sz w:val="32"/>
          <w:szCs w:val="32"/>
          <w:highlight w:val="none"/>
          <w:lang w:eastAsia="zh-CN"/>
        </w:rPr>
        <w:t>。</w:t>
      </w:r>
    </w:p>
    <w:p w14:paraId="595A9D0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 w:eastAsia="zh-CN"/>
        </w:rPr>
        <w:t>十七</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US" w:eastAsia="zh-CN"/>
        </w:rPr>
        <w:t>自治区科技厅在项目任务书签订后30个工作日内将项目经费拨付至项目牵头单位。对批准立项并分年度实施的项目，根据项目执行情况，将分年度项目经费列入年度预算下达。由多个单位承担的项目，牵头单位要依据项目任务书及时将项目经费拨付至参与单位。项目参与单位不得再向外转拨项目经费。</w:t>
      </w:r>
    </w:p>
    <w:p w14:paraId="38C9F28A">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rPr>
      </w:pPr>
    </w:p>
    <w:p w14:paraId="0B80B2AD">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章</w:t>
      </w:r>
      <w:r>
        <w:rPr>
          <w:rFonts w:hint="default" w:ascii="Times New Roman" w:hAnsi="Times New Roman" w:eastAsia="黑体" w:cs="Times New Roman"/>
          <w:color w:val="auto"/>
          <w:sz w:val="32"/>
          <w:szCs w:val="32"/>
          <w:highlight w:val="none"/>
          <w:lang w:val="en-US" w:eastAsia="zh-CN"/>
        </w:rPr>
        <w:t xml:space="preserve">  经费使用</w:t>
      </w:r>
      <w:r>
        <w:rPr>
          <w:rFonts w:hint="default" w:ascii="Times New Roman" w:hAnsi="Times New Roman" w:eastAsia="黑体" w:cs="Times New Roman"/>
          <w:color w:val="auto"/>
          <w:sz w:val="32"/>
          <w:szCs w:val="32"/>
          <w:highlight w:val="none"/>
        </w:rPr>
        <w:t>管理</w:t>
      </w:r>
    </w:p>
    <w:p w14:paraId="7D70B13D">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highlight w:val="none"/>
        </w:rPr>
      </w:pPr>
    </w:p>
    <w:p w14:paraId="18D39FD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 w:eastAsia="zh-CN"/>
        </w:rPr>
        <w:t>十八</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科技厅与</w:t>
      </w:r>
      <w:r>
        <w:rPr>
          <w:rFonts w:hint="eastAsia" w:ascii="Times New Roman" w:hAnsi="Times New Roman" w:eastAsia="仿宋_GB2312" w:cs="Times New Roman"/>
          <w:color w:val="auto"/>
          <w:sz w:val="32"/>
          <w:szCs w:val="32"/>
          <w:highlight w:val="none"/>
          <w:lang w:val="en-US" w:eastAsia="zh-CN"/>
        </w:rPr>
        <w:t>项目推荐单位</w:t>
      </w:r>
      <w:r>
        <w:rPr>
          <w:rFonts w:hint="eastAsia" w:eastAsia="仿宋_GB2312" w:cs="Times New Roman"/>
          <w:color w:val="auto"/>
          <w:sz w:val="32"/>
          <w:highlight w:val="none"/>
          <w:lang w:eastAsia="zh-CN"/>
        </w:rPr>
        <w:t>（设区市</w:t>
      </w:r>
      <w:r>
        <w:rPr>
          <w:rFonts w:hint="default" w:ascii="Times New Roman" w:hAnsi="Times New Roman" w:eastAsia="仿宋_GB2312" w:cs="Times New Roman"/>
          <w:color w:val="auto"/>
          <w:sz w:val="32"/>
          <w:highlight w:val="none"/>
          <w:lang w:eastAsia="zh-CN"/>
        </w:rPr>
        <w:t>科技行政管理部门</w:t>
      </w:r>
      <w:r>
        <w:rPr>
          <w:rFonts w:hint="eastAsia" w:eastAsia="仿宋_GB2312" w:cs="Times New Roman"/>
          <w:color w:val="auto"/>
          <w:sz w:val="32"/>
          <w:highlight w:val="none"/>
          <w:lang w:eastAsia="zh-CN"/>
        </w:rPr>
        <w:t>、自治区级及以上高新区管委会）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项目管理机构、项目承担单位</w:t>
      </w:r>
      <w:r>
        <w:rPr>
          <w:rFonts w:hint="eastAsia" w:eastAsia="仿宋_GB2312"/>
          <w:color w:val="auto"/>
          <w:sz w:val="32"/>
          <w:highlight w:val="none"/>
          <w:lang w:eastAsia="zh-CN"/>
        </w:rPr>
        <w:t>以及项目负责人</w:t>
      </w:r>
      <w:r>
        <w:rPr>
          <w:rFonts w:hint="default" w:ascii="Times New Roman" w:hAnsi="Times New Roman" w:eastAsia="仿宋_GB2312" w:cs="Times New Roman"/>
          <w:color w:val="auto"/>
          <w:sz w:val="32"/>
          <w:szCs w:val="32"/>
          <w:highlight w:val="none"/>
        </w:rPr>
        <w:t>签订项目任务书（含预算），项目任务书中经费预算作为项目预算执行、绩效考评和监督检查的主要依据。</w:t>
      </w:r>
    </w:p>
    <w:p w14:paraId="2E1492D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十九</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项目承担单位应</w:t>
      </w:r>
      <w:r>
        <w:rPr>
          <w:rFonts w:hint="default" w:ascii="Times New Roman" w:hAnsi="Times New Roman" w:eastAsia="仿宋_GB2312" w:cs="Times New Roman"/>
          <w:color w:val="auto"/>
          <w:sz w:val="32"/>
          <w:szCs w:val="32"/>
          <w:highlight w:val="none"/>
          <w:lang w:val="en"/>
        </w:rPr>
        <w:t>合理</w:t>
      </w:r>
      <w:r>
        <w:rPr>
          <w:rFonts w:hint="default" w:ascii="Times New Roman" w:hAnsi="Times New Roman" w:eastAsia="仿宋_GB2312" w:cs="Times New Roman"/>
          <w:color w:val="auto"/>
          <w:sz w:val="32"/>
          <w:szCs w:val="32"/>
          <w:highlight w:val="none"/>
        </w:rPr>
        <w:t>行使项目经费管理使用自主权，加强项目经费绩效管理，将项目经费纳入单位财务统一管理，对项目经费实行专</w:t>
      </w:r>
      <w:r>
        <w:rPr>
          <w:rFonts w:hint="eastAsia" w:ascii="Times New Roman" w:hAnsi="Times New Roman" w:eastAsia="仿宋_GB2312" w:cs="Times New Roman"/>
          <w:color w:val="auto"/>
          <w:sz w:val="32"/>
          <w:szCs w:val="32"/>
          <w:highlight w:val="none"/>
          <w:lang w:eastAsia="zh-CN"/>
        </w:rPr>
        <w:t>账</w:t>
      </w:r>
      <w:r>
        <w:rPr>
          <w:rFonts w:hint="default" w:ascii="Times New Roman" w:hAnsi="Times New Roman" w:eastAsia="仿宋_GB2312" w:cs="Times New Roman"/>
          <w:color w:val="auto"/>
          <w:sz w:val="32"/>
          <w:szCs w:val="32"/>
          <w:highlight w:val="none"/>
        </w:rPr>
        <w:t>管理，进行单独核算，确保</w:t>
      </w:r>
      <w:r>
        <w:rPr>
          <w:rFonts w:hint="eastAsia" w:ascii="Times New Roman" w:hAnsi="Times New Roman" w:eastAsia="仿宋_GB2312" w:cs="Times New Roman"/>
          <w:color w:val="auto"/>
          <w:sz w:val="32"/>
          <w:szCs w:val="32"/>
          <w:highlight w:val="none"/>
          <w:lang w:val="en-US" w:eastAsia="zh-CN"/>
        </w:rPr>
        <w:t>专款专用</w:t>
      </w:r>
      <w:r>
        <w:rPr>
          <w:rFonts w:hint="default" w:ascii="Times New Roman" w:hAnsi="Times New Roman" w:eastAsia="仿宋_GB2312" w:cs="Times New Roman"/>
          <w:color w:val="auto"/>
          <w:sz w:val="32"/>
          <w:szCs w:val="32"/>
          <w:highlight w:val="none"/>
        </w:rPr>
        <w:t>。</w:t>
      </w:r>
    </w:p>
    <w:p w14:paraId="75AADEA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严格执行国家</w:t>
      </w:r>
      <w:r>
        <w:rPr>
          <w:rFonts w:hint="default" w:ascii="Times New Roman" w:hAnsi="Times New Roman" w:eastAsia="仿宋_GB2312" w:cs="Times New Roman"/>
          <w:color w:val="auto"/>
          <w:sz w:val="32"/>
          <w:szCs w:val="32"/>
          <w:highlight w:val="none"/>
          <w:lang w:val="en"/>
        </w:rPr>
        <w:t>、自治区</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val="en"/>
        </w:rPr>
        <w:t>经费</w:t>
      </w:r>
      <w:r>
        <w:rPr>
          <w:rFonts w:hint="default" w:ascii="Times New Roman" w:hAnsi="Times New Roman" w:eastAsia="仿宋_GB2312" w:cs="Times New Roman"/>
          <w:color w:val="auto"/>
          <w:sz w:val="32"/>
          <w:szCs w:val="32"/>
          <w:highlight w:val="none"/>
        </w:rPr>
        <w:t>支出管理制度。项目承担单位应当制定相关</w:t>
      </w:r>
      <w:r>
        <w:rPr>
          <w:rFonts w:hint="eastAsia" w:ascii="Times New Roman" w:hAnsi="Times New Roman" w:eastAsia="仿宋_GB2312" w:cs="Times New Roman"/>
          <w:color w:val="auto"/>
          <w:sz w:val="32"/>
          <w:szCs w:val="32"/>
          <w:highlight w:val="none"/>
          <w:lang w:val="en-US" w:eastAsia="zh-CN"/>
        </w:rPr>
        <w:t>制度</w:t>
      </w:r>
      <w:r>
        <w:rPr>
          <w:rFonts w:hint="default" w:ascii="Times New Roman" w:hAnsi="Times New Roman" w:eastAsia="仿宋_GB2312" w:cs="Times New Roman"/>
          <w:color w:val="auto"/>
          <w:sz w:val="32"/>
          <w:szCs w:val="32"/>
          <w:highlight w:val="none"/>
        </w:rPr>
        <w:t>，明确不具备刷卡条件情形下的财务审批程序和报销手续，从严控制现金支出事项，减少现金提取和使用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会议费、差旅费、小额材料费和测试化验加工费等支出，项目承担单位要按规定实行“公务卡”结算或采用银行转账方式结算；对设备费、大宗材料费和测试化验加工费、劳务费、专家咨询费等支出，项目承担单位原则上应当通过银行转账方式结算。</w:t>
      </w:r>
    </w:p>
    <w:p w14:paraId="36F09CD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val="en" w:eastAsia="zh-CN"/>
        </w:rPr>
        <w:t>一</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项目承担单位、项目负责人在项目经费申请和使用管理中</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不得</w:t>
      </w:r>
      <w:r>
        <w:rPr>
          <w:rFonts w:hint="default" w:ascii="Times New Roman" w:hAnsi="Times New Roman" w:eastAsia="仿宋_GB2312" w:cs="Times New Roman"/>
          <w:color w:val="auto"/>
          <w:sz w:val="32"/>
          <w:szCs w:val="32"/>
          <w:highlight w:val="none"/>
        </w:rPr>
        <w:t>存在以下行为</w:t>
      </w:r>
      <w:r>
        <w:rPr>
          <w:rFonts w:hint="eastAsia" w:ascii="Times New Roman" w:hAnsi="Times New Roman" w:eastAsia="仿宋_GB2312" w:cs="Times New Roman"/>
          <w:color w:val="auto"/>
          <w:sz w:val="32"/>
          <w:szCs w:val="32"/>
          <w:highlight w:val="none"/>
          <w:lang w:eastAsia="zh-CN"/>
        </w:rPr>
        <w:t>：</w:t>
      </w:r>
    </w:p>
    <w:p w14:paraId="46042B1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（一）编报虚假预算等项目材料；</w:t>
      </w:r>
    </w:p>
    <w:p w14:paraId="5D760A2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（二）未对</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进行单独核算；</w:t>
      </w:r>
    </w:p>
    <w:p w14:paraId="45E2C3C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（三）列支与本项目任务无关的支出</w:t>
      </w:r>
      <w:r>
        <w:rPr>
          <w:rFonts w:hint="eastAsia" w:ascii="Times New Roman" w:hAnsi="Times New Roman" w:eastAsia="仿宋_GB2312" w:cs="Times New Roman"/>
          <w:color w:val="auto"/>
          <w:sz w:val="32"/>
          <w:szCs w:val="32"/>
          <w:highlight w:val="none"/>
          <w:lang w:eastAsia="zh-CN"/>
        </w:rPr>
        <w:t>、搭车报销与项目研究无关人员的经费开支</w:t>
      </w:r>
      <w:r>
        <w:rPr>
          <w:rFonts w:hint="default" w:ascii="Times New Roman" w:hAnsi="Times New Roman" w:eastAsia="仿宋_GB2312" w:cs="Times New Roman"/>
          <w:color w:val="auto"/>
          <w:sz w:val="32"/>
          <w:szCs w:val="32"/>
          <w:highlight w:val="none"/>
        </w:rPr>
        <w:t>；</w:t>
      </w:r>
    </w:p>
    <w:p w14:paraId="3387106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（四）未按规定执行和调剂预算、违反规定转拨</w:t>
      </w:r>
      <w:r>
        <w:rPr>
          <w:rFonts w:hint="default" w:ascii="Times New Roman" w:hAnsi="Times New Roman" w:eastAsia="仿宋_GB2312" w:cs="Times New Roman"/>
          <w:color w:val="auto"/>
          <w:sz w:val="32"/>
          <w:szCs w:val="32"/>
          <w:highlight w:val="none"/>
          <w:lang w:val="en-US" w:eastAsia="zh-CN"/>
        </w:rPr>
        <w:t>项目经费</w:t>
      </w:r>
      <w:r>
        <w:rPr>
          <w:rFonts w:hint="default" w:ascii="Times New Roman" w:hAnsi="Times New Roman" w:eastAsia="仿宋_GB2312" w:cs="Times New Roman"/>
          <w:color w:val="auto"/>
          <w:sz w:val="32"/>
          <w:szCs w:val="32"/>
          <w:highlight w:val="none"/>
        </w:rPr>
        <w:t>；</w:t>
      </w:r>
    </w:p>
    <w:p w14:paraId="5857653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（五）虚假承诺其他来源资金；</w:t>
      </w:r>
    </w:p>
    <w:p w14:paraId="6DFD1CE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（六）通过虚假合同、虚假票据、虚构事项、虚报人员等方式弄虚作假，转移、套取、报销项目经费；</w:t>
      </w:r>
    </w:p>
    <w:p w14:paraId="67390FD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（七）截留、挤占、挪用</w:t>
      </w:r>
      <w:r>
        <w:rPr>
          <w:rFonts w:hint="default" w:ascii="Times New Roman" w:hAnsi="Times New Roman" w:eastAsia="仿宋_GB2312" w:cs="Times New Roman"/>
          <w:color w:val="auto"/>
          <w:sz w:val="32"/>
          <w:szCs w:val="32"/>
          <w:highlight w:val="none"/>
          <w:lang w:val="en-US" w:eastAsia="zh-CN"/>
        </w:rPr>
        <w:t>项目经费</w:t>
      </w:r>
      <w:r>
        <w:rPr>
          <w:rFonts w:hint="default" w:ascii="Times New Roman" w:hAnsi="Times New Roman" w:eastAsia="仿宋_GB2312" w:cs="Times New Roman"/>
          <w:color w:val="auto"/>
          <w:sz w:val="32"/>
          <w:szCs w:val="32"/>
          <w:highlight w:val="none"/>
        </w:rPr>
        <w:t>；</w:t>
      </w:r>
    </w:p>
    <w:p w14:paraId="3E88F18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（八）设置账外账、随意调账变动支出、随意修改记账凭证、提供虚假财务会计资料等；</w:t>
      </w:r>
    </w:p>
    <w:p w14:paraId="737FFF6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（九）使用项目</w:t>
      </w:r>
      <w:r>
        <w:rPr>
          <w:rFonts w:hint="default" w:ascii="Times New Roman" w:hAnsi="Times New Roman" w:eastAsia="仿宋_GB2312" w:cs="Times New Roman"/>
          <w:color w:val="auto"/>
          <w:sz w:val="32"/>
          <w:szCs w:val="32"/>
          <w:highlight w:val="none"/>
          <w:lang w:val="en-US" w:eastAsia="zh-CN"/>
        </w:rPr>
        <w:t>经费</w:t>
      </w:r>
      <w:r>
        <w:rPr>
          <w:rFonts w:hint="default" w:ascii="Times New Roman" w:hAnsi="Times New Roman" w:eastAsia="仿宋_GB2312" w:cs="Times New Roman"/>
          <w:color w:val="auto"/>
          <w:sz w:val="32"/>
          <w:szCs w:val="32"/>
          <w:highlight w:val="none"/>
        </w:rPr>
        <w:t>列支应当由个人负担的有关费用和支付各种罚款、捐款、赞助、投资、偿还债务等；</w:t>
      </w:r>
    </w:p>
    <w:p w14:paraId="4AC9365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在项目实施期满后继续支出经费</w:t>
      </w:r>
      <w:r>
        <w:rPr>
          <w:rFonts w:hint="default" w:ascii="Times New Roman" w:hAnsi="Times New Roman" w:eastAsia="仿宋_GB2312" w:cs="Times New Roman"/>
          <w:color w:val="auto"/>
          <w:sz w:val="32"/>
          <w:szCs w:val="32"/>
          <w:highlight w:val="none"/>
        </w:rPr>
        <w:t>；</w:t>
      </w:r>
    </w:p>
    <w:p w14:paraId="4DB1AA6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十一</w:t>
      </w:r>
      <w:r>
        <w:rPr>
          <w:rFonts w:hint="default" w:ascii="Times New Roman" w:hAnsi="Times New Roman" w:eastAsia="仿宋_GB2312" w:cs="Times New Roman"/>
          <w:color w:val="auto"/>
          <w:sz w:val="32"/>
          <w:szCs w:val="32"/>
          <w:highlight w:val="none"/>
        </w:rPr>
        <w:t>）其他违反国家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自治区科研经费管理规定</w:t>
      </w:r>
      <w:r>
        <w:rPr>
          <w:rFonts w:hint="default" w:ascii="Times New Roman" w:hAnsi="Times New Roman" w:eastAsia="仿宋_GB2312" w:cs="Times New Roman"/>
          <w:color w:val="auto"/>
          <w:sz w:val="32"/>
          <w:szCs w:val="32"/>
          <w:highlight w:val="none"/>
        </w:rPr>
        <w:t>的行为。</w:t>
      </w:r>
    </w:p>
    <w:p w14:paraId="2C3D696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lang w:val="en" w:eastAsia="zh-CN"/>
        </w:rPr>
        <w:t>二</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分期拨付财政经费的项目应依据年度执行情况报告、中期检查报告或“里程碑”检查报告拨付后续经费。对未提交年度执行情况报告或未通过中期检查或未通过“里程碑”检查的项目，暂停拨付后续项目经费，待项目承担单位收到整改通知后1个月内完成整改再拨付；未完成整改的，不再拨付剩余经费并终止项目实施。</w:t>
      </w:r>
    </w:p>
    <w:p w14:paraId="25F0653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b/>
          <w:bCs/>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lang w:val="en" w:eastAsia="zh-CN"/>
        </w:rPr>
        <w:t>三</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项目经费预算确有必要调剂时，项目负责人可在项目总预算范围内，根据科研活动实际需要自主调剂</w:t>
      </w:r>
      <w:r>
        <w:rPr>
          <w:rFonts w:hint="default" w:ascii="Times New Roman" w:hAnsi="Times New Roman" w:eastAsia="仿宋_GB2312" w:cs="Times New Roman"/>
          <w:color w:val="auto"/>
          <w:sz w:val="32"/>
          <w:szCs w:val="32"/>
          <w:highlight w:val="none"/>
          <w:lang w:val="en-US" w:eastAsia="zh-CN"/>
        </w:rPr>
        <w:t>除设备费外的</w:t>
      </w:r>
      <w:r>
        <w:rPr>
          <w:rFonts w:hint="default" w:ascii="Times New Roman" w:hAnsi="Times New Roman" w:eastAsia="仿宋_GB2312" w:cs="Times New Roman"/>
          <w:color w:val="auto"/>
          <w:sz w:val="32"/>
          <w:szCs w:val="32"/>
          <w:highlight w:val="none"/>
        </w:rPr>
        <w:t>直接费用。对设备费预算调剂的，由项目负责人提出申请，</w:t>
      </w:r>
      <w:r>
        <w:rPr>
          <w:rFonts w:hint="default" w:ascii="Times New Roman" w:hAnsi="Times New Roman" w:eastAsia="仿宋_GB2312" w:cs="Times New Roman"/>
          <w:color w:val="auto"/>
          <w:sz w:val="32"/>
          <w:szCs w:val="32"/>
          <w:highlight w:val="none"/>
          <w:lang w:val="en"/>
        </w:rPr>
        <w:t>项目承担</w:t>
      </w:r>
      <w:r>
        <w:rPr>
          <w:rFonts w:hint="default" w:ascii="Times New Roman" w:hAnsi="Times New Roman" w:eastAsia="仿宋_GB2312" w:cs="Times New Roman"/>
          <w:color w:val="auto"/>
          <w:sz w:val="32"/>
          <w:szCs w:val="32"/>
          <w:highlight w:val="none"/>
        </w:rPr>
        <w:t>单位</w:t>
      </w:r>
      <w:r>
        <w:rPr>
          <w:rFonts w:hint="eastAsia" w:ascii="Times New Roman" w:hAnsi="Times New Roman" w:eastAsia="仿宋_GB2312" w:cs="Times New Roman"/>
          <w:color w:val="auto"/>
          <w:sz w:val="32"/>
          <w:szCs w:val="32"/>
          <w:highlight w:val="none"/>
          <w:lang w:eastAsia="zh-CN"/>
        </w:rPr>
        <w:t>审批。间接费用预算调剂不得</w:t>
      </w:r>
      <w:r>
        <w:rPr>
          <w:rFonts w:hint="eastAsia" w:ascii="Times New Roman" w:hAnsi="Times New Roman" w:eastAsia="仿宋_GB2312" w:cs="Times New Roman"/>
          <w:color w:val="auto"/>
          <w:sz w:val="32"/>
          <w:szCs w:val="32"/>
          <w:highlight w:val="none"/>
          <w:lang w:val="en-US" w:eastAsia="zh-CN"/>
        </w:rPr>
        <w:t>调增，可调减用于直接费用</w:t>
      </w:r>
      <w:r>
        <w:rPr>
          <w:rFonts w:hint="eastAsia" w:ascii="Times New Roman" w:hAnsi="Times New Roman" w:eastAsia="仿宋_GB2312" w:cs="Times New Roman"/>
          <w:color w:val="auto"/>
          <w:sz w:val="32"/>
          <w:szCs w:val="32"/>
          <w:highlight w:val="none"/>
          <w:lang w:eastAsia="zh-CN"/>
        </w:rPr>
        <w:t>。</w:t>
      </w:r>
    </w:p>
    <w:p w14:paraId="7962C2F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lang w:val="en" w:eastAsia="zh-CN"/>
        </w:rPr>
        <w:t>四</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项目执行期满后，项目承担单位应当及时清理账目与资产，并</w:t>
      </w:r>
      <w:r>
        <w:rPr>
          <w:rFonts w:hint="eastAsia" w:ascii="Times New Roman" w:hAnsi="Times New Roman" w:eastAsia="仿宋_GB2312" w:cs="Times New Roman"/>
          <w:color w:val="auto"/>
          <w:sz w:val="32"/>
          <w:szCs w:val="32"/>
          <w:highlight w:val="none"/>
          <w:lang w:eastAsia="zh-CN"/>
        </w:rPr>
        <w:t>组织项目负责人</w:t>
      </w:r>
      <w:r>
        <w:rPr>
          <w:rFonts w:hint="default" w:ascii="Times New Roman" w:hAnsi="Times New Roman" w:eastAsia="仿宋_GB2312" w:cs="Times New Roman"/>
          <w:color w:val="auto"/>
          <w:sz w:val="32"/>
          <w:szCs w:val="32"/>
          <w:highlight w:val="none"/>
        </w:rPr>
        <w:t>如实编制项目经费决算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val="en-US" w:eastAsia="zh-CN"/>
        </w:rPr>
        <w:t>牵头</w:t>
      </w:r>
      <w:r>
        <w:rPr>
          <w:rFonts w:hint="default" w:ascii="Times New Roman" w:hAnsi="Times New Roman" w:eastAsia="仿宋_GB2312" w:cs="Times New Roman"/>
          <w:color w:val="auto"/>
          <w:sz w:val="32"/>
          <w:szCs w:val="32"/>
          <w:highlight w:val="none"/>
        </w:rPr>
        <w:t>单位汇总各项目承担单位决算并编制项目经费决算报表。</w:t>
      </w:r>
    </w:p>
    <w:p w14:paraId="3689736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lang w:val="en" w:eastAsia="zh-CN"/>
        </w:rPr>
        <w:t>五</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US" w:eastAsia="zh-CN"/>
        </w:rPr>
        <w:t>实行经费“包干制</w:t>
      </w:r>
      <w:r>
        <w:rPr>
          <w:rFonts w:hint="eastAsia"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的项目，</w:t>
      </w:r>
      <w:r>
        <w:rPr>
          <w:rFonts w:hint="default" w:ascii="Times New Roman" w:hAnsi="Times New Roman" w:eastAsia="仿宋_GB2312" w:cs="Times New Roman"/>
          <w:color w:val="auto"/>
          <w:sz w:val="32"/>
          <w:szCs w:val="32"/>
          <w:highlight w:val="none"/>
        </w:rPr>
        <w:t>项目负责人在本办法规定的经费支出范围内，在承诺遵守科技伦理、学术道德、科研诚信和作风学风要求、经费全部用于与本项目研究工作相关支出的基础上，自主决定经费使用。项目执行期满后，项目负责人应当编制项目经费决算</w:t>
      </w:r>
      <w:r>
        <w:rPr>
          <w:rFonts w:hint="default" w:ascii="Times New Roman" w:hAnsi="Times New Roman" w:eastAsia="仿宋_GB2312" w:cs="Times New Roman"/>
          <w:color w:val="auto"/>
          <w:sz w:val="32"/>
          <w:szCs w:val="32"/>
          <w:highlight w:val="none"/>
          <w:lang w:val="en"/>
        </w:rPr>
        <w:t>报项目承担单位审核</w:t>
      </w:r>
      <w:r>
        <w:rPr>
          <w:rFonts w:hint="default" w:ascii="Times New Roman" w:hAnsi="Times New Roman" w:eastAsia="仿宋_GB2312" w:cs="Times New Roman"/>
          <w:color w:val="auto"/>
          <w:sz w:val="32"/>
          <w:szCs w:val="32"/>
          <w:highlight w:val="none"/>
        </w:rPr>
        <w:t>。</w:t>
      </w:r>
    </w:p>
    <w:p w14:paraId="54FC854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w:t>
      </w:r>
      <w:r>
        <w:rPr>
          <w:rFonts w:hint="eastAsia" w:ascii="黑体" w:hAnsi="黑体" w:eastAsia="黑体" w:cs="黑体"/>
          <w:b w:val="0"/>
          <w:bCs w:val="0"/>
          <w:color w:val="auto"/>
          <w:sz w:val="32"/>
          <w:szCs w:val="32"/>
          <w:highlight w:val="none"/>
          <w:lang w:val="en" w:eastAsia="zh-CN"/>
        </w:rPr>
        <w:t>六</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 w:eastAsia="zh-CN"/>
        </w:rPr>
        <w:t>结余经费是指由自治区财政安排，自治区科技厅立项下达，已支付到项目承担单位的，在项目完成验收、撤销或终止程序后，经审核确认且无需列支的项目经费。项目承担单位应提高项目预算执行率，最大限度减少项目结余经费量。项目经费中财政经费结转、结余经费，视不同情况执行：</w:t>
      </w:r>
    </w:p>
    <w:p w14:paraId="408DD7E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项目实施期间，年度</w:t>
      </w:r>
      <w:r>
        <w:rPr>
          <w:rFonts w:hint="eastAsia" w:ascii="Times New Roman" w:hAnsi="Times New Roman" w:eastAsia="仿宋_GB2312" w:cs="Times New Roman"/>
          <w:color w:val="auto"/>
          <w:sz w:val="32"/>
          <w:szCs w:val="32"/>
          <w:highlight w:val="none"/>
          <w:lang w:eastAsia="zh-CN"/>
        </w:rPr>
        <w:t>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可结转下一年度按规定继续使用</w:t>
      </w:r>
      <w:r>
        <w:rPr>
          <w:rFonts w:hint="eastAsia" w:ascii="Times New Roman" w:hAnsi="Times New Roman" w:eastAsia="仿宋_GB2312" w:cs="Times New Roman"/>
          <w:color w:val="auto"/>
          <w:sz w:val="32"/>
          <w:szCs w:val="32"/>
          <w:highlight w:val="none"/>
          <w:lang w:eastAsia="zh-CN"/>
        </w:rPr>
        <w:t>。</w:t>
      </w:r>
    </w:p>
    <w:p w14:paraId="4BAE620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项目实施期满，原则上结余经费比例不得超过20%（含）或金额不得超过30万元（含），若超过该比例或金额，项目承担单位须作出情况说明，写明经费预算执行差异具体原因，与项目经费决算表一同作为验收材料。结余经费计划留用的项目承担单位，项目验收时应同时提交结余经费用款计划。</w:t>
      </w:r>
    </w:p>
    <w:p w14:paraId="5F4EC9D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eastAsia="zh-CN"/>
        </w:rPr>
        <w:t>）项目通过验收的，</w:t>
      </w:r>
      <w:r>
        <w:rPr>
          <w:rFonts w:hint="eastAsia"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lang w:eastAsia="zh-CN"/>
        </w:rPr>
        <w:t>项目承担单位和项目负责人无科研诚信</w:t>
      </w:r>
      <w:r>
        <w:rPr>
          <w:rFonts w:hint="eastAsia" w:ascii="Times New Roman" w:hAnsi="Times New Roman" w:eastAsia="仿宋_GB2312" w:cs="Times New Roman"/>
          <w:color w:val="auto"/>
          <w:sz w:val="32"/>
          <w:szCs w:val="32"/>
          <w:highlight w:val="none"/>
          <w:lang w:eastAsia="zh-CN"/>
        </w:rPr>
        <w:t>失信行为</w:t>
      </w:r>
      <w:r>
        <w:rPr>
          <w:rFonts w:hint="eastAsia" w:ascii="Times New Roman" w:hAnsi="Times New Roman" w:eastAsia="仿宋_GB2312" w:cs="Times New Roman"/>
          <w:color w:val="auto"/>
          <w:sz w:val="32"/>
          <w:szCs w:val="32"/>
          <w:highlight w:val="none"/>
          <w:lang w:val="en-US" w:eastAsia="zh-CN"/>
        </w:rPr>
        <w:t>或科学技术活动违规行为</w:t>
      </w:r>
      <w:r>
        <w:rPr>
          <w:rFonts w:hint="default" w:ascii="Times New Roman" w:hAnsi="Times New Roman" w:eastAsia="仿宋_GB2312" w:cs="Times New Roman"/>
          <w:color w:val="auto"/>
          <w:sz w:val="32"/>
          <w:szCs w:val="32"/>
          <w:highlight w:val="none"/>
          <w:lang w:eastAsia="zh-CN"/>
        </w:rPr>
        <w:t>，结余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lang w:eastAsia="zh-CN"/>
        </w:rPr>
        <w:t>留归项目承担单位使用</w:t>
      </w:r>
      <w:r>
        <w:rPr>
          <w:rFonts w:hint="eastAsia" w:ascii="Times New Roman" w:hAnsi="Times New Roman" w:eastAsia="仿宋_GB2312" w:cs="Times New Roman"/>
          <w:color w:val="auto"/>
          <w:sz w:val="32"/>
          <w:szCs w:val="32"/>
          <w:highlight w:val="none"/>
          <w:lang w:eastAsia="zh-CN"/>
        </w:rPr>
        <w:t>。</w:t>
      </w:r>
    </w:p>
    <w:p w14:paraId="56AA455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val="en-US" w:eastAsia="zh-CN"/>
        </w:rPr>
        <w:t>验收不通过或</w:t>
      </w:r>
      <w:r>
        <w:rPr>
          <w:rFonts w:hint="default" w:ascii="Times New Roman" w:hAnsi="Times New Roman" w:eastAsia="仿宋_GB2312" w:cs="Times New Roman"/>
          <w:color w:val="auto"/>
          <w:sz w:val="32"/>
          <w:szCs w:val="32"/>
          <w:highlight w:val="none"/>
        </w:rPr>
        <w:t>终止的，项目承担单位应当及时清理账目与资产，编制财务报告及资产清单，审核汇总后报送</w:t>
      </w:r>
      <w:r>
        <w:rPr>
          <w:rFonts w:hint="eastAsia"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科技厅进行清查处理，</w:t>
      </w:r>
      <w:r>
        <w:rPr>
          <w:rFonts w:hint="eastAsia" w:ascii="Times New Roman" w:hAnsi="Times New Roman"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lang w:val="en"/>
        </w:rPr>
        <w:t>在收到退款通知后</w:t>
      </w:r>
      <w:r>
        <w:rPr>
          <w:rFonts w:hint="eastAsia" w:ascii="Times New Roman" w:hAnsi="Times New Roman" w:eastAsia="仿宋_GB2312" w:cs="Times New Roman"/>
          <w:color w:val="auto"/>
          <w:sz w:val="32"/>
          <w:szCs w:val="32"/>
          <w:highlight w:val="none"/>
          <w:lang w:val="en-US" w:eastAsia="zh-CN"/>
        </w:rPr>
        <w:t>3个月</w:t>
      </w:r>
      <w:r>
        <w:rPr>
          <w:rFonts w:hint="default" w:ascii="Times New Roman" w:hAnsi="Times New Roman" w:eastAsia="仿宋_GB2312" w:cs="Times New Roman"/>
          <w:color w:val="auto"/>
          <w:sz w:val="32"/>
          <w:szCs w:val="32"/>
          <w:highlight w:val="none"/>
          <w:lang w:val="en"/>
        </w:rPr>
        <w:t>内</w:t>
      </w:r>
      <w:r>
        <w:rPr>
          <w:rFonts w:hint="default" w:ascii="Times New Roman" w:hAnsi="Times New Roman" w:eastAsia="仿宋_GB2312" w:cs="Times New Roman"/>
          <w:color w:val="auto"/>
          <w:sz w:val="32"/>
          <w:szCs w:val="32"/>
          <w:highlight w:val="none"/>
        </w:rPr>
        <w:t>按原渠道退回</w:t>
      </w:r>
      <w:r>
        <w:rPr>
          <w:rFonts w:hint="default" w:ascii="Times New Roman" w:hAnsi="Times New Roman" w:eastAsia="仿宋_GB2312"/>
          <w:color w:val="auto"/>
          <w:sz w:val="32"/>
          <w:szCs w:val="32"/>
          <w:highlight w:val="none"/>
        </w:rPr>
        <w:t>结余经费及违规使用财政经费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否则，将按照有关规定限制相关项目承担单位参与自治区财政性资金支持的科学技术活动。</w:t>
      </w:r>
    </w:p>
    <w:p w14:paraId="3EA57BA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sz w:val="32"/>
          <w:szCs w:val="32"/>
          <w:highlight w:val="none"/>
          <w:lang w:val="en" w:eastAsia="zh-CN"/>
        </w:rPr>
        <w:t>二十七</w:t>
      </w:r>
      <w:r>
        <w:rPr>
          <w:rFonts w:hint="eastAsia" w:ascii="黑体" w:hAnsi="黑体" w:eastAsia="黑体" w:cs="黑体"/>
          <w:b w:val="0"/>
          <w:bCs w:val="0"/>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eastAsia="zh-CN"/>
        </w:rPr>
        <w:t>项目承担单位是结余</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管理责任主体，</w:t>
      </w:r>
      <w:r>
        <w:rPr>
          <w:rFonts w:hint="default" w:ascii="Times New Roman" w:hAnsi="Times New Roman" w:eastAsia="仿宋_GB2312" w:cs="Times New Roman"/>
          <w:color w:val="auto"/>
          <w:sz w:val="32"/>
          <w:szCs w:val="32"/>
          <w:highlight w:val="none"/>
          <w:lang w:val="en-US" w:eastAsia="zh-CN"/>
        </w:rPr>
        <w:t>应加强</w:t>
      </w:r>
      <w:r>
        <w:rPr>
          <w:rFonts w:hint="eastAsia" w:ascii="Times New Roman" w:hAnsi="Times New Roman" w:eastAsia="仿宋_GB2312" w:cs="Times New Roman"/>
          <w:color w:val="auto"/>
          <w:sz w:val="32"/>
          <w:szCs w:val="32"/>
          <w:highlight w:val="none"/>
          <w:lang w:val="en-US" w:eastAsia="zh-CN"/>
        </w:rPr>
        <w:t>对通过验收项目</w:t>
      </w:r>
      <w:r>
        <w:rPr>
          <w:rFonts w:hint="default" w:ascii="Times New Roman" w:hAnsi="Times New Roman" w:eastAsia="仿宋_GB2312" w:cs="Times New Roman"/>
          <w:color w:val="auto"/>
          <w:sz w:val="32"/>
          <w:szCs w:val="32"/>
          <w:highlight w:val="none"/>
          <w:lang w:val="en-US" w:eastAsia="zh-CN"/>
        </w:rPr>
        <w:t>结余</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管理，</w:t>
      </w:r>
      <w:r>
        <w:rPr>
          <w:rFonts w:hint="eastAsia" w:ascii="Times New Roman" w:hAnsi="Times New Roman" w:eastAsia="仿宋_GB2312" w:cs="Times New Roman"/>
          <w:color w:val="auto"/>
          <w:sz w:val="32"/>
          <w:szCs w:val="32"/>
          <w:highlight w:val="none"/>
          <w:lang w:val="en-US" w:eastAsia="zh-CN"/>
        </w:rPr>
        <w:t>制定管理办法或措施。</w:t>
      </w:r>
      <w:r>
        <w:rPr>
          <w:rFonts w:hint="default" w:ascii="Times New Roman" w:hAnsi="Times New Roman" w:eastAsia="仿宋_GB2312" w:cs="Times New Roman"/>
          <w:color w:val="auto"/>
          <w:sz w:val="32"/>
          <w:szCs w:val="32"/>
          <w:highlight w:val="none"/>
          <w:lang w:val="en-US" w:eastAsia="zh-CN"/>
        </w:rPr>
        <w:t>项目承担单位</w:t>
      </w:r>
      <w:r>
        <w:rPr>
          <w:rFonts w:hint="eastAsia" w:ascii="Times New Roman" w:hAnsi="Times New Roman" w:eastAsia="仿宋_GB2312"/>
          <w:color w:val="auto"/>
          <w:sz w:val="32"/>
          <w:szCs w:val="32"/>
          <w:highlight w:val="none"/>
          <w:lang w:eastAsia="zh-CN"/>
        </w:rPr>
        <w:t>应</w:t>
      </w:r>
      <w:r>
        <w:rPr>
          <w:rFonts w:hint="eastAsia" w:ascii="Times New Roman" w:hAnsi="Times New Roman" w:eastAsia="仿宋_GB2312" w:cs="Times New Roman"/>
          <w:color w:val="auto"/>
          <w:sz w:val="32"/>
          <w:szCs w:val="32"/>
          <w:highlight w:val="none"/>
          <w:lang w:val="en-US" w:eastAsia="zh-CN"/>
        </w:rPr>
        <w:t>在单位统一会计账簿中按项目明细单独核算结余</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，并于每年</w:t>
      </w:r>
      <w:r>
        <w:rPr>
          <w:rFonts w:hint="eastAsia" w:ascii="Times New Roman" w:hAnsi="Times New Roman" w:eastAsia="仿宋_GB2312" w:cs="Times New Roman"/>
          <w:color w:val="auto"/>
          <w:sz w:val="32"/>
          <w:szCs w:val="32"/>
          <w:highlight w:val="none"/>
          <w:lang w:val="en-US" w:eastAsia="zh-CN"/>
        </w:rPr>
        <w:t>12月底前</w:t>
      </w:r>
      <w:r>
        <w:rPr>
          <w:rFonts w:hint="default" w:ascii="Times New Roman" w:hAnsi="Times New Roman" w:eastAsia="仿宋_GB2312" w:cs="Times New Roman"/>
          <w:color w:val="auto"/>
          <w:sz w:val="32"/>
          <w:szCs w:val="32"/>
          <w:highlight w:val="none"/>
        </w:rPr>
        <w:t>将验收后两年内（自验收通过次年的1月1日起计算）仍未使用完毕的结余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情况报自治区科技厅</w:t>
      </w:r>
      <w:r>
        <w:rPr>
          <w:rFonts w:hint="default" w:ascii="Times New Roman" w:hAnsi="Times New Roman" w:eastAsia="仿宋_GB2312" w:cs="Times New Roman"/>
          <w:color w:val="auto"/>
          <w:sz w:val="32"/>
          <w:szCs w:val="32"/>
          <w:highlight w:val="none"/>
          <w:lang w:val="en"/>
        </w:rPr>
        <w:t>备案</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项目承担单位</w:t>
      </w:r>
      <w:r>
        <w:rPr>
          <w:rFonts w:hint="eastAsia" w:ascii="Times New Roman" w:hAnsi="Times New Roman" w:cs="Times New Roman"/>
          <w:color w:val="auto"/>
          <w:sz w:val="32"/>
          <w:szCs w:val="32"/>
          <w:highlight w:val="none"/>
          <w:lang w:val="en-US" w:eastAsia="zh-CN"/>
        </w:rPr>
        <w:t>应</w:t>
      </w:r>
      <w:r>
        <w:rPr>
          <w:rFonts w:hint="default" w:ascii="Times New Roman" w:hAnsi="Times New Roman" w:eastAsia="仿宋_GB2312" w:cs="Times New Roman"/>
          <w:color w:val="auto"/>
          <w:sz w:val="32"/>
          <w:szCs w:val="32"/>
          <w:highlight w:val="none"/>
          <w:lang w:val="en-US" w:eastAsia="zh-CN"/>
        </w:rPr>
        <w:t>建立健全结余经费盘活机制，加快结余经费使用进度，</w:t>
      </w:r>
      <w:r>
        <w:rPr>
          <w:rFonts w:hint="default" w:ascii="Times New Roman" w:hAnsi="Times New Roman" w:eastAsia="仿宋_GB2312" w:cs="Times New Roman"/>
          <w:color w:val="auto"/>
          <w:sz w:val="32"/>
          <w:szCs w:val="32"/>
          <w:highlight w:val="none"/>
        </w:rPr>
        <w:t>不得使结余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长期结余或沉淀</w:t>
      </w:r>
      <w:r>
        <w:rPr>
          <w:rFonts w:hint="eastAsia" w:ascii="Times New Roman" w:hAnsi="Times New Roman" w:eastAsia="仿宋_GB2312" w:cs="Times New Roman"/>
          <w:color w:val="auto"/>
          <w:sz w:val="32"/>
          <w:szCs w:val="32"/>
          <w:highlight w:val="none"/>
          <w:lang w:eastAsia="zh-CN"/>
        </w:rPr>
        <w:t>，负责将结余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lang w:eastAsia="zh-CN"/>
        </w:rPr>
        <w:t>统筹用于科研仪器设备更新、项目实施过程中发生的业务费、劳务费等科研活动直接支出</w:t>
      </w:r>
      <w:r>
        <w:rPr>
          <w:rFonts w:hint="eastAsia" w:ascii="Times New Roman" w:hAnsi="Times New Roman" w:eastAsia="仿宋_GB2312" w:cs="Times New Roman"/>
          <w:color w:val="auto"/>
          <w:sz w:val="32"/>
          <w:szCs w:val="32"/>
          <w:highlight w:val="none"/>
          <w:lang w:eastAsia="zh-CN"/>
        </w:rPr>
        <w:t>，并对</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使用的真实性、合法性和规范性负责。项目结余</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使用优先考虑原项目团队科研需求，对于原项目团队不能及时使用的结余</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，项目承担单位应主动调剂用于其他急需科研活动的直接支出；</w:t>
      </w:r>
      <w:r>
        <w:rPr>
          <w:rFonts w:hint="default" w:ascii="Times New Roman" w:hAnsi="Times New Roman" w:eastAsia="仿宋_GB2312" w:cs="Times New Roman"/>
          <w:color w:val="auto"/>
          <w:sz w:val="32"/>
          <w:szCs w:val="32"/>
          <w:highlight w:val="none"/>
        </w:rPr>
        <w:t>对于不需继续使用的结余</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，应及时主动按原渠道退回并报自治区科技厅</w:t>
      </w:r>
      <w:r>
        <w:rPr>
          <w:rFonts w:hint="eastAsia" w:ascii="Times New Roman" w:hAnsi="Times New Roman" w:eastAsia="仿宋_GB2312" w:cs="Times New Roman"/>
          <w:color w:val="auto"/>
          <w:sz w:val="32"/>
          <w:szCs w:val="32"/>
          <w:highlight w:val="none"/>
          <w:lang w:eastAsia="zh-CN"/>
        </w:rPr>
        <w:t>，由自治区科技厅报请自治区财政厅收回</w:t>
      </w:r>
      <w:r>
        <w:rPr>
          <w:rFonts w:hint="default" w:ascii="Times New Roman" w:hAnsi="Times New Roman" w:eastAsia="仿宋_GB2312" w:cs="Times New Roman"/>
          <w:color w:val="auto"/>
          <w:sz w:val="32"/>
          <w:szCs w:val="32"/>
          <w:highlight w:val="none"/>
        </w:rPr>
        <w:t>。</w:t>
      </w:r>
    </w:p>
    <w:p w14:paraId="601C78D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sz w:val="32"/>
          <w:szCs w:val="32"/>
          <w:highlight w:val="none"/>
          <w:lang w:val="en" w:eastAsia="zh-CN"/>
        </w:rPr>
        <w:t>二十八</w:t>
      </w:r>
      <w:r>
        <w:rPr>
          <w:rFonts w:hint="eastAsia" w:ascii="黑体" w:hAnsi="黑体" w:eastAsia="黑体" w:cs="黑体"/>
          <w:b w:val="0"/>
          <w:bCs w:val="0"/>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项目实施过程中，行政</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事业单位使用自治区财政经费形成的固定资产属于国有资产，</w:t>
      </w:r>
      <w:r>
        <w:rPr>
          <w:rFonts w:hint="default" w:ascii="Times New Roman" w:hAnsi="Times New Roman" w:eastAsia="仿宋_GB2312"/>
          <w:color w:val="auto"/>
          <w:sz w:val="32"/>
          <w:szCs w:val="32"/>
          <w:highlight w:val="none"/>
        </w:rPr>
        <w:t>由行政及事业单位进行管理和使用</w:t>
      </w:r>
      <w:r>
        <w:rPr>
          <w:rFonts w:hint="default" w:ascii="Times New Roman" w:hAnsi="Times New Roman" w:eastAsia="仿宋_GB2312" w:cs="Times New Roman"/>
          <w:color w:val="auto"/>
          <w:sz w:val="32"/>
          <w:szCs w:val="32"/>
          <w:highlight w:val="none"/>
        </w:rPr>
        <w:t>，自治区有权调配用于相关科学研究。企业使用自治区财政经费形成的固定资产，按照《企业财务通则》等相关规章制度执行。</w:t>
      </w:r>
    </w:p>
    <w:p w14:paraId="6B2BF60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使用</w:t>
      </w:r>
      <w:r>
        <w:rPr>
          <w:rFonts w:hint="default" w:ascii="Times New Roman" w:hAnsi="Times New Roman" w:eastAsia="仿宋_GB2312" w:cs="Times New Roman"/>
          <w:color w:val="auto"/>
          <w:sz w:val="32"/>
          <w:szCs w:val="32"/>
          <w:highlight w:val="none"/>
        </w:rPr>
        <w:t>自治区财政经费形成的知识产权等无形资产的管理，按照国家和自治区有关规定执行。</w:t>
      </w:r>
      <w:r>
        <w:rPr>
          <w:rFonts w:hint="default" w:ascii="Times New Roman" w:hAnsi="Times New Roman" w:eastAsia="仿宋_GB2312" w:cs="Times New Roman"/>
          <w:color w:val="auto"/>
          <w:sz w:val="32"/>
          <w:szCs w:val="32"/>
          <w:highlight w:val="none"/>
          <w:lang w:val="en-US" w:eastAsia="zh-CN"/>
        </w:rPr>
        <w:t>使用</w:t>
      </w:r>
      <w:r>
        <w:rPr>
          <w:rFonts w:hint="default" w:ascii="Times New Roman" w:hAnsi="Times New Roman" w:eastAsia="仿宋_GB2312" w:cs="Times New Roman"/>
          <w:color w:val="auto"/>
          <w:sz w:val="32"/>
          <w:szCs w:val="32"/>
          <w:highlight w:val="none"/>
        </w:rPr>
        <w:t>自治区财政经费形成的大型科学仪器设备、科学数据、自然科技资源等，按照有关规定开放共享。</w:t>
      </w:r>
    </w:p>
    <w:p w14:paraId="6E468EC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二十九</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经费使用过程中实行重大事项报告制度。在项目实施期间出现任务重大调整和变更，以及不可抗拒因素造成意外损失等原因使项目终止或撤销而影响预算执行的重大事项，项目负责人和项目承担单位应及时报告项目管理机构审核，并报自治区科技厅审批。</w:t>
      </w:r>
    </w:p>
    <w:p w14:paraId="2646A0E7">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rPr>
      </w:pPr>
    </w:p>
    <w:p w14:paraId="7202188C">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w:t>
      </w:r>
      <w:r>
        <w:rPr>
          <w:rFonts w:hint="default" w:ascii="Times New Roman" w:hAnsi="Times New Roman" w:eastAsia="黑体" w:cs="Times New Roman"/>
          <w:color w:val="auto"/>
          <w:sz w:val="32"/>
          <w:szCs w:val="32"/>
          <w:highlight w:val="none"/>
          <w:lang w:val="en-US" w:eastAsia="zh-CN"/>
        </w:rPr>
        <w:t xml:space="preserve">  绩效管理和</w:t>
      </w:r>
      <w:r>
        <w:rPr>
          <w:rFonts w:hint="default" w:ascii="Times New Roman" w:hAnsi="Times New Roman" w:eastAsia="黑体" w:cs="Times New Roman"/>
          <w:color w:val="auto"/>
          <w:sz w:val="32"/>
          <w:szCs w:val="32"/>
          <w:highlight w:val="none"/>
        </w:rPr>
        <w:t>监督检查</w:t>
      </w:r>
    </w:p>
    <w:p w14:paraId="2C4D871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auto"/>
          <w:highlight w:val="none"/>
        </w:rPr>
      </w:pPr>
    </w:p>
    <w:p w14:paraId="7604B33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lang w:val="en" w:eastAsia="zh-CN"/>
        </w:rPr>
        <w:t>十</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自治区科技厅、自治区财政厅、</w:t>
      </w:r>
      <w:r>
        <w:rPr>
          <w:rFonts w:hint="eastAsia" w:ascii="Times New Roman" w:hAnsi="Times New Roman" w:eastAsia="仿宋_GB2312" w:cs="Times New Roman"/>
          <w:color w:val="auto"/>
          <w:sz w:val="32"/>
          <w:szCs w:val="32"/>
          <w:highlight w:val="none"/>
          <w:lang w:eastAsia="zh-CN"/>
        </w:rPr>
        <w:t>相关推荐单位</w:t>
      </w:r>
      <w:r>
        <w:rPr>
          <w:rFonts w:hint="eastAsia" w:eastAsia="仿宋_GB2312" w:cs="Times New Roman"/>
          <w:color w:val="auto"/>
          <w:sz w:val="32"/>
          <w:highlight w:val="none"/>
          <w:lang w:eastAsia="zh-CN"/>
        </w:rPr>
        <w:t>、</w:t>
      </w:r>
      <w:r>
        <w:rPr>
          <w:rFonts w:hint="default" w:ascii="Times New Roman" w:hAnsi="Times New Roman" w:eastAsia="仿宋_GB2312" w:cs="Times New Roman"/>
          <w:color w:val="auto"/>
          <w:sz w:val="32"/>
          <w:szCs w:val="32"/>
          <w:highlight w:val="none"/>
        </w:rPr>
        <w:t>项目管理机构和项目承担单位应当根据职责和分工，建立覆盖经费管理使用全过程的经费监督机制，加强预算绩效管理和日常监督，并加强与审计监督等各类监督贯通协调，提高监管质效</w:t>
      </w:r>
      <w:r>
        <w:rPr>
          <w:rFonts w:hint="eastAsia" w:ascii="Times New Roman" w:hAnsi="Times New Roman" w:eastAsia="仿宋_GB2312" w:cs="Times New Roman"/>
          <w:color w:val="auto"/>
          <w:sz w:val="32"/>
          <w:szCs w:val="32"/>
          <w:highlight w:val="none"/>
          <w:lang w:eastAsia="zh-CN"/>
        </w:rPr>
        <w:t>。</w:t>
      </w:r>
    </w:p>
    <w:p w14:paraId="225D4B9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三十一</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项目承担单位</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rPr>
        <w:t>按照本办法以及国家、自治区财政财务管理的相关规定，切实履行项目经费管理主体责任，完善监督制约机制，动态监管</w:t>
      </w:r>
      <w:r>
        <w:rPr>
          <w:rFonts w:hint="eastAsia" w:ascii="Times New Roman" w:hAnsi="Times New Roman" w:eastAsia="仿宋_GB2312" w:cs="Times New Roman"/>
          <w:color w:val="auto"/>
          <w:sz w:val="32"/>
          <w:szCs w:val="32"/>
          <w:highlight w:val="none"/>
          <w:lang w:val="en-US" w:eastAsia="zh-CN"/>
        </w:rPr>
        <w:t>经费</w:t>
      </w:r>
      <w:r>
        <w:rPr>
          <w:rFonts w:hint="default" w:ascii="Times New Roman" w:hAnsi="Times New Roman" w:eastAsia="仿宋_GB2312" w:cs="Times New Roman"/>
          <w:color w:val="auto"/>
          <w:sz w:val="32"/>
          <w:szCs w:val="32"/>
          <w:highlight w:val="none"/>
        </w:rPr>
        <w:t>使用并实时预警提醒，加强支撑服务条件建设，提高对科研人员的服务水平，建立常态化的自查自纠机制，确保项目经费安全。</w:t>
      </w:r>
    </w:p>
    <w:p w14:paraId="476DBD9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项目承担单位、项目负责人出现第</w:t>
      </w:r>
      <w:r>
        <w:rPr>
          <w:rFonts w:hint="default" w:ascii="Times New Roman" w:hAnsi="Times New Roman" w:eastAsia="仿宋_GB2312" w:cs="Times New Roman"/>
          <w:color w:val="auto"/>
          <w:sz w:val="32"/>
          <w:szCs w:val="32"/>
          <w:highlight w:val="none"/>
          <w:lang w:val="en-US" w:eastAsia="zh-CN"/>
        </w:rPr>
        <w:t>二十</w:t>
      </w: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条有关情形的，</w:t>
      </w:r>
      <w:r>
        <w:rPr>
          <w:rFonts w:hint="default"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科技厅、财政厅依照有关规定视情节轻重采取责令整改、约谈、暂停项目拨款、终止项目执行、收回项目结余</w:t>
      </w:r>
      <w:r>
        <w:rPr>
          <w:rFonts w:hint="eastAsia" w:ascii="Times New Roman" w:hAnsi="Times New Roman" w:eastAsia="仿宋_GB2312"/>
          <w:color w:val="auto"/>
          <w:sz w:val="32"/>
          <w:szCs w:val="32"/>
          <w:highlight w:val="none"/>
          <w:lang w:eastAsia="zh-CN"/>
        </w:rPr>
        <w:t>经费和违规使用财政经费</w:t>
      </w:r>
      <w:r>
        <w:rPr>
          <w:rFonts w:hint="default" w:ascii="Times New Roman" w:hAnsi="Times New Roman" w:eastAsia="仿宋_GB2312" w:cs="Times New Roman"/>
          <w:color w:val="auto"/>
          <w:sz w:val="32"/>
          <w:szCs w:val="32"/>
          <w:highlight w:val="none"/>
        </w:rPr>
        <w:t>、追回已拨</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、阶段性限制相关单位或人员项目申报资格等措施。违反相关法律法规规章的，按照</w:t>
      </w:r>
      <w:r>
        <w:rPr>
          <w:rFonts w:hint="eastAsia"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rPr>
        <w:t>规定予以处理</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处罚。涉嫌</w:t>
      </w:r>
      <w:r>
        <w:rPr>
          <w:rFonts w:hint="eastAsia" w:ascii="Times New Roman" w:hAnsi="Times New Roman" w:eastAsia="仿宋_GB2312" w:cs="Times New Roman"/>
          <w:color w:val="auto"/>
          <w:sz w:val="32"/>
          <w:szCs w:val="32"/>
          <w:highlight w:val="none"/>
          <w:lang w:eastAsia="zh-CN"/>
        </w:rPr>
        <w:t>违</w:t>
      </w:r>
      <w:r>
        <w:rPr>
          <w:rFonts w:hint="eastAsia" w:ascii="Times New Roman" w:hAnsi="Times New Roman" w:cs="Times New Roman"/>
          <w:color w:val="auto"/>
          <w:sz w:val="32"/>
          <w:szCs w:val="32"/>
          <w:highlight w:val="none"/>
          <w:lang w:eastAsia="zh-CN"/>
        </w:rPr>
        <w:t>法</w:t>
      </w:r>
      <w:r>
        <w:rPr>
          <w:rFonts w:hint="default" w:ascii="Times New Roman" w:hAnsi="Times New Roman" w:eastAsia="仿宋_GB2312" w:cs="Times New Roman"/>
          <w:color w:val="auto"/>
          <w:sz w:val="32"/>
          <w:szCs w:val="32"/>
          <w:highlight w:val="none"/>
        </w:rPr>
        <w:t>犯罪的，移送有关机关处理。</w:t>
      </w:r>
    </w:p>
    <w:p w14:paraId="70D1AE9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eastAsia" w:ascii="仿宋" w:hAnsi="仿宋" w:eastAsia="仿宋" w:cs="仿宋"/>
          <w:color w:val="auto"/>
          <w:sz w:val="32"/>
          <w:szCs w:val="32"/>
          <w:highlight w:val="none"/>
        </w:rPr>
      </w:pPr>
      <w:r>
        <w:rPr>
          <w:rFonts w:hint="eastAsia" w:ascii="黑体" w:hAnsi="黑体" w:eastAsia="黑体" w:cs="黑体"/>
          <w:b w:val="0"/>
          <w:bCs w:val="0"/>
          <w:color w:val="auto"/>
          <w:sz w:val="32"/>
          <w:szCs w:val="32"/>
          <w:highlight w:val="none"/>
          <w:lang w:eastAsia="zh-CN"/>
        </w:rPr>
        <w:t>第三十三条</w:t>
      </w:r>
      <w:r>
        <w:rPr>
          <w:rFonts w:hint="eastAsia" w:ascii="仿宋" w:hAnsi="仿宋" w:eastAsia="仿宋" w:cs="仿宋"/>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自治区</w:t>
      </w:r>
      <w:r>
        <w:rPr>
          <w:rFonts w:hint="default" w:ascii="Times New Roman" w:hAnsi="Times New Roman" w:eastAsia="仿宋_GB2312" w:cs="Times New Roman"/>
          <w:color w:val="auto"/>
          <w:sz w:val="32"/>
          <w:szCs w:val="32"/>
          <w:highlight w:val="none"/>
        </w:rPr>
        <w:t>财政</w:t>
      </w:r>
      <w:r>
        <w:rPr>
          <w:rFonts w:hint="default" w:ascii="Times New Roman" w:hAnsi="Times New Roman" w:eastAsia="仿宋_GB2312" w:cs="Times New Roman"/>
          <w:color w:val="auto"/>
          <w:sz w:val="32"/>
          <w:szCs w:val="32"/>
          <w:highlight w:val="none"/>
          <w:lang w:eastAsia="zh-CN"/>
        </w:rPr>
        <w:t>厅</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自治区</w:t>
      </w:r>
      <w:r>
        <w:rPr>
          <w:rFonts w:hint="default" w:ascii="Times New Roman" w:hAnsi="Times New Roman" w:eastAsia="仿宋_GB2312" w:cs="Times New Roman"/>
          <w:color w:val="auto"/>
          <w:sz w:val="32"/>
          <w:szCs w:val="32"/>
          <w:highlight w:val="none"/>
        </w:rPr>
        <w:t>科技</w:t>
      </w:r>
      <w:r>
        <w:rPr>
          <w:rFonts w:hint="default" w:ascii="Times New Roman" w:hAnsi="Times New Roman" w:eastAsia="仿宋_GB2312" w:cs="Times New Roman"/>
          <w:color w:val="auto"/>
          <w:sz w:val="32"/>
          <w:szCs w:val="32"/>
          <w:highlight w:val="none"/>
          <w:lang w:eastAsia="zh-CN"/>
        </w:rPr>
        <w:t>厅</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相关</w:t>
      </w:r>
      <w:r>
        <w:rPr>
          <w:rFonts w:hint="eastAsia" w:ascii="Times New Roman" w:hAnsi="Times New Roman" w:eastAsia="仿宋_GB2312" w:cs="Times New Roman"/>
          <w:color w:val="auto"/>
          <w:sz w:val="32"/>
          <w:szCs w:val="32"/>
          <w:highlight w:val="none"/>
          <w:lang w:eastAsia="zh-CN"/>
        </w:rPr>
        <w:t>推荐单位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管理</w:t>
      </w:r>
      <w:r>
        <w:rPr>
          <w:rFonts w:hint="default" w:ascii="Times New Roman" w:hAnsi="Times New Roman" w:eastAsia="仿宋_GB2312" w:cs="Times New Roman"/>
          <w:color w:val="auto"/>
          <w:sz w:val="32"/>
          <w:szCs w:val="32"/>
          <w:highlight w:val="none"/>
        </w:rPr>
        <w:t>机构及其相关工作人员，以及会计师事务所、评审专家等主体在</w:t>
      </w:r>
      <w:r>
        <w:rPr>
          <w:rFonts w:hint="default" w:ascii="Times New Roman" w:hAnsi="Times New Roman" w:eastAsia="仿宋_GB2312" w:cs="Times New Roman"/>
          <w:color w:val="auto"/>
          <w:sz w:val="32"/>
          <w:szCs w:val="32"/>
          <w:highlight w:val="none"/>
          <w:lang w:eastAsia="zh-CN"/>
        </w:rPr>
        <w:t>项目经费</w:t>
      </w:r>
      <w:r>
        <w:rPr>
          <w:rFonts w:hint="default" w:ascii="Times New Roman" w:hAnsi="Times New Roman" w:eastAsia="仿宋_GB2312" w:cs="Times New Roman"/>
          <w:color w:val="auto"/>
          <w:sz w:val="32"/>
          <w:szCs w:val="32"/>
          <w:highlight w:val="none"/>
        </w:rPr>
        <w:t>管理中，存在违反规定安排</w:t>
      </w:r>
      <w:r>
        <w:rPr>
          <w:rFonts w:hint="eastAsia" w:ascii="Times New Roman" w:hAnsi="Times New Roman" w:eastAsia="仿宋_GB2312"/>
          <w:color w:val="auto"/>
          <w:sz w:val="32"/>
          <w:szCs w:val="32"/>
          <w:highlight w:val="none"/>
          <w:lang w:eastAsia="zh-CN"/>
        </w:rPr>
        <w:t>经费</w:t>
      </w:r>
      <w:r>
        <w:rPr>
          <w:rFonts w:hint="default" w:ascii="Times New Roman" w:hAnsi="Times New Roman" w:eastAsia="仿宋_GB2312" w:cs="Times New Roman"/>
          <w:color w:val="auto"/>
          <w:sz w:val="32"/>
          <w:szCs w:val="32"/>
          <w:highlight w:val="none"/>
        </w:rPr>
        <w:t>或其他滥用职权、玩忽职守、徇私舞弊等违法违规行为的，依法责令改正，对负有责任的领导人员和直接责任人员依法给予处分；涉嫌犯罪的，依法移送有关机关处理。</w:t>
      </w:r>
    </w:p>
    <w:p w14:paraId="2E60AFC2">
      <w:pPr>
        <w:keepNext w:val="0"/>
        <w:keepLines w:val="0"/>
        <w:pageBreakBefore w:val="0"/>
        <w:widowControl w:val="0"/>
        <w:shd w:val="clear" w:color="auto"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highlight w:val="none"/>
        </w:rPr>
      </w:pPr>
    </w:p>
    <w:p w14:paraId="707A683A">
      <w:pPr>
        <w:keepNext w:val="0"/>
        <w:keepLines w:val="0"/>
        <w:pageBreakBefore w:val="0"/>
        <w:widowControl w:val="0"/>
        <w:shd w:val="clear" w:color="auto" w:fill="auto"/>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则</w:t>
      </w:r>
    </w:p>
    <w:p w14:paraId="678B79F2">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color w:val="auto"/>
          <w:highlight w:val="none"/>
        </w:rPr>
      </w:pPr>
    </w:p>
    <w:p w14:paraId="156207B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val="en" w:eastAsia="zh-CN"/>
        </w:rPr>
        <w:t>四</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本办法由</w:t>
      </w:r>
      <w:r>
        <w:rPr>
          <w:rFonts w:hint="eastAsia"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科技厅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财政厅负责解释。</w:t>
      </w:r>
    </w:p>
    <w:p w14:paraId="131A4C7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val="en" w:eastAsia="zh-CN"/>
        </w:rPr>
        <w:t>五</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自治区</w:t>
      </w:r>
      <w:r>
        <w:rPr>
          <w:rFonts w:hint="default" w:ascii="Times New Roman" w:hAnsi="Times New Roman" w:eastAsia="仿宋_GB2312" w:cs="Times New Roman"/>
          <w:color w:val="auto"/>
          <w:sz w:val="32"/>
          <w:szCs w:val="32"/>
          <w:highlight w:val="none"/>
        </w:rPr>
        <w:t>科技厅、财政厅可根据本办法制订各</w:t>
      </w:r>
      <w:r>
        <w:rPr>
          <w:rFonts w:hint="eastAsia" w:ascii="Times New Roman" w:hAnsi="Times New Roman" w:eastAsia="仿宋_GB2312" w:cs="Times New Roman"/>
          <w:color w:val="auto"/>
          <w:sz w:val="32"/>
          <w:szCs w:val="32"/>
          <w:highlight w:val="none"/>
          <w:lang w:eastAsia="zh-CN"/>
        </w:rPr>
        <w:t>类科技</w:t>
      </w:r>
      <w:r>
        <w:rPr>
          <w:rFonts w:hint="default" w:ascii="Times New Roman" w:hAnsi="Times New Roman" w:eastAsia="仿宋_GB2312" w:cs="Times New Roman"/>
          <w:color w:val="auto"/>
          <w:sz w:val="32"/>
          <w:szCs w:val="32"/>
          <w:highlight w:val="none"/>
        </w:rPr>
        <w:t>计划</w:t>
      </w:r>
      <w:r>
        <w:rPr>
          <w:rFonts w:hint="eastAsia" w:ascii="Times New Roman" w:hAnsi="Times New Roman" w:eastAsia="仿宋_GB2312" w:cs="Times New Roman"/>
          <w:color w:val="auto"/>
          <w:sz w:val="32"/>
          <w:szCs w:val="32"/>
          <w:highlight w:val="none"/>
          <w:lang w:val="en-US" w:eastAsia="zh-CN"/>
        </w:rPr>
        <w:t>经费</w:t>
      </w:r>
      <w:r>
        <w:rPr>
          <w:rFonts w:hint="default" w:ascii="Times New Roman" w:hAnsi="Times New Roman" w:eastAsia="仿宋_GB2312" w:cs="Times New Roman"/>
          <w:color w:val="auto"/>
          <w:sz w:val="32"/>
          <w:szCs w:val="32"/>
          <w:highlight w:val="none"/>
        </w:rPr>
        <w:t>使用管理的实施细则。</w:t>
      </w:r>
    </w:p>
    <w:p w14:paraId="5D6D3BC8">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eastAsia="仿宋_GB2312"/>
          <w:color w:val="auto"/>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val="en" w:eastAsia="zh-CN"/>
        </w:rPr>
        <w:t>六</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
        </w:rPr>
        <w:t xml:space="preserve">  </w:t>
      </w:r>
      <w:r>
        <w:rPr>
          <w:rFonts w:hint="default" w:ascii="Times New Roman" w:hAnsi="Times New Roman" w:eastAsia="仿宋_GB2312" w:cs="Times New Roman"/>
          <w:color w:val="auto"/>
          <w:sz w:val="32"/>
          <w:szCs w:val="32"/>
          <w:highlight w:val="none"/>
        </w:rPr>
        <w:t>本办法自发布之日起施行</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自</w:t>
      </w:r>
      <w:r>
        <w:rPr>
          <w:rFonts w:hint="default" w:ascii="Times New Roman" w:hAnsi="Times New Roman" w:eastAsia="仿宋_GB2312" w:cs="Times New Roman"/>
          <w:color w:val="auto"/>
          <w:sz w:val="32"/>
          <w:szCs w:val="32"/>
          <w:highlight w:val="none"/>
          <w:lang w:eastAsia="zh-CN"/>
        </w:rPr>
        <w:t>本办法施行</w:t>
      </w:r>
      <w:r>
        <w:rPr>
          <w:rFonts w:hint="eastAsia" w:ascii="Times New Roman" w:hAnsi="Times New Roman" w:eastAsia="仿宋_GB2312" w:cs="Times New Roman"/>
          <w:color w:val="auto"/>
          <w:sz w:val="32"/>
          <w:szCs w:val="32"/>
          <w:highlight w:val="none"/>
          <w:lang w:val="en-US" w:eastAsia="zh-CN"/>
        </w:rPr>
        <w:t>之日起，</w:t>
      </w:r>
      <w:r>
        <w:rPr>
          <w:rFonts w:hint="default" w:ascii="Times New Roman" w:hAnsi="Times New Roman" w:eastAsia="仿宋_GB2312" w:cs="Times New Roman"/>
          <w:color w:val="auto"/>
          <w:sz w:val="32"/>
          <w:szCs w:val="32"/>
          <w:highlight w:val="none"/>
          <w:lang w:eastAsia="zh-CN"/>
        </w:rPr>
        <w:t>《广西壮族自治区本级技术研究与开发经费管理办法》（桂财教〔2007〕38号）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rPr>
        <w:t>广西科技重大专项经费管理办法（试行）</w:t>
      </w:r>
      <w:r>
        <w:rPr>
          <w:rFonts w:hint="default" w:ascii="Times New Roman" w:hAnsi="Times New Roman" w:eastAsia="仿宋_GB2312" w:cs="Times New Roman"/>
          <w:color w:val="auto"/>
          <w:sz w:val="32"/>
          <w:szCs w:val="32"/>
          <w:highlight w:val="none"/>
          <w:lang w:eastAsia="zh-CN"/>
        </w:rPr>
        <w:t>》（桂财教〔20</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7〕</w:t>
      </w:r>
      <w:r>
        <w:rPr>
          <w:rFonts w:hint="eastAsia"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color w:val="auto"/>
          <w:sz w:val="32"/>
          <w:szCs w:val="32"/>
          <w:highlight w:val="none"/>
          <w:lang w:eastAsia="zh-CN"/>
        </w:rPr>
        <w:t>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olor w:val="auto"/>
          <w:sz w:val="32"/>
          <w:szCs w:val="32"/>
          <w:highlight w:val="none"/>
        </w:rPr>
        <w:t>广西重点研发计划经费管理办法（试行）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（桂财</w:t>
      </w:r>
      <w:r>
        <w:rPr>
          <w:rFonts w:hint="eastAsia" w:ascii="Times New Roman" w:hAnsi="Times New Roman" w:eastAsia="仿宋_GB2312" w:cs="Times New Roman"/>
          <w:color w:val="auto"/>
          <w:sz w:val="32"/>
          <w:szCs w:val="32"/>
          <w:highlight w:val="none"/>
          <w:lang w:eastAsia="zh-CN"/>
        </w:rPr>
        <w:t>规</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7〕</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号）</w:t>
      </w:r>
      <w:r>
        <w:rPr>
          <w:rFonts w:hint="eastAsia" w:ascii="Times New Roman" w:hAnsi="Times New Roman" w:eastAsia="仿宋_GB2312" w:cs="Times New Roman"/>
          <w:color w:val="auto"/>
          <w:sz w:val="32"/>
          <w:szCs w:val="32"/>
          <w:highlight w:val="none"/>
          <w:lang w:eastAsia="zh-CN"/>
        </w:rPr>
        <w:t>、《广西壮族自治区科技项目结余资金管理细则（暂行）》</w:t>
      </w:r>
      <w:r>
        <w:rPr>
          <w:rFonts w:hint="default" w:ascii="Times New Roman" w:hAnsi="Times New Roman" w:eastAsia="仿宋_GB2312" w:cs="Times New Roman"/>
          <w:color w:val="auto"/>
          <w:sz w:val="32"/>
          <w:szCs w:val="32"/>
          <w:highlight w:val="none"/>
          <w:lang w:eastAsia="zh-CN"/>
        </w:rPr>
        <w:t>（桂</w:t>
      </w:r>
      <w:r>
        <w:rPr>
          <w:rFonts w:hint="eastAsia" w:ascii="Times New Roman" w:hAnsi="Times New Roman" w:eastAsia="仿宋_GB2312" w:cs="Times New Roman"/>
          <w:color w:val="auto"/>
          <w:sz w:val="32"/>
          <w:szCs w:val="32"/>
          <w:highlight w:val="none"/>
          <w:lang w:eastAsia="zh-CN"/>
        </w:rPr>
        <w:t>科政字</w:t>
      </w:r>
      <w:r>
        <w:rPr>
          <w:rFonts w:hint="default" w:ascii="Times New Roman" w:hAnsi="Times New Roman" w:eastAsia="仿宋_GB2312" w:cs="Times New Roman"/>
          <w:color w:val="auto"/>
          <w:sz w:val="32"/>
          <w:szCs w:val="32"/>
          <w:highlight w:val="none"/>
          <w:lang w:eastAsia="zh-CN"/>
        </w:rPr>
        <w:t>〔20</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lang w:eastAsia="zh-CN"/>
        </w:rPr>
        <w:t>号）</w:t>
      </w:r>
      <w:r>
        <w:rPr>
          <w:rFonts w:hint="eastAsia" w:ascii="Times New Roman" w:hAnsi="Times New Roman" w:eastAsia="仿宋_GB2312" w:cs="Times New Roman"/>
          <w:color w:val="auto"/>
          <w:sz w:val="32"/>
          <w:szCs w:val="32"/>
          <w:highlight w:val="none"/>
          <w:lang w:val="en-US" w:eastAsia="zh-CN"/>
        </w:rPr>
        <w:t>同时废止。</w:t>
      </w:r>
    </w:p>
    <w:p w14:paraId="1F5CDE74">
      <w:pPr>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r>
        <w:rPr>
          <w:rFonts w:ascii="Times New Roman" w:hAnsi="Times New Roman" w:eastAsia="仿宋_GB2312"/>
          <w:color w:val="auto"/>
          <w:sz w:val="32"/>
          <w:highlight w:val="none"/>
        </w:rPr>
        <w:br w:type="page"/>
      </w:r>
    </w:p>
    <w:p w14:paraId="24D08972">
      <w:pPr>
        <w:pStyle w:val="2"/>
        <w:rPr>
          <w:rFonts w:ascii="Times New Roman" w:hAnsi="Times New Roman" w:eastAsia="仿宋_GB2312"/>
          <w:color w:val="auto"/>
          <w:sz w:val="32"/>
          <w:highlight w:val="none"/>
        </w:rPr>
      </w:pPr>
    </w:p>
    <w:p w14:paraId="1642E329">
      <w:pPr>
        <w:pStyle w:val="4"/>
        <w:rPr>
          <w:rFonts w:ascii="Times New Roman" w:hAnsi="Times New Roman" w:eastAsia="仿宋_GB2312"/>
          <w:color w:val="auto"/>
          <w:sz w:val="32"/>
          <w:highlight w:val="none"/>
        </w:rPr>
      </w:pPr>
    </w:p>
    <w:p w14:paraId="63BAAD61">
      <w:pPr>
        <w:rPr>
          <w:rFonts w:ascii="Times New Roman" w:hAnsi="Times New Roman" w:eastAsia="仿宋_GB2312"/>
          <w:color w:val="auto"/>
          <w:sz w:val="32"/>
          <w:highlight w:val="none"/>
        </w:rPr>
      </w:pPr>
    </w:p>
    <w:p w14:paraId="7BA21C18">
      <w:pPr>
        <w:pStyle w:val="2"/>
        <w:rPr>
          <w:rFonts w:ascii="Times New Roman" w:hAnsi="Times New Roman" w:eastAsia="仿宋_GB2312"/>
          <w:color w:val="auto"/>
          <w:sz w:val="32"/>
          <w:highlight w:val="none"/>
        </w:rPr>
      </w:pPr>
    </w:p>
    <w:p w14:paraId="5387CB70">
      <w:pPr>
        <w:pStyle w:val="4"/>
        <w:rPr>
          <w:rFonts w:ascii="Times New Roman" w:hAnsi="Times New Roman" w:eastAsia="仿宋_GB2312"/>
          <w:color w:val="auto"/>
          <w:sz w:val="32"/>
          <w:highlight w:val="none"/>
        </w:rPr>
      </w:pPr>
    </w:p>
    <w:p w14:paraId="1B2138C1">
      <w:pPr>
        <w:rPr>
          <w:rFonts w:ascii="Times New Roman" w:hAnsi="Times New Roman" w:eastAsia="仿宋_GB2312"/>
          <w:color w:val="auto"/>
          <w:sz w:val="32"/>
          <w:highlight w:val="none"/>
        </w:rPr>
      </w:pPr>
    </w:p>
    <w:p w14:paraId="0B4CFC69">
      <w:pPr>
        <w:pStyle w:val="2"/>
        <w:rPr>
          <w:rFonts w:ascii="Times New Roman" w:hAnsi="Times New Roman" w:eastAsia="仿宋_GB2312"/>
          <w:color w:val="auto"/>
          <w:sz w:val="32"/>
          <w:highlight w:val="none"/>
        </w:rPr>
      </w:pPr>
    </w:p>
    <w:p w14:paraId="3FBE9F46"/>
    <w:p w14:paraId="5D5D4538">
      <w:pPr>
        <w:pStyle w:val="2"/>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58C78FE8">
      <w:pPr>
        <w:pStyle w:val="4"/>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38B981FE">
      <w:pPr>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021C0F87">
      <w:pPr>
        <w:pStyle w:val="2"/>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1D4151A9">
      <w:pPr>
        <w:pStyle w:val="4"/>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29A277A7">
      <w:pPr>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742F793B">
      <w:pPr>
        <w:pStyle w:val="2"/>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1C7151E0">
      <w:pPr>
        <w:pStyle w:val="4"/>
        <w:keepNext w:val="0"/>
        <w:keepLines w:val="0"/>
        <w:pageBreakBefore w:val="0"/>
        <w:widowControl w:val="0"/>
        <w:kinsoku/>
        <w:wordWrap/>
        <w:overflowPunct/>
        <w:topLinePunct w:val="0"/>
        <w:bidi w:val="0"/>
        <w:snapToGrid/>
        <w:spacing w:line="240" w:lineRule="auto"/>
        <w:rPr>
          <w:rFonts w:hint="eastAsia" w:ascii="Times New Roman" w:hAnsi="Times New Roman" w:eastAsia="仿宋_GB2312"/>
          <w:color w:val="auto"/>
          <w:sz w:val="32"/>
          <w:highlight w:val="none"/>
          <w:lang w:eastAsia="zh-CN"/>
        </w:rPr>
      </w:pPr>
    </w:p>
    <w:p w14:paraId="3997C2A7">
      <w:pPr>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356ED6F0">
      <w:pPr>
        <w:pStyle w:val="2"/>
        <w:keepNext w:val="0"/>
        <w:keepLines w:val="0"/>
        <w:pageBreakBefore w:val="0"/>
        <w:widowControl w:val="0"/>
        <w:kinsoku/>
        <w:wordWrap/>
        <w:overflowPunct/>
        <w:topLinePunct w:val="0"/>
        <w:bidi w:val="0"/>
        <w:snapToGrid/>
        <w:spacing w:line="560" w:lineRule="exact"/>
        <w:rPr>
          <w:rFonts w:ascii="Times New Roman" w:hAnsi="Times New Roman" w:eastAsia="仿宋_GB2312"/>
          <w:color w:val="auto"/>
          <w:sz w:val="32"/>
          <w:highlight w:val="none"/>
        </w:rPr>
      </w:pPr>
    </w:p>
    <w:p w14:paraId="7135ED2C"/>
    <w:p w14:paraId="5C1AC8E2">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baseline"/>
      </w:pPr>
    </w:p>
    <w:p w14:paraId="67902D1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pPr>
    </w:p>
    <w:tbl>
      <w:tblPr>
        <w:tblStyle w:val="11"/>
        <w:tblW w:w="90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68CAAA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1" w:type="dxa"/>
            <w:noWrap w:val="0"/>
            <w:vAlign w:val="center"/>
          </w:tcPr>
          <w:p w14:paraId="03645004">
            <w:pPr>
              <w:keepNext w:val="0"/>
              <w:keepLines w:val="0"/>
              <w:pageBreakBefore w:val="0"/>
              <w:widowControl w:val="0"/>
              <w:kinsoku/>
              <w:wordWrap/>
              <w:overflowPunct/>
              <w:topLinePunct w:val="0"/>
              <w:autoSpaceDE/>
              <w:autoSpaceDN/>
              <w:bidi w:val="0"/>
              <w:adjustRightInd/>
              <w:snapToGrid/>
              <w:spacing w:line="360" w:lineRule="exact"/>
              <w:ind w:left="316" w:leftChars="100" w:right="316" w:rightChars="100"/>
              <w:jc w:val="both"/>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default" w:eastAsia="仿宋_GB2312"/>
                <w:sz w:val="28"/>
                <w:szCs w:val="28"/>
                <w:lang w:val="en"/>
              </w:rPr>
              <w:t xml:space="preserve">  </w:t>
            </w:r>
            <w:r>
              <w:rPr>
                <w:rFonts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default" w:ascii="Times New Roman" w:hAnsi="Times New Roman"/>
                <w:sz w:val="28"/>
                <w:szCs w:val="28"/>
                <w:lang w:val="en" w:eastAsia="zh-CN"/>
              </w:rPr>
              <w:t>12</w:t>
            </w:r>
            <w:r>
              <w:rPr>
                <w:rFonts w:ascii="Times New Roman" w:hAnsi="Times New Roman" w:eastAsia="仿宋_GB2312"/>
                <w:sz w:val="28"/>
                <w:szCs w:val="28"/>
              </w:rPr>
              <w:t>月</w:t>
            </w:r>
            <w:r>
              <w:rPr>
                <w:rFonts w:hint="default" w:ascii="Times New Roman" w:hAnsi="Times New Roman"/>
                <w:sz w:val="28"/>
                <w:szCs w:val="28"/>
                <w:lang w:val="en" w:eastAsia="zh-CN"/>
              </w:rPr>
              <w:t>15</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09C0B5B3">
      <w:pPr>
        <w:keepNext w:val="0"/>
        <w:keepLines w:val="0"/>
        <w:pageBreakBefore w:val="0"/>
        <w:widowControl w:val="0"/>
        <w:kinsoku/>
        <w:wordWrap/>
        <w:overflowPunct/>
        <w:topLinePunct w:val="0"/>
        <w:autoSpaceDE/>
        <w:autoSpaceDN/>
        <w:bidi w:val="0"/>
        <w:adjustRightInd/>
        <w:snapToGrid/>
        <w:spacing w:line="100" w:lineRule="exact"/>
        <w:textAlignment w:val="auto"/>
        <w:rPr>
          <w:color w:val="auto"/>
          <w:highlight w:val="none"/>
        </w:rPr>
      </w:pPr>
      <w:r>
        <w:rPr>
          <w:rFonts w:hint="eastAsia" w:ascii="Times New Roman" w:hAnsi="Times New Roman" w:eastAsia="仿宋_GB2312"/>
          <w:color w:val="auto"/>
          <w:sz w:val="32"/>
          <w:highlight w:val="none"/>
          <w:lang w:eastAsia="zh-CN"/>
        </w:rPr>
        <w:drawing>
          <wp:anchor distT="0" distB="0" distL="114300" distR="114300" simplePos="0" relativeHeight="251660288" behindDoc="0" locked="0" layoutInCell="1" allowOverlap="1">
            <wp:simplePos x="0" y="0"/>
            <wp:positionH relativeFrom="column">
              <wp:posOffset>3832225</wp:posOffset>
            </wp:positionH>
            <wp:positionV relativeFrom="paragraph">
              <wp:posOffset>99695</wp:posOffset>
            </wp:positionV>
            <wp:extent cx="1790700" cy="476250"/>
            <wp:effectExtent l="0" t="0" r="7620" b="11430"/>
            <wp:wrapSquare wrapText="bothSides"/>
            <wp:docPr id="2" name="图片 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sectPr>
      <w:footerReference r:id="rId3" w:type="default"/>
      <w:pgSz w:w="11906" w:h="16838"/>
      <w:pgMar w:top="2098" w:right="1417" w:bottom="1417" w:left="1531" w:header="851" w:footer="1417"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3D2F">
    <w:pPr>
      <w:pStyle w:val="7"/>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4573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1EE4573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F043E"/>
    <w:rsid w:val="07907E56"/>
    <w:rsid w:val="09F72DBF"/>
    <w:rsid w:val="1BDC2206"/>
    <w:rsid w:val="1ED78892"/>
    <w:rsid w:val="24BF065D"/>
    <w:rsid w:val="287E327F"/>
    <w:rsid w:val="2BD55B3B"/>
    <w:rsid w:val="2DDF95BD"/>
    <w:rsid w:val="2EEFDCEE"/>
    <w:rsid w:val="2FEF00C9"/>
    <w:rsid w:val="33AF1673"/>
    <w:rsid w:val="34A3D1DA"/>
    <w:rsid w:val="34B64DBF"/>
    <w:rsid w:val="369F3B4A"/>
    <w:rsid w:val="37F75552"/>
    <w:rsid w:val="3ABF5346"/>
    <w:rsid w:val="3AEE4A92"/>
    <w:rsid w:val="3BBE2684"/>
    <w:rsid w:val="3BF78A32"/>
    <w:rsid w:val="3C1F8AEE"/>
    <w:rsid w:val="3D6F043E"/>
    <w:rsid w:val="3EBF7A7C"/>
    <w:rsid w:val="3ED6644B"/>
    <w:rsid w:val="3F9FFA21"/>
    <w:rsid w:val="3FBFA542"/>
    <w:rsid w:val="3FDE5579"/>
    <w:rsid w:val="46FC90FA"/>
    <w:rsid w:val="4EB7D8F2"/>
    <w:rsid w:val="4EC77642"/>
    <w:rsid w:val="4F7F1532"/>
    <w:rsid w:val="555EB2F8"/>
    <w:rsid w:val="55FF6BB9"/>
    <w:rsid w:val="57678268"/>
    <w:rsid w:val="57FD49A9"/>
    <w:rsid w:val="5ACBA7B3"/>
    <w:rsid w:val="5BD3B586"/>
    <w:rsid w:val="5EFCF464"/>
    <w:rsid w:val="5F5868C7"/>
    <w:rsid w:val="5F9DDF76"/>
    <w:rsid w:val="5FF4ABDA"/>
    <w:rsid w:val="65F53983"/>
    <w:rsid w:val="66022244"/>
    <w:rsid w:val="69E60350"/>
    <w:rsid w:val="6BD45A50"/>
    <w:rsid w:val="6DBBA8A6"/>
    <w:rsid w:val="6E6F5B9B"/>
    <w:rsid w:val="6F7E6554"/>
    <w:rsid w:val="6F9F5D8A"/>
    <w:rsid w:val="6FF70BD3"/>
    <w:rsid w:val="6FFB4299"/>
    <w:rsid w:val="73F7A1D0"/>
    <w:rsid w:val="73FF28A9"/>
    <w:rsid w:val="75200E4D"/>
    <w:rsid w:val="75FF6BCF"/>
    <w:rsid w:val="765FC965"/>
    <w:rsid w:val="767799A8"/>
    <w:rsid w:val="76FF957E"/>
    <w:rsid w:val="775F5302"/>
    <w:rsid w:val="77FD742C"/>
    <w:rsid w:val="78B9091F"/>
    <w:rsid w:val="78D7B4D8"/>
    <w:rsid w:val="79CD0CEC"/>
    <w:rsid w:val="79E18F61"/>
    <w:rsid w:val="79FF9B0C"/>
    <w:rsid w:val="7B690CED"/>
    <w:rsid w:val="7B7963CF"/>
    <w:rsid w:val="7BDF636A"/>
    <w:rsid w:val="7BE33E32"/>
    <w:rsid w:val="7D7BE3A3"/>
    <w:rsid w:val="7DDB1CA2"/>
    <w:rsid w:val="7DFB093D"/>
    <w:rsid w:val="7DFFC27E"/>
    <w:rsid w:val="7DFFD3E0"/>
    <w:rsid w:val="7E1A4290"/>
    <w:rsid w:val="7EFAEEBA"/>
    <w:rsid w:val="7F267F33"/>
    <w:rsid w:val="7F674F07"/>
    <w:rsid w:val="7F7782A0"/>
    <w:rsid w:val="7F7BC3D3"/>
    <w:rsid w:val="7F9E939B"/>
    <w:rsid w:val="7FAF408B"/>
    <w:rsid w:val="7FBA2BF3"/>
    <w:rsid w:val="7FC4CE57"/>
    <w:rsid w:val="7FDB4A4A"/>
    <w:rsid w:val="7FDF05E4"/>
    <w:rsid w:val="7FE577D7"/>
    <w:rsid w:val="7FF6CADE"/>
    <w:rsid w:val="7FFF7C4B"/>
    <w:rsid w:val="9B175B1B"/>
    <w:rsid w:val="9EEBEE80"/>
    <w:rsid w:val="AAD790F3"/>
    <w:rsid w:val="ABF88655"/>
    <w:rsid w:val="AD3F909A"/>
    <w:rsid w:val="AFF341A3"/>
    <w:rsid w:val="B7163069"/>
    <w:rsid w:val="B77793B7"/>
    <w:rsid w:val="B7B7CD85"/>
    <w:rsid w:val="BBEFACE7"/>
    <w:rsid w:val="BDFA872D"/>
    <w:rsid w:val="BF1DDBCB"/>
    <w:rsid w:val="BF1EA05D"/>
    <w:rsid w:val="C6FFE0D0"/>
    <w:rsid w:val="CBFF7D1C"/>
    <w:rsid w:val="CEFFE975"/>
    <w:rsid w:val="CFE7897A"/>
    <w:rsid w:val="D5DB0EAC"/>
    <w:rsid w:val="D7FFF750"/>
    <w:rsid w:val="D8FBEB3E"/>
    <w:rsid w:val="DBF49001"/>
    <w:rsid w:val="DD5B75AA"/>
    <w:rsid w:val="DDE5F4E6"/>
    <w:rsid w:val="DFCB686E"/>
    <w:rsid w:val="DFDBC1FB"/>
    <w:rsid w:val="DFDF1CC1"/>
    <w:rsid w:val="DFDF8E29"/>
    <w:rsid w:val="DFFF5A67"/>
    <w:rsid w:val="E3DDCE13"/>
    <w:rsid w:val="E4EFD16E"/>
    <w:rsid w:val="E6FB48E2"/>
    <w:rsid w:val="EAF5EAC5"/>
    <w:rsid w:val="EDF7D518"/>
    <w:rsid w:val="EDFD4C03"/>
    <w:rsid w:val="EEBB58DB"/>
    <w:rsid w:val="EEEB35E7"/>
    <w:rsid w:val="EEEF0074"/>
    <w:rsid w:val="EEEFF77D"/>
    <w:rsid w:val="EF7FB07D"/>
    <w:rsid w:val="EFF687A8"/>
    <w:rsid w:val="EFFF5616"/>
    <w:rsid w:val="F3ED978D"/>
    <w:rsid w:val="F4DBA149"/>
    <w:rsid w:val="F6BF1970"/>
    <w:rsid w:val="F7F5D17D"/>
    <w:rsid w:val="F9EC6FCB"/>
    <w:rsid w:val="FA341234"/>
    <w:rsid w:val="FA72BBBB"/>
    <w:rsid w:val="FA7F8190"/>
    <w:rsid w:val="FAF983AB"/>
    <w:rsid w:val="FBD7E051"/>
    <w:rsid w:val="FBFD98C0"/>
    <w:rsid w:val="FBFFA163"/>
    <w:rsid w:val="FCAD6FF8"/>
    <w:rsid w:val="FCEEB9AB"/>
    <w:rsid w:val="FDBA0C4E"/>
    <w:rsid w:val="FDEED9FA"/>
    <w:rsid w:val="FEDEAF63"/>
    <w:rsid w:val="FF573639"/>
    <w:rsid w:val="FF577B5C"/>
    <w:rsid w:val="FF7EB30F"/>
    <w:rsid w:val="FFB396AF"/>
    <w:rsid w:val="FFD778AD"/>
    <w:rsid w:val="FFEB13F6"/>
    <w:rsid w:val="FFEDDC02"/>
    <w:rsid w:val="FFFD06AF"/>
    <w:rsid w:val="FFFD4B34"/>
    <w:rsid w:val="FFFD5C39"/>
    <w:rsid w:val="FFFF60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annotation text"/>
    <w:basedOn w:val="1"/>
    <w:uiPriority w:val="0"/>
    <w:rPr>
      <w:rFonts w:ascii="Times New Roman" w:hAnsi="Times New Roman" w:eastAsia="宋体"/>
      <w:sz w:val="28"/>
    </w:rPr>
  </w:style>
  <w:style w:type="paragraph" w:styleId="6">
    <w:name w:val="Date"/>
    <w:basedOn w:val="1"/>
    <w:next w:val="1"/>
    <w:qFormat/>
    <w:uiPriority w:val="0"/>
    <w:pPr>
      <w:ind w:left="100" w:leftChars="2500"/>
    </w:pPr>
  </w:style>
  <w:style w:type="paragraph" w:styleId="7">
    <w:name w:val="footer"/>
    <w:basedOn w:val="1"/>
    <w:next w:val="6"/>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1"/>
    <w:qFormat/>
    <w:uiPriority w:val="0"/>
    <w:pPr>
      <w:widowControl w:val="0"/>
      <w:spacing w:line="540" w:lineRule="exact"/>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5685</Words>
  <Characters>5722</Characters>
  <Lines>0</Lines>
  <Paragraphs>0</Paragraphs>
  <TotalTime>18.6666666666667</TotalTime>
  <ScaleCrop>false</ScaleCrop>
  <LinksUpToDate>false</LinksUpToDate>
  <CharactersWithSpaces>5797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2025-08-07T00:44:00Z</dcterms:created>
  <dc:creator>gxxc</dc:creator>
  <cp:lastModifiedBy>墨迹夏子</cp:lastModifiedBy>
  <cp:lastPrinted>2025-12-15T20:52:38Z</cp:lastPrinted>
  <dcterms:modified xsi:type="dcterms:W3CDTF">2025-12-16T03:24:37Z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773EE4E2795842B6AD9B25D0D503CF08_13</vt:lpwstr>
  </property>
</Properties>
</file>