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1E00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eastAsia" w:ascii="CG Times" w:hAnsi="CG Times" w:eastAsia="方正仿宋简体"/>
          <w:color w:val="000000"/>
          <w:spacing w:val="10"/>
        </w:rPr>
      </w:pPr>
    </w:p>
    <w:p w14:paraId="769C51A5">
      <w:pPr>
        <w:pStyle w:val="2"/>
        <w:keepNext w:val="0"/>
        <w:keepLines w:val="0"/>
        <w:pageBreakBefore w:val="0"/>
        <w:widowControl w:val="0"/>
        <w:kinsoku/>
        <w:wordWrap/>
        <w:overflowPunct/>
        <w:topLinePunct w:val="0"/>
        <w:bidi w:val="0"/>
        <w:adjustRightInd w:val="0"/>
        <w:spacing w:line="560" w:lineRule="exact"/>
        <w:textAlignment w:val="auto"/>
        <w:rPr>
          <w:rFonts w:hint="eastAsia"/>
        </w:rPr>
      </w:pPr>
    </w:p>
    <w:p w14:paraId="1B1BFB9B">
      <w:pPr>
        <w:pStyle w:val="4"/>
        <w:keepNext w:val="0"/>
        <w:keepLines w:val="0"/>
        <w:pageBreakBefore w:val="0"/>
        <w:widowControl w:val="0"/>
        <w:kinsoku/>
        <w:wordWrap/>
        <w:overflowPunct/>
        <w:topLinePunct w:val="0"/>
        <w:bidi w:val="0"/>
        <w:spacing w:line="560" w:lineRule="exact"/>
        <w:ind w:left="0" w:leftChars="0" w:firstLine="0" w:firstLineChars="0"/>
        <w:textAlignment w:val="auto"/>
        <w:rPr>
          <w:rFonts w:hint="eastAsia"/>
        </w:rPr>
      </w:pPr>
    </w:p>
    <w:tbl>
      <w:tblPr>
        <w:tblStyle w:val="17"/>
        <w:tblW w:w="9040" w:type="dxa"/>
        <w:jc w:val="center"/>
        <w:tblLayout w:type="autofit"/>
        <w:tblCellMar>
          <w:top w:w="0" w:type="dxa"/>
          <w:left w:w="108" w:type="dxa"/>
          <w:bottom w:w="0" w:type="dxa"/>
          <w:right w:w="108" w:type="dxa"/>
        </w:tblCellMar>
      </w:tblPr>
      <w:tblGrid>
        <w:gridCol w:w="7226"/>
        <w:gridCol w:w="1814"/>
      </w:tblGrid>
      <w:tr w14:paraId="32E62EB7">
        <w:tblPrEx>
          <w:tblCellMar>
            <w:top w:w="0" w:type="dxa"/>
            <w:left w:w="108" w:type="dxa"/>
            <w:bottom w:w="0" w:type="dxa"/>
            <w:right w:w="108" w:type="dxa"/>
          </w:tblCellMar>
        </w:tblPrEx>
        <w:trPr>
          <w:jc w:val="center"/>
        </w:trPr>
        <w:tc>
          <w:tcPr>
            <w:tcW w:w="7226" w:type="dxa"/>
            <w:noWrap w:val="0"/>
            <w:tcMar>
              <w:left w:w="0" w:type="dxa"/>
              <w:right w:w="0" w:type="dxa"/>
            </w:tcMar>
            <w:vAlign w:val="center"/>
          </w:tcPr>
          <w:p w14:paraId="4A5CF1A9">
            <w:pPr>
              <w:keepNext w:val="0"/>
              <w:keepLines w:val="0"/>
              <w:pageBreakBefore w:val="0"/>
              <w:widowControl w:val="0"/>
              <w:kinsoku/>
              <w:wordWrap/>
              <w:overflowPunct/>
              <w:topLinePunct w:val="0"/>
              <w:autoSpaceDE/>
              <w:autoSpaceDN/>
              <w:bidi w:val="0"/>
              <w:adjustRightInd/>
              <w:snapToGrid/>
              <w:spacing w:line="840" w:lineRule="exact"/>
              <w:ind w:left="0" w:leftChars="0" w:right="42" w:rightChars="20" w:firstLine="0" w:firstLineChars="0"/>
              <w:jc w:val="distribute"/>
              <w:textAlignment w:val="auto"/>
              <w:rPr>
                <w:rFonts w:hint="eastAsia" w:ascii="方正小标宋简体" w:eastAsia="方正小标宋简体"/>
                <w:color w:val="FF0000"/>
                <w:w w:val="85"/>
                <w:sz w:val="60"/>
                <w:szCs w:val="60"/>
              </w:rPr>
            </w:pPr>
            <w:r>
              <w:rPr>
                <w:rFonts w:hint="eastAsia" w:ascii="方正小标宋简体" w:eastAsia="方正小标宋简体"/>
                <w:color w:val="FF0000"/>
                <w:w w:val="85"/>
                <w:sz w:val="60"/>
                <w:szCs w:val="60"/>
              </w:rPr>
              <w:t>广西壮族自治区科学技术厅</w:t>
            </w:r>
          </w:p>
        </w:tc>
        <w:tc>
          <w:tcPr>
            <w:tcW w:w="1814" w:type="dxa"/>
            <w:vMerge w:val="restart"/>
            <w:noWrap w:val="0"/>
            <w:tcMar>
              <w:left w:w="0" w:type="dxa"/>
              <w:right w:w="0" w:type="dxa"/>
            </w:tcMar>
            <w:vAlign w:val="center"/>
          </w:tcPr>
          <w:p w14:paraId="46158C17">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rPr>
                <w:rFonts w:hint="eastAsia" w:ascii="方正小标宋简体" w:eastAsia="方正小标宋简体"/>
                <w:color w:val="FF0000"/>
                <w:sz w:val="86"/>
                <w:szCs w:val="86"/>
              </w:rPr>
            </w:pPr>
            <w:r>
              <w:rPr>
                <w:rFonts w:hint="eastAsia" w:ascii="方正小标宋简体" w:eastAsia="方正小标宋简体"/>
                <w:color w:val="FF0000"/>
                <w:sz w:val="86"/>
                <w:szCs w:val="86"/>
              </w:rPr>
              <w:t>文件</w:t>
            </w:r>
          </w:p>
        </w:tc>
      </w:tr>
      <w:tr w14:paraId="34584A45">
        <w:tblPrEx>
          <w:tblCellMar>
            <w:top w:w="0" w:type="dxa"/>
            <w:left w:w="108" w:type="dxa"/>
            <w:bottom w:w="0" w:type="dxa"/>
            <w:right w:w="108" w:type="dxa"/>
          </w:tblCellMar>
        </w:tblPrEx>
        <w:trPr>
          <w:jc w:val="center"/>
        </w:trPr>
        <w:tc>
          <w:tcPr>
            <w:tcW w:w="7226" w:type="dxa"/>
            <w:noWrap w:val="0"/>
            <w:tcMar>
              <w:left w:w="0" w:type="dxa"/>
              <w:right w:w="0" w:type="dxa"/>
            </w:tcMar>
            <w:vAlign w:val="center"/>
          </w:tcPr>
          <w:p w14:paraId="1768FC7D">
            <w:pPr>
              <w:keepNext w:val="0"/>
              <w:keepLines w:val="0"/>
              <w:pageBreakBefore w:val="0"/>
              <w:widowControl w:val="0"/>
              <w:kinsoku/>
              <w:wordWrap/>
              <w:overflowPunct/>
              <w:topLinePunct w:val="0"/>
              <w:autoSpaceDE/>
              <w:autoSpaceDN/>
              <w:bidi w:val="0"/>
              <w:adjustRightInd/>
              <w:snapToGrid/>
              <w:spacing w:line="840" w:lineRule="exact"/>
              <w:ind w:left="0" w:leftChars="0" w:right="42" w:rightChars="20" w:firstLine="0" w:firstLineChars="0"/>
              <w:jc w:val="distribute"/>
              <w:textAlignment w:val="auto"/>
              <w:rPr>
                <w:rFonts w:hint="eastAsia" w:ascii="方正小标宋简体" w:eastAsia="方正小标宋简体"/>
                <w:color w:val="FF0000"/>
                <w:w w:val="85"/>
                <w:sz w:val="60"/>
                <w:szCs w:val="60"/>
              </w:rPr>
            </w:pPr>
            <w:r>
              <w:rPr>
                <w:rFonts w:hint="eastAsia" w:ascii="方正小标宋简体" w:eastAsia="方正小标宋简体"/>
                <w:color w:val="FF0000"/>
                <w:w w:val="85"/>
                <w:sz w:val="60"/>
                <w:szCs w:val="60"/>
              </w:rPr>
              <w:t>广西壮族自治区</w:t>
            </w:r>
            <w:r>
              <w:rPr>
                <w:rFonts w:hint="eastAsia" w:ascii="方正小标宋简体" w:eastAsia="方正小标宋简体"/>
                <w:color w:val="FF0000"/>
                <w:w w:val="85"/>
                <w:sz w:val="60"/>
                <w:szCs w:val="60"/>
                <w:lang w:eastAsia="zh-CN"/>
              </w:rPr>
              <w:t>财政</w:t>
            </w:r>
            <w:r>
              <w:rPr>
                <w:rFonts w:hint="eastAsia" w:ascii="方正小标宋简体" w:eastAsia="方正小标宋简体"/>
                <w:color w:val="FF0000"/>
                <w:w w:val="85"/>
                <w:sz w:val="60"/>
                <w:szCs w:val="60"/>
              </w:rPr>
              <w:t>厅</w:t>
            </w:r>
          </w:p>
        </w:tc>
        <w:tc>
          <w:tcPr>
            <w:tcW w:w="1814" w:type="dxa"/>
            <w:vMerge w:val="continue"/>
            <w:noWrap w:val="0"/>
            <w:tcMar>
              <w:left w:w="0" w:type="dxa"/>
              <w:right w:w="0" w:type="dxa"/>
            </w:tcMar>
            <w:vAlign w:val="center"/>
          </w:tcPr>
          <w:p w14:paraId="0285EE91">
            <w:pPr>
              <w:jc w:val="center"/>
              <w:rPr>
                <w:rFonts w:hint="eastAsia" w:ascii="方正小标宋简体" w:eastAsia="方正小标宋简体"/>
                <w:color w:val="FF0000"/>
                <w:sz w:val="86"/>
                <w:szCs w:val="86"/>
              </w:rPr>
            </w:pPr>
          </w:p>
        </w:tc>
      </w:tr>
      <w:tr w14:paraId="0FB7C53B">
        <w:tblPrEx>
          <w:tblCellMar>
            <w:top w:w="0" w:type="dxa"/>
            <w:left w:w="108" w:type="dxa"/>
            <w:bottom w:w="0" w:type="dxa"/>
            <w:right w:w="108" w:type="dxa"/>
          </w:tblCellMar>
        </w:tblPrEx>
        <w:trPr>
          <w:jc w:val="center"/>
        </w:trPr>
        <w:tc>
          <w:tcPr>
            <w:tcW w:w="7226" w:type="dxa"/>
            <w:noWrap w:val="0"/>
            <w:tcMar>
              <w:left w:w="0" w:type="dxa"/>
              <w:right w:w="0" w:type="dxa"/>
            </w:tcMar>
            <w:vAlign w:val="center"/>
          </w:tcPr>
          <w:p w14:paraId="78EC7525">
            <w:pPr>
              <w:keepNext w:val="0"/>
              <w:keepLines w:val="0"/>
              <w:pageBreakBefore w:val="0"/>
              <w:widowControl w:val="0"/>
              <w:kinsoku/>
              <w:wordWrap/>
              <w:overflowPunct/>
              <w:topLinePunct w:val="0"/>
              <w:autoSpaceDE/>
              <w:autoSpaceDN/>
              <w:bidi w:val="0"/>
              <w:adjustRightInd/>
              <w:snapToGrid/>
              <w:spacing w:line="840" w:lineRule="exact"/>
              <w:ind w:left="0" w:leftChars="0" w:right="42" w:rightChars="20" w:firstLine="0" w:firstLineChars="0"/>
              <w:jc w:val="distribute"/>
              <w:textAlignment w:val="auto"/>
              <w:rPr>
                <w:rFonts w:hint="eastAsia" w:ascii="方正小标宋简体" w:eastAsia="方正小标宋简体"/>
                <w:color w:val="FF0000"/>
                <w:w w:val="80"/>
                <w:sz w:val="60"/>
                <w:szCs w:val="60"/>
                <w:lang w:eastAsia="zh-CN"/>
              </w:rPr>
            </w:pPr>
            <w:r>
              <w:rPr>
                <w:rFonts w:hint="eastAsia" w:ascii="方正小标宋简体" w:eastAsia="方正小标宋简体"/>
                <w:color w:val="FF0000"/>
                <w:spacing w:val="-23"/>
                <w:w w:val="75"/>
                <w:sz w:val="60"/>
                <w:szCs w:val="60"/>
                <w:lang w:eastAsia="zh-CN"/>
              </w:rPr>
              <w:t>国家金融监督管理总局广西监管</w:t>
            </w:r>
            <w:r>
              <w:rPr>
                <w:rFonts w:hint="eastAsia" w:ascii="方正小标宋简体" w:eastAsia="方正小标宋简体"/>
                <w:color w:val="FF0000"/>
                <w:spacing w:val="0"/>
                <w:w w:val="75"/>
                <w:sz w:val="60"/>
                <w:szCs w:val="60"/>
                <w:lang w:eastAsia="zh-CN"/>
              </w:rPr>
              <w:t>局</w:t>
            </w:r>
          </w:p>
        </w:tc>
        <w:tc>
          <w:tcPr>
            <w:tcW w:w="1814" w:type="dxa"/>
            <w:vMerge w:val="continue"/>
            <w:noWrap w:val="0"/>
            <w:tcMar>
              <w:left w:w="0" w:type="dxa"/>
              <w:right w:w="0" w:type="dxa"/>
            </w:tcMar>
            <w:vAlign w:val="center"/>
          </w:tcPr>
          <w:p w14:paraId="42B7136B">
            <w:pPr>
              <w:jc w:val="center"/>
              <w:rPr>
                <w:rFonts w:hint="eastAsia" w:ascii="方正小标宋简体" w:eastAsia="方正小标宋简体"/>
                <w:color w:val="FF0000"/>
                <w:sz w:val="86"/>
                <w:szCs w:val="86"/>
              </w:rPr>
            </w:pPr>
          </w:p>
        </w:tc>
      </w:tr>
    </w:tbl>
    <w:p w14:paraId="3914DEF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eastAsia="仿宋_GB2312"/>
          <w:color w:val="000000"/>
          <w:sz w:val="32"/>
          <w:szCs w:val="32"/>
        </w:rPr>
      </w:pPr>
    </w:p>
    <w:p w14:paraId="1DB002F1">
      <w:pPr>
        <w:jc w:val="center"/>
        <w:rPr>
          <w:rFonts w:hint="default" w:ascii="Times New Roman" w:hAnsi="Times New Roman" w:eastAsia="仿宋_GB2312" w:cs="Times New Roman"/>
          <w:bCs/>
          <w:snapToGrid w:val="0"/>
          <w:kern w:val="0"/>
          <w:sz w:val="32"/>
          <w:szCs w:val="32"/>
        </w:rPr>
      </w:pPr>
      <w:r>
        <w:rPr>
          <w:rFonts w:hint="default" w:ascii="Times New Roman" w:hAnsi="Times New Roman" w:eastAsia="仿宋_GB2312" w:cs="Times New Roman"/>
          <w:bCs/>
          <w:snapToGrid w:val="0"/>
          <w:kern w:val="0"/>
          <w:sz w:val="32"/>
          <w:szCs w:val="32"/>
        </w:rPr>
        <w:t>桂科</w:t>
      </w:r>
      <w:r>
        <w:rPr>
          <w:rFonts w:hint="eastAsia" w:ascii="Times New Roman" w:hAnsi="Times New Roman" w:eastAsia="仿宋_GB2312" w:cs="Times New Roman"/>
          <w:bCs/>
          <w:snapToGrid w:val="0"/>
          <w:kern w:val="0"/>
          <w:sz w:val="32"/>
          <w:szCs w:val="32"/>
          <w:lang w:eastAsia="zh-CN"/>
        </w:rPr>
        <w:t>规字</w:t>
      </w:r>
      <w:r>
        <w:rPr>
          <w:rFonts w:hint="default" w:ascii="Times New Roman" w:hAnsi="Times New Roman" w:eastAsia="仿宋_GB2312" w:cs="Times New Roman"/>
          <w:bCs/>
          <w:snapToGrid w:val="0"/>
          <w:kern w:val="0"/>
          <w:sz w:val="32"/>
          <w:szCs w:val="32"/>
        </w:rPr>
        <w:t>〔202</w:t>
      </w:r>
      <w:r>
        <w:rPr>
          <w:rFonts w:hint="eastAsia" w:ascii="Times New Roman" w:hAnsi="Times New Roman" w:eastAsia="仿宋_GB2312" w:cs="Times New Roman"/>
          <w:bCs/>
          <w:snapToGrid w:val="0"/>
          <w:kern w:val="0"/>
          <w:sz w:val="32"/>
          <w:szCs w:val="32"/>
          <w:lang w:val="en-US" w:eastAsia="zh-CN"/>
        </w:rPr>
        <w:t>5</w:t>
      </w:r>
      <w:r>
        <w:rPr>
          <w:rFonts w:hint="default" w:ascii="Times New Roman" w:hAnsi="Times New Roman" w:eastAsia="仿宋_GB2312" w:cs="Times New Roman"/>
          <w:bCs/>
          <w:snapToGrid w:val="0"/>
          <w:kern w:val="0"/>
          <w:sz w:val="32"/>
          <w:szCs w:val="32"/>
        </w:rPr>
        <w:t>〕</w:t>
      </w:r>
      <w:r>
        <w:rPr>
          <w:rFonts w:hint="default" w:ascii="Times New Roman" w:cs="Times New Roman"/>
          <w:bCs/>
          <w:snapToGrid w:val="0"/>
          <w:kern w:val="0"/>
          <w:sz w:val="32"/>
          <w:szCs w:val="32"/>
          <w:lang w:val="en" w:eastAsia="zh-CN"/>
        </w:rPr>
        <w:t>19</w:t>
      </w:r>
      <w:r>
        <w:rPr>
          <w:rFonts w:hint="default" w:ascii="Times New Roman" w:hAnsi="Times New Roman" w:eastAsia="仿宋_GB2312" w:cs="Times New Roman"/>
          <w:bCs/>
          <w:snapToGrid w:val="0"/>
          <w:kern w:val="0"/>
          <w:sz w:val="32"/>
          <w:szCs w:val="32"/>
        </w:rPr>
        <w:t>号</w:t>
      </w:r>
    </w:p>
    <w:p w14:paraId="02F7BD65">
      <w:pPr>
        <w:keepNext w:val="0"/>
        <w:keepLines w:val="0"/>
        <w:pageBreakBefore w:val="0"/>
        <w:widowControl w:val="0"/>
        <w:kinsoku/>
        <w:wordWrap/>
        <w:overflowPunct/>
        <w:topLinePunct w:val="0"/>
        <w:autoSpaceDE/>
        <w:autoSpaceDN/>
        <w:bidi w:val="0"/>
        <w:adjustRightInd w:val="0"/>
        <w:snapToGrid w:val="0"/>
        <w:spacing w:line="700" w:lineRule="exact"/>
        <w:textAlignment w:val="auto"/>
        <w:rPr>
          <w:rFonts w:eastAsia="方正仿宋_GBK"/>
          <w:color w:val="000000"/>
          <w:sz w:val="32"/>
          <w:szCs w:val="32"/>
        </w:rPr>
      </w:pPr>
      <w:r>
        <w:rPr>
          <w:rFonts w:eastAsia="仿宋_GB2312"/>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-72390</wp:posOffset>
                </wp:positionH>
                <wp:positionV relativeFrom="paragraph">
                  <wp:posOffset>63500</wp:posOffset>
                </wp:positionV>
                <wp:extent cx="5760085" cy="0"/>
                <wp:effectExtent l="0" t="15875" r="635" b="29845"/>
                <wp:wrapNone/>
                <wp:docPr id="1" name="直线 2"/>
                <wp:cNvGraphicFramePr/>
                <a:graphic xmlns:a="http://schemas.openxmlformats.org/drawingml/2006/main">
                  <a:graphicData uri="http://schemas.microsoft.com/office/word/2010/wordprocessingShape">
                    <wps:wsp>
                      <wps:cNvSpPr/>
                      <wps:spPr>
                        <a:xfrm flipV="1">
                          <a:off x="0" y="0"/>
                          <a:ext cx="5760085" cy="0"/>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5.7pt;margin-top:5pt;height:0pt;width:453.55pt;z-index:251659264;mso-width-relative:page;mso-height-relative:page;" filled="f" stroked="t" coordsize="21600,21600" o:gfxdata="UEsDBAoAAAAAAIdO4kAAAAAAAAAAAAAAAAAEAAAAZHJzL1BLAwQUAAAACACHTuJAte0NUtYAAAAJ&#10;AQAADwAAAGRycy9kb3ducmV2LnhtbE2PzU7DMBCE70i8g7VIXFBrBwqkIU4lEKByJEHi6sZLYojX&#10;IXZ/eHsWcYDjznyanSlXBz+IHU7RBdKQzRUIpDZYR52Gl+ZhloOIyZA1QyDU8IURVtXxUWkKG/b0&#10;jLs6dYJDKBZGQ5/SWEgZ2x69ifMwIrH3FiZvEp9TJ+1k9hzuB3mu1JX0xhF/6M2Idz22H/XWa0j1&#10;5/Ls8UlehMbl7vV+/X4bF43WpyeZugGR8JD+YPipz9Wh4k6bsCUbxaBhlmULRtlQvImBfHl5DWLz&#10;K8iqlP8XVN9QSwMEFAAAAAgAh07iQJl/y7PyAQAA5gMAAA4AAABkcnMvZTJvRG9jLnhtbK1TzW7b&#10;MAy+D9g7CLqvdjKkLYw4PSzLLsNWoOvujH5sAfqDqMTJs+w1dtplj9PXGGWn2dZdcpgPBiWSH/l9&#10;pJZ3B2fZXiU0wbd8dlVzprwI0viu5Y9fNm9uOcMMXoINXrX8qJDfrV6/Wg6xUfPQBytVYgTisRli&#10;y/ucY1NVKHrlAK9CVJ6cOiQHmY6pq2SCgdCdreZ1fV0NIcmYglCIdLuenPyEmC4BDFobodZB7Jzy&#10;eUJNykImStibiHw1dqu1Evmz1qgysy0npnn8UxGyt+VfrZbQdAlib8SpBbikhRecHBhPRc9Qa8jA&#10;dsn8A+WMSAGDzlciuGoiMipCLGb1C20eeohq5EJSYzyLjv8PVnza3ydmJG0CZx4cDfzp2/enHz/Z&#10;vGgzRGwo5CHep9MJySxEDzo5pq2JX0tquSEy7DAqezwrqw6ZCbpc3FzX9e2CM/HsqyaIkhgT5g8q&#10;OFaMllvjC2loYP8RM5Wl0OeQcm09G1r+dnazoCEKoBXUNHoyXSQa6LsxGYM1cmOsLSmYuu07m9ge&#10;aA02m5q+wo6A/worVdaA/RQ3uqYF6RXI916yfIwkkKd3wUsPTknOrKJnVCwChCaDsZdEUmnrqYMi&#10;8CRpsbZBHmkcu5hM15MUs7HL4qHxj/2eVrXs15/nEen381z9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XtDVLWAAAACQEAAA8AAAAAAAAAAQAgAAAAIgAAAGRycy9kb3ducmV2LnhtbFBLAQIUABQA&#10;AAAIAIdO4kCZf8uz8gEAAOYDAAAOAAAAAAAAAAEAIAAAACUBAABkcnMvZTJvRG9jLnhtbFBLBQYA&#10;AAAABgAGAFkBAACJBQAAAAA=&#10;">
                <v:fill on="f" focussize="0,0"/>
                <v:stroke weight="2.5pt" color="#FF0000" joinstyle="round"/>
                <v:imagedata o:title=""/>
                <o:lock v:ext="edit" aspectratio="f"/>
              </v:line>
            </w:pict>
          </mc:Fallback>
        </mc:AlternateContent>
      </w:r>
    </w:p>
    <w:p w14:paraId="6D3B27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lang w:eastAsia="zh-CN"/>
        </w:rPr>
        <w:t>自治区科技厅</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自治区</w:t>
      </w:r>
      <w:r>
        <w:rPr>
          <w:rFonts w:hint="eastAsia" w:ascii="方正小标宋简体" w:hAnsi="方正小标宋简体" w:eastAsia="方正小标宋简体" w:cs="方正小标宋简体"/>
          <w:sz w:val="44"/>
          <w:szCs w:val="44"/>
          <w:lang w:val="en-US" w:eastAsia="zh-CN"/>
        </w:rPr>
        <w:t xml:space="preserve">财政厅 </w:t>
      </w:r>
      <w:r>
        <w:rPr>
          <w:rFonts w:hint="eastAsia" w:ascii="方正小标宋简体" w:hAnsi="方正小标宋简体" w:eastAsia="方正小标宋简体" w:cs="方正小标宋简体"/>
          <w:sz w:val="44"/>
          <w:szCs w:val="44"/>
        </w:rPr>
        <w:t>广西金融监管局关于</w:t>
      </w:r>
      <w:r>
        <w:rPr>
          <w:rFonts w:hint="eastAsia" w:ascii="方正小标宋简体" w:hAnsi="方正小标宋简体" w:eastAsia="方正小标宋简体" w:cs="方正小标宋简体"/>
          <w:sz w:val="44"/>
          <w:szCs w:val="44"/>
          <w:lang w:eastAsia="zh-CN"/>
        </w:rPr>
        <w:t>印发</w:t>
      </w:r>
      <w:r>
        <w:rPr>
          <w:rFonts w:hint="eastAsia" w:ascii="方正小标宋简体" w:hAnsi="方正小标宋简体" w:eastAsia="方正小标宋简体" w:cs="方正小标宋简体"/>
          <w:sz w:val="44"/>
          <w:szCs w:val="44"/>
        </w:rPr>
        <w:t>《广西科技保险保费补贴办法</w:t>
      </w:r>
    </w:p>
    <w:p w14:paraId="70C65A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（试行）》的</w:t>
      </w:r>
      <w:r>
        <w:rPr>
          <w:rFonts w:hint="eastAsia" w:ascii="方正小标宋简体" w:hAnsi="方正小标宋简体" w:eastAsia="方正小标宋简体" w:cs="方正小标宋简体"/>
          <w:sz w:val="44"/>
          <w:szCs w:val="44"/>
          <w:lang w:eastAsia="zh-CN"/>
        </w:rPr>
        <w:t>通知</w:t>
      </w:r>
    </w:p>
    <w:p w14:paraId="39093B3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eastAsia="zh-CN"/>
        </w:rPr>
      </w:pPr>
    </w:p>
    <w:p w14:paraId="11713F47">
      <w:pPr>
        <w:keepNext w:val="0"/>
        <w:keepLines w:val="0"/>
        <w:pageBreakBefore w:val="0"/>
        <w:widowControl w:val="0"/>
        <w:kinsoku/>
        <w:wordWrap/>
        <w:overflowPunct/>
        <w:topLinePunct w:val="0"/>
        <w:autoSpaceDE/>
        <w:autoSpaceDN/>
        <w:bidi w:val="0"/>
        <w:adjustRightInd/>
        <w:snapToGrid/>
        <w:spacing w:line="500" w:lineRule="exact"/>
        <w:textAlignment w:val="auto"/>
        <w:outlineLvl w:val="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各有关单位</w:t>
      </w:r>
      <w:r>
        <w:rPr>
          <w:rFonts w:hint="default" w:ascii="Times New Roman" w:hAnsi="Times New Roman" w:eastAsia="仿宋_GB2312" w:cs="Times New Roman"/>
          <w:sz w:val="32"/>
          <w:szCs w:val="32"/>
          <w:lang w:eastAsia="zh-CN"/>
        </w:rPr>
        <w:t>：</w:t>
      </w:r>
    </w:p>
    <w:p w14:paraId="1F2F4983">
      <w:pPr>
        <w:keepNext w:val="0"/>
        <w:keepLines w:val="0"/>
        <w:pageBreakBefore w:val="0"/>
        <w:widowControl w:val="0"/>
        <w:kinsoku/>
        <w:wordWrap/>
        <w:overflowPunct/>
        <w:topLinePunct w:val="0"/>
        <w:autoSpaceDE/>
        <w:autoSpaceDN/>
        <w:bidi w:val="0"/>
        <w:adjustRightInd/>
        <w:snapToGrid/>
        <w:spacing w:line="500" w:lineRule="exact"/>
        <w:ind w:firstLine="640"/>
        <w:textAlignment w:val="auto"/>
        <w:outlineLvl w:val="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现将《广西科技保险保费补贴办法（试行）》</w:t>
      </w:r>
      <w:r>
        <w:rPr>
          <w:rFonts w:hint="default" w:ascii="Times New Roman" w:hAnsi="Times New Roman" w:eastAsia="仿宋_GB2312" w:cs="Times New Roman"/>
          <w:sz w:val="32"/>
          <w:szCs w:val="32"/>
          <w:lang w:eastAsia="zh-CN"/>
        </w:rPr>
        <w:t>印发给你们，请结合</w:t>
      </w:r>
      <w:r>
        <w:rPr>
          <w:rFonts w:hint="eastAsia"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lang w:eastAsia="zh-CN"/>
        </w:rPr>
        <w:t>实际</w:t>
      </w:r>
      <w:r>
        <w:rPr>
          <w:rFonts w:hint="eastAsia" w:ascii="Times New Roman" w:hAnsi="Times New Roman" w:eastAsia="仿宋_GB2312" w:cs="Times New Roman"/>
          <w:sz w:val="32"/>
          <w:szCs w:val="32"/>
          <w:lang w:eastAsia="zh-CN"/>
        </w:rPr>
        <w:t>认真贯彻执行</w:t>
      </w:r>
      <w:r>
        <w:rPr>
          <w:rFonts w:hint="default" w:ascii="Times New Roman" w:hAnsi="Times New Roman" w:eastAsia="仿宋_GB2312" w:cs="Times New Roman"/>
          <w:sz w:val="32"/>
          <w:szCs w:val="32"/>
          <w:lang w:eastAsia="zh-CN"/>
        </w:rPr>
        <w:t>。</w:t>
      </w:r>
    </w:p>
    <w:p w14:paraId="1B2228F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rPr>
      </w:pPr>
    </w:p>
    <w:p w14:paraId="1A166261">
      <w:pPr>
        <w:pStyle w:val="2"/>
        <w:keepNext w:val="0"/>
        <w:keepLines w:val="0"/>
        <w:pageBreakBefore w:val="0"/>
        <w:widowControl w:val="0"/>
        <w:kinsoku/>
        <w:wordWrap/>
        <w:overflowPunct/>
        <w:topLinePunct w:val="0"/>
        <w:bidi w:val="0"/>
        <w:snapToGrid/>
        <w:spacing w:line="500" w:lineRule="exact"/>
        <w:rPr>
          <w:rFonts w:hint="default"/>
        </w:rPr>
      </w:pPr>
    </w:p>
    <w:tbl>
      <w:tblPr>
        <w:tblStyle w:val="17"/>
        <w:tblW w:w="5000" w:type="pct"/>
        <w:jc w:val="center"/>
        <w:tblLayout w:type="autofit"/>
        <w:tblCellMar>
          <w:top w:w="0" w:type="dxa"/>
          <w:left w:w="0" w:type="dxa"/>
          <w:bottom w:w="0" w:type="dxa"/>
          <w:right w:w="0" w:type="dxa"/>
        </w:tblCellMar>
      </w:tblPr>
      <w:tblGrid>
        <w:gridCol w:w="2600"/>
        <w:gridCol w:w="517"/>
        <w:gridCol w:w="2600"/>
        <w:gridCol w:w="517"/>
        <w:gridCol w:w="2610"/>
      </w:tblGrid>
      <w:tr w14:paraId="7DF46402">
        <w:tblPrEx>
          <w:tblCellMar>
            <w:top w:w="0" w:type="dxa"/>
            <w:left w:w="0" w:type="dxa"/>
            <w:bottom w:w="0" w:type="dxa"/>
            <w:right w:w="0" w:type="dxa"/>
          </w:tblCellMar>
        </w:tblPrEx>
        <w:trPr>
          <w:jc w:val="center"/>
        </w:trPr>
        <w:tc>
          <w:tcPr>
            <w:tcW w:w="1469" w:type="pct"/>
            <w:noWrap w:val="0"/>
            <w:vAlign w:val="top"/>
          </w:tcPr>
          <w:p w14:paraId="761A9154">
            <w:pPr>
              <w:keepNext w:val="0"/>
              <w:keepLines w:val="0"/>
              <w:pageBreakBefore w:val="0"/>
              <w:widowControl w:val="0"/>
              <w:kinsoku/>
              <w:wordWrap/>
              <w:overflowPunct/>
              <w:topLinePunct w:val="0"/>
              <w:autoSpaceDE/>
              <w:autoSpaceDN/>
              <w:bidi w:val="0"/>
              <w:adjustRightInd w:val="0"/>
              <w:snapToGrid w:val="0"/>
              <w:spacing w:line="500" w:lineRule="exact"/>
              <w:jc w:val="distribute"/>
              <w:textAlignment w:val="auto"/>
              <w:rPr>
                <w:rFonts w:eastAsia="仿宋_GB2312"/>
                <w:sz w:val="32"/>
                <w:szCs w:val="32"/>
              </w:rPr>
            </w:pPr>
            <w:r>
              <w:rPr>
                <w:rFonts w:eastAsia="仿宋_GB2312"/>
                <w:sz w:val="32"/>
                <w:szCs w:val="32"/>
              </w:rPr>
              <w:t>广西壮族自治区</w:t>
            </w:r>
            <w:r>
              <w:rPr>
                <w:rFonts w:eastAsia="仿宋_GB2312"/>
                <w:sz w:val="32"/>
                <w:szCs w:val="32"/>
              </w:rPr>
              <w:br w:type="textWrapping"/>
            </w:r>
            <w:r>
              <w:rPr>
                <w:rFonts w:eastAsia="仿宋_GB2312"/>
                <w:sz w:val="32"/>
                <w:szCs w:val="32"/>
              </w:rPr>
              <w:t>科学技术厅</w:t>
            </w:r>
          </w:p>
        </w:tc>
        <w:tc>
          <w:tcPr>
            <w:tcW w:w="292" w:type="pct"/>
            <w:noWrap w:val="0"/>
            <w:vAlign w:val="top"/>
          </w:tcPr>
          <w:p w14:paraId="0D79C0F9">
            <w:pPr>
              <w:keepNext w:val="0"/>
              <w:keepLines w:val="0"/>
              <w:pageBreakBefore w:val="0"/>
              <w:widowControl w:val="0"/>
              <w:kinsoku/>
              <w:wordWrap/>
              <w:overflowPunct/>
              <w:topLinePunct w:val="0"/>
              <w:autoSpaceDE/>
              <w:autoSpaceDN/>
              <w:bidi w:val="0"/>
              <w:adjustRightInd w:val="0"/>
              <w:snapToGrid w:val="0"/>
              <w:spacing w:line="500" w:lineRule="exact"/>
              <w:jc w:val="distribute"/>
              <w:textAlignment w:val="auto"/>
              <w:rPr>
                <w:rFonts w:eastAsia="仿宋_GB2312"/>
                <w:sz w:val="32"/>
                <w:szCs w:val="32"/>
              </w:rPr>
            </w:pPr>
          </w:p>
        </w:tc>
        <w:tc>
          <w:tcPr>
            <w:tcW w:w="1469" w:type="pct"/>
            <w:noWrap w:val="0"/>
            <w:vAlign w:val="top"/>
          </w:tcPr>
          <w:p w14:paraId="14FA5A5E">
            <w:pPr>
              <w:keepNext w:val="0"/>
              <w:keepLines w:val="0"/>
              <w:pageBreakBefore w:val="0"/>
              <w:widowControl w:val="0"/>
              <w:kinsoku/>
              <w:wordWrap/>
              <w:overflowPunct/>
              <w:topLinePunct w:val="0"/>
              <w:autoSpaceDE/>
              <w:autoSpaceDN/>
              <w:bidi w:val="0"/>
              <w:adjustRightInd w:val="0"/>
              <w:snapToGrid w:val="0"/>
              <w:spacing w:line="500" w:lineRule="exact"/>
              <w:jc w:val="distribute"/>
              <w:textAlignment w:val="auto"/>
              <w:rPr>
                <w:rFonts w:hint="eastAsia" w:eastAsia="仿宋_GB2312"/>
                <w:sz w:val="32"/>
                <w:szCs w:val="32"/>
                <w:lang w:val="en" w:eastAsia="zh-CN"/>
              </w:rPr>
            </w:pPr>
            <w:r>
              <w:rPr>
                <w:rFonts w:eastAsia="仿宋_GB2312"/>
                <w:sz w:val="32"/>
                <w:szCs w:val="32"/>
              </w:rPr>
              <w:t>广西壮族自治区</w:t>
            </w:r>
            <w:r>
              <w:rPr>
                <w:rFonts w:eastAsia="仿宋_GB2312"/>
                <w:sz w:val="32"/>
                <w:szCs w:val="32"/>
              </w:rPr>
              <w:br w:type="textWrapping"/>
            </w:r>
            <w:r>
              <w:rPr>
                <w:rFonts w:hint="eastAsia" w:eastAsia="仿宋_GB2312"/>
                <w:sz w:val="32"/>
                <w:szCs w:val="32"/>
                <w:lang w:eastAsia="zh-CN"/>
              </w:rPr>
              <w:t>财政厅</w:t>
            </w:r>
          </w:p>
        </w:tc>
        <w:tc>
          <w:tcPr>
            <w:tcW w:w="292" w:type="pct"/>
            <w:noWrap w:val="0"/>
            <w:vAlign w:val="top"/>
          </w:tcPr>
          <w:p w14:paraId="3D29D0D5">
            <w:pPr>
              <w:keepNext w:val="0"/>
              <w:keepLines w:val="0"/>
              <w:pageBreakBefore w:val="0"/>
              <w:widowControl w:val="0"/>
              <w:kinsoku/>
              <w:wordWrap/>
              <w:overflowPunct/>
              <w:topLinePunct w:val="0"/>
              <w:autoSpaceDE/>
              <w:autoSpaceDN/>
              <w:bidi w:val="0"/>
              <w:adjustRightInd w:val="0"/>
              <w:snapToGrid w:val="0"/>
              <w:spacing w:line="500" w:lineRule="exact"/>
              <w:jc w:val="distribute"/>
              <w:textAlignment w:val="auto"/>
              <w:rPr>
                <w:rFonts w:eastAsia="仿宋_GB2312"/>
                <w:sz w:val="32"/>
                <w:szCs w:val="32"/>
              </w:rPr>
            </w:pPr>
          </w:p>
        </w:tc>
        <w:tc>
          <w:tcPr>
            <w:tcW w:w="1474" w:type="pct"/>
            <w:noWrap w:val="0"/>
            <w:vAlign w:val="top"/>
          </w:tcPr>
          <w:tbl>
            <w:tblPr>
              <w:tblStyle w:val="17"/>
              <w:tblW w:w="5000" w:type="pct"/>
              <w:jc w:val="center"/>
              <w:tblLayout w:type="autofit"/>
              <w:tblCellMar>
                <w:top w:w="0" w:type="dxa"/>
                <w:left w:w="0" w:type="dxa"/>
                <w:bottom w:w="0" w:type="dxa"/>
                <w:right w:w="0" w:type="dxa"/>
              </w:tblCellMar>
            </w:tblPr>
            <w:tblGrid>
              <w:gridCol w:w="2610"/>
            </w:tblGrid>
            <w:tr w14:paraId="75FB6A46">
              <w:tblPrEx>
                <w:tblCellMar>
                  <w:top w:w="0" w:type="dxa"/>
                  <w:left w:w="0" w:type="dxa"/>
                  <w:bottom w:w="0" w:type="dxa"/>
                  <w:right w:w="0" w:type="dxa"/>
                </w:tblCellMar>
              </w:tblPrEx>
              <w:trPr>
                <w:trHeight w:val="1077" w:hRule="atLeast"/>
                <w:jc w:val="center"/>
              </w:trPr>
              <w:tc>
                <w:tcPr>
                  <w:tcW w:w="1474" w:type="pct"/>
                  <w:noWrap w:val="0"/>
                  <w:vAlign w:val="top"/>
                </w:tcPr>
                <w:p w14:paraId="0B0B1A1F">
                  <w:pPr>
                    <w:keepNext w:val="0"/>
                    <w:keepLines w:val="0"/>
                    <w:pageBreakBefore w:val="0"/>
                    <w:widowControl w:val="0"/>
                    <w:kinsoku/>
                    <w:wordWrap/>
                    <w:overflowPunct/>
                    <w:topLinePunct w:val="0"/>
                    <w:autoSpaceDE/>
                    <w:autoSpaceDN/>
                    <w:bidi w:val="0"/>
                    <w:adjustRightInd w:val="0"/>
                    <w:snapToGrid w:val="0"/>
                    <w:spacing w:line="500" w:lineRule="exact"/>
                    <w:jc w:val="distribute"/>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34"/>
                      <w:sz w:val="32"/>
                      <w:szCs w:val="32"/>
                    </w:rPr>
                    <w:t>国家金融监督管理总</w:t>
                  </w:r>
                  <w:r>
                    <w:rPr>
                      <w:rFonts w:hint="default" w:ascii="Times New Roman" w:hAnsi="Times New Roman" w:eastAsia="仿宋_GB2312" w:cs="Times New Roman"/>
                      <w:spacing w:val="0"/>
                      <w:sz w:val="32"/>
                      <w:szCs w:val="32"/>
                    </w:rPr>
                    <w:t>局</w:t>
                  </w:r>
                  <w:r>
                    <w:rPr>
                      <w:rFonts w:hint="default" w:ascii="Times New Roman" w:hAnsi="Times New Roman" w:eastAsia="仿宋_GB2312" w:cs="Times New Roman"/>
                      <w:sz w:val="32"/>
                      <w:szCs w:val="32"/>
                    </w:rPr>
                    <w:br w:type="textWrapping"/>
                  </w:r>
                  <w:r>
                    <w:rPr>
                      <w:rFonts w:hint="eastAsia" w:ascii="Times New Roman" w:hAnsi="Times New Roman" w:eastAsia="仿宋_GB2312" w:cs="Times New Roman"/>
                      <w:color w:val="auto"/>
                      <w:sz w:val="32"/>
                      <w:szCs w:val="32"/>
                      <w:lang w:eastAsia="zh-CN"/>
                    </w:rPr>
                    <w:t>广西监管局</w:t>
                  </w:r>
                </w:p>
              </w:tc>
            </w:tr>
          </w:tbl>
          <w:p w14:paraId="03A16BFF">
            <w:pPr>
              <w:keepNext w:val="0"/>
              <w:keepLines w:val="0"/>
              <w:pageBreakBefore w:val="0"/>
              <w:widowControl w:val="0"/>
              <w:kinsoku/>
              <w:wordWrap/>
              <w:overflowPunct/>
              <w:topLinePunct w:val="0"/>
              <w:autoSpaceDE/>
              <w:autoSpaceDN/>
              <w:bidi w:val="0"/>
              <w:adjustRightInd w:val="0"/>
              <w:snapToGrid w:val="0"/>
              <w:spacing w:line="500" w:lineRule="exact"/>
              <w:jc w:val="distribute"/>
              <w:textAlignment w:val="auto"/>
              <w:rPr>
                <w:rFonts w:eastAsia="仿宋_GB2312"/>
                <w:sz w:val="32"/>
                <w:szCs w:val="32"/>
              </w:rPr>
            </w:pPr>
          </w:p>
        </w:tc>
      </w:tr>
      <w:tr w14:paraId="750FEA45">
        <w:tblPrEx>
          <w:tblCellMar>
            <w:top w:w="0" w:type="dxa"/>
            <w:left w:w="0" w:type="dxa"/>
            <w:bottom w:w="0" w:type="dxa"/>
            <w:right w:w="0" w:type="dxa"/>
          </w:tblCellMar>
        </w:tblPrEx>
        <w:trPr>
          <w:jc w:val="center"/>
        </w:trPr>
        <w:tc>
          <w:tcPr>
            <w:tcW w:w="1469" w:type="pct"/>
            <w:noWrap w:val="0"/>
            <w:vAlign w:val="top"/>
          </w:tcPr>
          <w:p w14:paraId="7D567319">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eastAsia="仿宋_GB2312"/>
                <w:sz w:val="32"/>
                <w:szCs w:val="32"/>
              </w:rPr>
            </w:pPr>
          </w:p>
        </w:tc>
        <w:tc>
          <w:tcPr>
            <w:tcW w:w="292" w:type="pct"/>
            <w:noWrap w:val="0"/>
            <w:vAlign w:val="top"/>
          </w:tcPr>
          <w:p w14:paraId="35B8E027">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eastAsia="仿宋_GB2312"/>
                <w:sz w:val="32"/>
                <w:szCs w:val="32"/>
              </w:rPr>
            </w:pPr>
          </w:p>
        </w:tc>
        <w:tc>
          <w:tcPr>
            <w:tcW w:w="1469" w:type="pct"/>
            <w:noWrap w:val="0"/>
            <w:vAlign w:val="top"/>
          </w:tcPr>
          <w:p w14:paraId="04914FBC">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eastAsia="仿宋_GB2312"/>
                <w:sz w:val="32"/>
                <w:szCs w:val="32"/>
              </w:rPr>
            </w:pPr>
          </w:p>
        </w:tc>
        <w:tc>
          <w:tcPr>
            <w:tcW w:w="292" w:type="pct"/>
            <w:noWrap w:val="0"/>
            <w:vAlign w:val="top"/>
          </w:tcPr>
          <w:p w14:paraId="17A3D04B">
            <w:pPr>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Times New Roman" w:hAnsi="Times New Roman" w:eastAsia="仿宋_GB2312" w:cs="Times New Roman"/>
                <w:sz w:val="32"/>
                <w:szCs w:val="32"/>
              </w:rPr>
            </w:pPr>
          </w:p>
        </w:tc>
        <w:tc>
          <w:tcPr>
            <w:tcW w:w="1474" w:type="pct"/>
            <w:noWrap w:val="0"/>
            <w:vAlign w:val="top"/>
          </w:tcPr>
          <w:p w14:paraId="513D664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pacing w:val="24"/>
                <w:sz w:val="32"/>
                <w:szCs w:val="32"/>
              </w:rPr>
            </w:pPr>
            <w:r>
              <w:rPr>
                <w:rFonts w:hint="default" w:ascii="Times New Roman" w:hAnsi="Times New Roman" w:eastAsia="仿宋_GB2312" w:cs="Times New Roman"/>
                <w:spacing w:val="-6"/>
                <w:sz w:val="32"/>
                <w:szCs w:val="32"/>
              </w:rPr>
              <w:t>202</w:t>
            </w:r>
            <w:r>
              <w:rPr>
                <w:rFonts w:hint="default" w:ascii="Times New Roman" w:hAnsi="Times New Roman" w:eastAsia="仿宋_GB2312" w:cs="Times New Roman"/>
                <w:spacing w:val="-6"/>
                <w:sz w:val="32"/>
                <w:szCs w:val="32"/>
                <w:lang w:val="en"/>
              </w:rPr>
              <w:t>5</w:t>
            </w:r>
            <w:r>
              <w:rPr>
                <w:rFonts w:hint="default" w:ascii="Times New Roman" w:hAnsi="Times New Roman" w:eastAsia="仿宋_GB2312" w:cs="Times New Roman"/>
                <w:spacing w:val="-6"/>
                <w:sz w:val="32"/>
                <w:szCs w:val="32"/>
              </w:rPr>
              <w:t>年</w:t>
            </w:r>
            <w:r>
              <w:rPr>
                <w:rFonts w:hint="default" w:ascii="Times New Roman" w:hAnsi="Times New Roman" w:eastAsia="仿宋_GB2312" w:cs="Times New Roman"/>
                <w:spacing w:val="-6"/>
                <w:sz w:val="32"/>
                <w:szCs w:val="32"/>
                <w:lang w:val="en" w:eastAsia="zh-CN"/>
              </w:rPr>
              <w:t>12</w:t>
            </w:r>
            <w:r>
              <w:rPr>
                <w:rFonts w:hint="default" w:ascii="Times New Roman" w:hAnsi="Times New Roman" w:eastAsia="仿宋_GB2312" w:cs="Times New Roman"/>
                <w:spacing w:val="-6"/>
                <w:sz w:val="32"/>
                <w:szCs w:val="32"/>
              </w:rPr>
              <w:t>月</w:t>
            </w:r>
            <w:r>
              <w:rPr>
                <w:rFonts w:hint="default" w:ascii="Times New Roman" w:hAnsi="Times New Roman" w:eastAsia="仿宋_GB2312" w:cs="Times New Roman"/>
                <w:spacing w:val="-6"/>
                <w:sz w:val="32"/>
                <w:szCs w:val="32"/>
                <w:lang w:val="en" w:eastAsia="zh-CN"/>
              </w:rPr>
              <w:t>22</w:t>
            </w:r>
            <w:r>
              <w:rPr>
                <w:rFonts w:hint="default" w:ascii="Times New Roman" w:hAnsi="Times New Roman" w:eastAsia="仿宋_GB2312" w:cs="Times New Roman"/>
                <w:spacing w:val="-6"/>
                <w:sz w:val="32"/>
                <w:szCs w:val="32"/>
              </w:rPr>
              <w:t>日</w:t>
            </w:r>
          </w:p>
        </w:tc>
      </w:tr>
    </w:tbl>
    <w:p w14:paraId="23B7061E">
      <w:pPr>
        <w:keepNext w:val="0"/>
        <w:keepLines w:val="0"/>
        <w:pageBreakBefore w:val="0"/>
        <w:widowControl w:val="0"/>
        <w:kinsoku/>
        <w:wordWrap/>
        <w:overflowPunct/>
        <w:topLinePunct w:val="0"/>
        <w:autoSpaceDE/>
        <w:autoSpaceDN/>
        <w:bidi w:val="0"/>
        <w:adjustRightInd/>
        <w:snapToGrid/>
        <w:spacing w:before="159" w:beforeLines="50" w:line="560" w:lineRule="exact"/>
        <w:ind w:firstLine="640" w:firstLineChars="200"/>
        <w:textAlignment w:val="auto"/>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（此件公开发布）</w:t>
      </w:r>
    </w:p>
    <w:p w14:paraId="1EAC1E26">
      <w:pPr>
        <w:pStyle w:val="5"/>
        <w:keepNext w:val="0"/>
        <w:keepLines w:val="0"/>
        <w:pageBreakBefore w:val="0"/>
        <w:widowControl w:val="0"/>
        <w:shd w:val="clear" w:color="auto" w:fill="auto"/>
        <w:kinsoku/>
        <w:wordWrap/>
        <w:overflowPunct/>
        <w:topLinePunct w:val="0"/>
        <w:autoSpaceDE/>
        <w:autoSpaceDN/>
        <w:bidi w:val="0"/>
        <w:adjustRightInd/>
        <w:snapToGrid/>
        <w:spacing w:beforeLines="0" w:afterLines="0" w:line="580" w:lineRule="exact"/>
        <w:ind w:firstLine="0" w:firstLine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br w:type="page"/>
      </w:r>
    </w:p>
    <w:p w14:paraId="46E4CCA2">
      <w:pPr>
        <w:pStyle w:val="5"/>
        <w:keepNext w:val="0"/>
        <w:keepLines w:val="0"/>
        <w:pageBreakBefore w:val="0"/>
        <w:widowControl w:val="0"/>
        <w:shd w:val="clear" w:color="auto" w:fill="auto"/>
        <w:kinsoku/>
        <w:wordWrap/>
        <w:overflowPunct/>
        <w:topLinePunct w:val="0"/>
        <w:autoSpaceDE/>
        <w:autoSpaceDN/>
        <w:bidi w:val="0"/>
        <w:adjustRightInd/>
        <w:snapToGrid/>
        <w:spacing w:beforeLines="0" w:afterLines="0" w:line="580" w:lineRule="exact"/>
        <w:ind w:firstLine="0" w:firstLine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广西科技保险保费补贴办法</w:t>
      </w:r>
    </w:p>
    <w:p w14:paraId="5CB3477C">
      <w:pPr>
        <w:pStyle w:val="5"/>
        <w:keepNext w:val="0"/>
        <w:keepLines w:val="0"/>
        <w:pageBreakBefore w:val="0"/>
        <w:widowControl w:val="0"/>
        <w:shd w:val="clear" w:color="auto" w:fill="auto"/>
        <w:kinsoku/>
        <w:wordWrap/>
        <w:overflowPunct/>
        <w:topLinePunct w:val="0"/>
        <w:autoSpaceDE/>
        <w:autoSpaceDN/>
        <w:bidi w:val="0"/>
        <w:adjustRightInd/>
        <w:snapToGrid/>
        <w:spacing w:beforeLines="0" w:afterLines="0" w:line="580" w:lineRule="exact"/>
        <w:ind w:firstLine="0" w:firstLineChars="0"/>
        <w:jc w:val="center"/>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试行</w:t>
      </w:r>
      <w:r>
        <w:rPr>
          <w:rFonts w:hint="eastAsia" w:ascii="楷体_GB2312" w:hAnsi="楷体_GB2312" w:eastAsia="楷体_GB2312" w:cs="楷体_GB2312"/>
          <w:b w:val="0"/>
          <w:bCs w:val="0"/>
          <w:sz w:val="32"/>
          <w:szCs w:val="32"/>
          <w:lang w:eastAsia="zh-CN"/>
        </w:rPr>
        <w:t>）</w:t>
      </w:r>
    </w:p>
    <w:p w14:paraId="0C1EBCD1">
      <w:pPr>
        <w:pStyle w:val="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580" w:lineRule="exact"/>
        <w:ind w:firstLine="0" w:firstLineChars="0"/>
        <w:jc w:val="center"/>
        <w:rPr>
          <w:rFonts w:hint="eastAsia" w:ascii="黑体" w:hAnsi="黑体" w:eastAsia="黑体" w:cs="黑体"/>
          <w:b w:val="0"/>
          <w:bCs w:val="0"/>
          <w:sz w:val="32"/>
          <w:szCs w:val="32"/>
          <w:lang w:eastAsia="zh-CN"/>
        </w:rPr>
      </w:pPr>
    </w:p>
    <w:p w14:paraId="2D60B7BC">
      <w:pPr>
        <w:pStyle w:val="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580" w:lineRule="exact"/>
        <w:ind w:firstLine="0" w:firstLineChars="0"/>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第一章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总则</w:t>
      </w:r>
    </w:p>
    <w:p w14:paraId="01F9BD17">
      <w:pPr>
        <w:keepNext w:val="0"/>
        <w:keepLines w:val="0"/>
        <w:pageBreakBefore w:val="0"/>
        <w:widowControl w:val="0"/>
        <w:kinsoku/>
        <w:wordWrap/>
        <w:overflowPunct/>
        <w:topLinePunct w:val="0"/>
        <w:autoSpaceDE/>
        <w:autoSpaceDN/>
        <w:bidi w:val="0"/>
        <w:snapToGrid/>
        <w:spacing w:line="580" w:lineRule="exact"/>
        <w:rPr>
          <w:rFonts w:hint="eastAsia"/>
          <w:sz w:val="32"/>
          <w:szCs w:val="32"/>
        </w:rPr>
      </w:pPr>
    </w:p>
    <w:p w14:paraId="30855A4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tabs>
          <w:tab w:val="left" w:pos="0"/>
        </w:tabs>
        <w:kinsoku/>
        <w:wordWrap/>
        <w:overflowPunct/>
        <w:topLinePunct w:val="0"/>
        <w:autoSpaceDE/>
        <w:autoSpaceDN/>
        <w:bidi w:val="0"/>
        <w:adjustRightInd/>
        <w:snapToGrid/>
        <w:spacing w:beforeAutospacing="0" w:afterAutospacing="0" w:line="580" w:lineRule="exact"/>
        <w:ind w:leftChars="0" w:right="0" w:rightChars="0" w:firstLine="640" w:firstLineChars="200"/>
        <w:jc w:val="both"/>
        <w:textAlignment w:val="baseline"/>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pPr>
      <w:r>
        <w:rPr>
          <w:rFonts w:hint="eastAsia" w:ascii="黑体" w:hAnsi="黑体" w:eastAsia="黑体" w:cs="黑体"/>
          <w:i w:val="0"/>
          <w:iCs w:val="0"/>
          <w:caps w:val="0"/>
          <w:color w:val="000000"/>
          <w:spacing w:val="0"/>
          <w:kern w:val="0"/>
          <w:sz w:val="32"/>
          <w:szCs w:val="32"/>
          <w:shd w:val="clear" w:color="auto" w:fill="FFFFFF"/>
          <w:vertAlign w:val="baseline"/>
          <w:lang w:val="en-US" w:eastAsia="zh-CN" w:bidi="ar"/>
        </w:rPr>
        <w:t>第一条</w:t>
      </w:r>
      <w:r>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t xml:space="preserve">  为推动科技保险发展，分散降低创新风险，支持科技型企业研发投入与成果转化，结合广西实际，特制定本办法。</w:t>
      </w:r>
    </w:p>
    <w:p w14:paraId="0E0BDCE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tabs>
          <w:tab w:val="left" w:pos="0"/>
        </w:tabs>
        <w:kinsoku/>
        <w:wordWrap/>
        <w:overflowPunct/>
        <w:topLinePunct w:val="0"/>
        <w:autoSpaceDE/>
        <w:autoSpaceDN/>
        <w:bidi w:val="0"/>
        <w:adjustRightInd/>
        <w:snapToGrid/>
        <w:spacing w:beforeAutospacing="0" w:afterAutospacing="0" w:line="580" w:lineRule="exact"/>
        <w:ind w:leftChars="0" w:right="0" w:rightChars="0" w:firstLine="640" w:firstLineChars="200"/>
        <w:jc w:val="both"/>
        <w:textAlignment w:val="baseline"/>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pPr>
      <w:r>
        <w:rPr>
          <w:rFonts w:hint="eastAsia" w:ascii="黑体" w:hAnsi="黑体" w:eastAsia="黑体" w:cs="黑体"/>
          <w:i w:val="0"/>
          <w:iCs w:val="0"/>
          <w:caps w:val="0"/>
          <w:color w:val="000000"/>
          <w:spacing w:val="0"/>
          <w:kern w:val="0"/>
          <w:sz w:val="32"/>
          <w:szCs w:val="32"/>
          <w:shd w:val="clear" w:color="auto" w:fill="FFFFFF"/>
          <w:vertAlign w:val="baseline"/>
          <w:lang w:val="en-US" w:eastAsia="zh-CN" w:bidi="ar"/>
        </w:rPr>
        <w:t>第二条</w:t>
      </w:r>
      <w:r>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t xml:space="preserve">  本办法所称科技保险，是指以科技型企业技术研发、成果转化、生产经营等环节的风险为保险标的的保险产品。</w:t>
      </w:r>
    </w:p>
    <w:p w14:paraId="16C1418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tabs>
          <w:tab w:val="left" w:pos="0"/>
        </w:tabs>
        <w:kinsoku/>
        <w:wordWrap/>
        <w:overflowPunct/>
        <w:topLinePunct w:val="0"/>
        <w:autoSpaceDE/>
        <w:autoSpaceDN/>
        <w:bidi w:val="0"/>
        <w:adjustRightInd/>
        <w:snapToGrid/>
        <w:spacing w:beforeAutospacing="0" w:afterAutospacing="0" w:line="580" w:lineRule="exact"/>
        <w:ind w:leftChars="0" w:right="0" w:rightChars="0" w:firstLine="640" w:firstLineChars="200"/>
        <w:jc w:val="both"/>
        <w:textAlignment w:val="baseline"/>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pPr>
      <w:r>
        <w:rPr>
          <w:rFonts w:hint="eastAsia" w:ascii="黑体" w:hAnsi="黑体" w:eastAsia="黑体" w:cs="黑体"/>
          <w:i w:val="0"/>
          <w:iCs w:val="0"/>
          <w:caps w:val="0"/>
          <w:color w:val="000000"/>
          <w:spacing w:val="0"/>
          <w:kern w:val="0"/>
          <w:sz w:val="32"/>
          <w:szCs w:val="32"/>
          <w:shd w:val="clear" w:color="auto" w:fill="FFFFFF"/>
          <w:vertAlign w:val="baseline"/>
          <w:lang w:val="en-US" w:eastAsia="zh-CN" w:bidi="ar"/>
        </w:rPr>
        <w:t>第三条</w:t>
      </w:r>
      <w:r>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t xml:space="preserve">  </w:t>
      </w:r>
      <w:r>
        <w:rPr>
          <w:rFonts w:hint="eastAsia" w:ascii="仿宋_GB2312" w:hAnsi="仿宋_GB2312" w:eastAsia="仿宋_GB2312" w:cs="仿宋_GB2312"/>
          <w:color w:val="000000"/>
          <w:kern w:val="0"/>
          <w:sz w:val="32"/>
          <w:szCs w:val="32"/>
          <w:shd w:val="clear" w:color="auto" w:fill="FFFFFF"/>
          <w:lang w:bidi="ar"/>
        </w:rPr>
        <w:t>本办法所称保费补贴是指对科技型企业</w:t>
      </w:r>
      <w:r>
        <w:rPr>
          <w:rFonts w:hint="eastAsia" w:ascii="仿宋_GB2312" w:hAnsi="仿宋_GB2312" w:eastAsia="仿宋_GB2312" w:cs="仿宋_GB2312"/>
          <w:color w:val="000000"/>
          <w:kern w:val="0"/>
          <w:sz w:val="32"/>
          <w:szCs w:val="32"/>
          <w:shd w:val="clear" w:color="auto" w:fill="FFFFFF"/>
          <w:lang w:eastAsia="zh-CN" w:bidi="ar"/>
        </w:rPr>
        <w:t>为降低自身风险而</w:t>
      </w:r>
      <w:r>
        <w:rPr>
          <w:rFonts w:hint="eastAsia" w:ascii="仿宋_GB2312" w:hAnsi="仿宋_GB2312" w:eastAsia="仿宋_GB2312" w:cs="仿宋_GB2312"/>
          <w:color w:val="000000"/>
          <w:kern w:val="0"/>
          <w:sz w:val="32"/>
          <w:szCs w:val="32"/>
          <w:shd w:val="clear" w:color="auto" w:fill="FFFFFF"/>
          <w:lang w:bidi="ar"/>
        </w:rPr>
        <w:t>购买纳入科技保险产品目录的险种发生的保险费予以补贴</w:t>
      </w:r>
      <w:r>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t>。保费补贴资金在自治区级财政科技专项资金中列支，根据年度预算进行安排，实行总额控制、分类补贴。</w:t>
      </w:r>
    </w:p>
    <w:p w14:paraId="20FB7FF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tabs>
          <w:tab w:val="left" w:pos="0"/>
        </w:tabs>
        <w:kinsoku/>
        <w:wordWrap/>
        <w:overflowPunct/>
        <w:topLinePunct w:val="0"/>
        <w:autoSpaceDE/>
        <w:autoSpaceDN/>
        <w:bidi w:val="0"/>
        <w:adjustRightInd/>
        <w:snapToGrid/>
        <w:spacing w:beforeAutospacing="0" w:afterAutospacing="0" w:line="580" w:lineRule="exact"/>
        <w:ind w:leftChars="0" w:right="0" w:rightChars="0" w:firstLine="640" w:firstLineChars="200"/>
        <w:jc w:val="both"/>
        <w:textAlignment w:val="baseline"/>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pPr>
      <w:r>
        <w:rPr>
          <w:rFonts w:hint="eastAsia" w:ascii="黑体" w:hAnsi="黑体" w:eastAsia="黑体" w:cs="黑体"/>
          <w:i w:val="0"/>
          <w:iCs w:val="0"/>
          <w:caps w:val="0"/>
          <w:color w:val="000000"/>
          <w:spacing w:val="0"/>
          <w:kern w:val="0"/>
          <w:sz w:val="32"/>
          <w:szCs w:val="32"/>
          <w:shd w:val="clear" w:color="auto" w:fill="FFFFFF"/>
          <w:vertAlign w:val="baseline"/>
          <w:lang w:val="en-US" w:eastAsia="zh-CN" w:bidi="ar"/>
        </w:rPr>
        <w:t>第四条</w:t>
      </w:r>
      <w:r>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t xml:space="preserve">  本办法所称科技型企业是指</w:t>
      </w:r>
      <w:r>
        <w:rPr>
          <w:rFonts w:hint="eastAsia" w:ascii="仿宋_GB2312" w:hAnsi="仿宋_GB2312" w:eastAsia="仿宋_GB2312" w:cs="仿宋_GB2312"/>
          <w:color w:val="000000"/>
          <w:kern w:val="0"/>
          <w:sz w:val="32"/>
          <w:szCs w:val="32"/>
          <w:shd w:val="clear" w:color="auto" w:fill="FFFFFF"/>
          <w:lang w:bidi="ar"/>
        </w:rPr>
        <w:t>经认定为</w:t>
      </w:r>
      <w:r>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t>科技型中小企业、高新技术企业、瞪羚企业、创新积分制推荐企业以及</w:t>
      </w:r>
      <w:r>
        <w:rPr>
          <w:rFonts w:hint="eastAsia" w:ascii="仿宋_GB2312" w:hAnsi="仿宋_GB2312" w:eastAsia="仿宋_GB2312" w:cs="仿宋_GB2312"/>
          <w:color w:val="000000"/>
          <w:kern w:val="0"/>
          <w:sz w:val="32"/>
          <w:szCs w:val="32"/>
          <w:shd w:val="clear" w:color="auto" w:fill="FFFFFF"/>
          <w:lang w:bidi="ar"/>
        </w:rPr>
        <w:t>科技领军企业</w:t>
      </w:r>
      <w:r>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t>等</w:t>
      </w:r>
      <w:r>
        <w:rPr>
          <w:rFonts w:hint="eastAsia" w:ascii="仿宋_GB2312" w:hAnsi="仿宋_GB2312" w:eastAsia="仿宋_GB2312" w:cs="仿宋_GB2312"/>
          <w:sz w:val="32"/>
          <w:szCs w:val="32"/>
        </w:rPr>
        <w:t>有效期内</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t>科技型企业。</w:t>
      </w:r>
    </w:p>
    <w:p w14:paraId="715699E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tabs>
          <w:tab w:val="left" w:pos="0"/>
        </w:tabs>
        <w:kinsoku/>
        <w:wordWrap/>
        <w:overflowPunct/>
        <w:topLinePunct w:val="0"/>
        <w:autoSpaceDE/>
        <w:autoSpaceDN/>
        <w:bidi w:val="0"/>
        <w:adjustRightInd/>
        <w:snapToGrid/>
        <w:spacing w:beforeAutospacing="0" w:afterAutospacing="0" w:line="580" w:lineRule="exact"/>
        <w:ind w:leftChars="0" w:right="0" w:rightChars="0" w:firstLine="640" w:firstLineChars="200"/>
        <w:jc w:val="both"/>
        <w:textAlignment w:val="baseline"/>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pPr>
      <w:r>
        <w:rPr>
          <w:rFonts w:hint="eastAsia" w:ascii="黑体" w:hAnsi="黑体" w:eastAsia="黑体" w:cs="黑体"/>
          <w:i w:val="0"/>
          <w:iCs w:val="0"/>
          <w:caps w:val="0"/>
          <w:color w:val="000000"/>
          <w:spacing w:val="0"/>
          <w:kern w:val="0"/>
          <w:sz w:val="32"/>
          <w:szCs w:val="32"/>
          <w:shd w:val="clear" w:color="auto" w:fill="FFFFFF"/>
          <w:vertAlign w:val="baseline"/>
          <w:lang w:val="en-US" w:eastAsia="zh-CN" w:bidi="ar"/>
        </w:rPr>
        <w:t xml:space="preserve">第五条 </w:t>
      </w:r>
      <w:r>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t xml:space="preserve"> 自治区科技厅、财政厅、广西金融监管局按照各自职责分工，共同做好科技保险保费补贴工作。</w:t>
      </w:r>
    </w:p>
    <w:p w14:paraId="059A466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Autospacing="0" w:line="580" w:lineRule="exact"/>
        <w:ind w:leftChars="0" w:right="0" w:rightChars="0" w:firstLine="640" w:firstLineChars="200"/>
        <w:jc w:val="both"/>
        <w:textAlignment w:val="baseline"/>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t>自治区科技厅负责确定科技保险产品目录，组织企业申报，对申报材料进行审核，</w:t>
      </w:r>
      <w:r>
        <w:rPr>
          <w:rFonts w:hint="eastAsia" w:ascii="仿宋_GB2312" w:hAnsi="仿宋_GB2312" w:eastAsia="仿宋_GB2312" w:cs="仿宋_GB2312"/>
          <w:color w:val="000000"/>
          <w:kern w:val="0"/>
          <w:sz w:val="32"/>
          <w:szCs w:val="32"/>
          <w:shd w:val="clear" w:color="auto" w:fill="FFFFFF"/>
          <w:lang w:bidi="ar"/>
        </w:rPr>
        <w:t>提出保费补贴预算安排建议，拨付保费补贴，对保费补贴资金的使用进行监管，开展预算绩效管理等工作</w:t>
      </w:r>
      <w:r>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t>。</w:t>
      </w:r>
    </w:p>
    <w:p w14:paraId="20DE9F0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Autospacing="0" w:line="580" w:lineRule="exact"/>
        <w:ind w:leftChars="0" w:right="0" w:rightChars="0" w:firstLine="640" w:firstLineChars="200"/>
        <w:jc w:val="both"/>
        <w:textAlignment w:val="baseline"/>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t>自治区财政厅负责补贴资金的预算安排和监督管理等工作。</w:t>
      </w:r>
    </w:p>
    <w:p w14:paraId="41696A2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Autospacing="0" w:line="580" w:lineRule="exact"/>
        <w:ind w:leftChars="0" w:right="0" w:rightChars="0" w:firstLine="640" w:firstLineChars="200"/>
        <w:jc w:val="both"/>
        <w:textAlignment w:val="baseline"/>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t>广西金融监管局负责会同自治区科技厅确定科技保险产品目录，指导保险机构开展科技保险业务，加强对保险市场的监管，规范保险机构经营行为。</w:t>
      </w:r>
    </w:p>
    <w:p w14:paraId="2F45676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Autospacing="0" w:line="580" w:lineRule="exact"/>
        <w:ind w:leftChars="0" w:right="0" w:rightChars="0" w:firstLine="640" w:firstLineChars="200"/>
        <w:jc w:val="both"/>
        <w:textAlignment w:val="baseline"/>
        <w:rPr>
          <w:rFonts w:hint="eastAsia" w:ascii="黑体" w:hAnsi="黑体" w:eastAsia="黑体" w:cs="黑体"/>
          <w:i w:val="0"/>
          <w:iCs w:val="0"/>
          <w:caps w:val="0"/>
          <w:color w:val="000000"/>
          <w:spacing w:val="0"/>
          <w:kern w:val="0"/>
          <w:sz w:val="32"/>
          <w:szCs w:val="32"/>
          <w:shd w:val="clear" w:color="auto" w:fill="FFFFFF"/>
          <w:vertAlign w:val="baseline"/>
          <w:lang w:val="en-US" w:eastAsia="zh-CN" w:bidi="ar"/>
        </w:rPr>
      </w:pPr>
    </w:p>
    <w:p w14:paraId="667F0AD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Autospacing="0" w:line="580" w:lineRule="exact"/>
        <w:ind w:right="0" w:rightChars="0"/>
        <w:jc w:val="center"/>
        <w:textAlignment w:val="baseline"/>
        <w:rPr>
          <w:rFonts w:hint="eastAsia" w:ascii="黑体" w:hAnsi="黑体" w:eastAsia="黑体" w:cs="黑体"/>
          <w:i w:val="0"/>
          <w:iCs w:val="0"/>
          <w:caps w:val="0"/>
          <w:color w:val="000000"/>
          <w:spacing w:val="0"/>
          <w:kern w:val="0"/>
          <w:sz w:val="32"/>
          <w:szCs w:val="32"/>
          <w:shd w:val="clear" w:color="auto" w:fill="FFFFFF"/>
          <w:vertAlign w:val="baseline"/>
          <w:lang w:val="en-US" w:eastAsia="zh-CN" w:bidi="ar"/>
        </w:rPr>
      </w:pPr>
      <w:r>
        <w:rPr>
          <w:rFonts w:hint="eastAsia" w:ascii="黑体" w:hAnsi="黑体" w:eastAsia="黑体" w:cs="黑体"/>
          <w:i w:val="0"/>
          <w:iCs w:val="0"/>
          <w:caps w:val="0"/>
          <w:color w:val="000000"/>
          <w:spacing w:val="0"/>
          <w:kern w:val="0"/>
          <w:sz w:val="32"/>
          <w:szCs w:val="32"/>
          <w:shd w:val="clear" w:color="auto" w:fill="FFFFFF"/>
          <w:vertAlign w:val="baseline"/>
          <w:lang w:val="en-US" w:eastAsia="zh-CN" w:bidi="ar"/>
        </w:rPr>
        <w:t>第二章  科技保险产品</w:t>
      </w:r>
    </w:p>
    <w:p w14:paraId="0F66AAEC">
      <w:pPr>
        <w:pStyle w:val="2"/>
        <w:keepNext w:val="0"/>
        <w:keepLines w:val="0"/>
        <w:pageBreakBefore w:val="0"/>
        <w:widowControl w:val="0"/>
        <w:kinsoku/>
        <w:wordWrap/>
        <w:overflowPunct/>
        <w:topLinePunct w:val="0"/>
        <w:autoSpaceDE/>
        <w:autoSpaceDN/>
        <w:bidi w:val="0"/>
        <w:snapToGrid/>
        <w:spacing w:line="580" w:lineRule="exact"/>
        <w:ind w:leftChars="0" w:firstLine="640" w:firstLineChars="200"/>
        <w:jc w:val="both"/>
        <w:textAlignment w:val="baseline"/>
        <w:rPr>
          <w:rFonts w:hint="eastAsia"/>
          <w:sz w:val="32"/>
          <w:szCs w:val="32"/>
          <w:lang w:val="en-US" w:eastAsia="zh-CN"/>
        </w:rPr>
      </w:pPr>
    </w:p>
    <w:p w14:paraId="1CA084B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tabs>
          <w:tab w:val="left" w:pos="0"/>
        </w:tabs>
        <w:kinsoku/>
        <w:wordWrap/>
        <w:overflowPunct/>
        <w:topLinePunct w:val="0"/>
        <w:autoSpaceDE/>
        <w:autoSpaceDN/>
        <w:bidi w:val="0"/>
        <w:adjustRightInd/>
        <w:snapToGrid/>
        <w:spacing w:beforeAutospacing="0" w:afterAutospacing="0" w:line="580" w:lineRule="exact"/>
        <w:ind w:leftChars="0" w:right="0" w:rightChars="0" w:firstLine="640" w:firstLineChars="200"/>
        <w:jc w:val="both"/>
        <w:textAlignment w:val="baseline"/>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pPr>
      <w:r>
        <w:rPr>
          <w:rFonts w:hint="eastAsia" w:ascii="黑体" w:hAnsi="黑体" w:eastAsia="黑体" w:cs="黑体"/>
          <w:i w:val="0"/>
          <w:iCs w:val="0"/>
          <w:caps w:val="0"/>
          <w:color w:val="000000"/>
          <w:spacing w:val="0"/>
          <w:kern w:val="0"/>
          <w:sz w:val="32"/>
          <w:szCs w:val="32"/>
          <w:shd w:val="clear" w:color="auto" w:fill="FFFFFF"/>
          <w:vertAlign w:val="baseline"/>
          <w:lang w:val="en-US" w:eastAsia="zh-CN" w:bidi="ar"/>
        </w:rPr>
        <w:t>第六条</w:t>
      </w:r>
      <w:r>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t xml:space="preserve">  科技保险产品实行目录制，具体险种由自治区科技厅会同</w:t>
      </w:r>
      <w:r>
        <w:rPr>
          <w:rFonts w:hint="eastAsia" w:ascii="仿宋_GB2312" w:hAnsi="仿宋_GB2312" w:eastAsia="仿宋_GB2312" w:cs="仿宋_GB2312"/>
          <w:color w:val="000000"/>
          <w:kern w:val="0"/>
          <w:sz w:val="32"/>
          <w:szCs w:val="32"/>
          <w:shd w:val="clear" w:color="auto" w:fill="FFFFFF"/>
          <w:lang w:bidi="ar"/>
        </w:rPr>
        <w:t>广西</w:t>
      </w:r>
      <w:r>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t>金融监管局根据国家政策导向、科技创新需求以及保险市场发展情况等面向社会遴选，并公开发布供科技型企业自愿选择。科技保险险种应具备以下条件：</w:t>
      </w:r>
    </w:p>
    <w:p w14:paraId="0FBB545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baseline"/>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t>（一）保险产品已通过银行保险监督管理部门审批或备案，可在广西壮族自治区行政区域内进行销售；</w:t>
      </w:r>
    </w:p>
    <w:p w14:paraId="678410E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baseline"/>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t>（二）承保的保险机构经金融监管部门批准设立，组建专门科技保险业务部门或服务团队，有专项经营推广计划；</w:t>
      </w:r>
    </w:p>
    <w:p w14:paraId="31BEB43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baseline"/>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t>（三）保险产品能够切实降低或分散科技型企业在科研、技术交易、成果转化等环节的风险，有助于增强科技型企业竞争力。</w:t>
      </w:r>
    </w:p>
    <w:p w14:paraId="391CC17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tabs>
          <w:tab w:val="left" w:pos="0"/>
        </w:tabs>
        <w:kinsoku/>
        <w:wordWrap/>
        <w:overflowPunct/>
        <w:topLinePunct w:val="0"/>
        <w:autoSpaceDE/>
        <w:autoSpaceDN/>
        <w:bidi w:val="0"/>
        <w:adjustRightInd/>
        <w:snapToGrid/>
        <w:spacing w:beforeAutospacing="0" w:afterAutospacing="0" w:line="580" w:lineRule="exact"/>
        <w:ind w:leftChars="0" w:right="0" w:rightChars="0" w:firstLine="640" w:firstLineChars="200"/>
        <w:jc w:val="both"/>
        <w:textAlignment w:val="baseline"/>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pPr>
      <w:r>
        <w:rPr>
          <w:rFonts w:hint="eastAsia" w:ascii="黑体" w:hAnsi="黑体" w:eastAsia="黑体" w:cs="黑体"/>
          <w:i w:val="0"/>
          <w:iCs w:val="0"/>
          <w:caps w:val="0"/>
          <w:color w:val="000000"/>
          <w:spacing w:val="0"/>
          <w:kern w:val="0"/>
          <w:sz w:val="32"/>
          <w:szCs w:val="32"/>
          <w:shd w:val="clear" w:color="auto" w:fill="FFFFFF"/>
          <w:vertAlign w:val="baseline"/>
          <w:lang w:val="en-US" w:eastAsia="zh-CN" w:bidi="ar"/>
        </w:rPr>
        <w:t>第七条</w:t>
      </w:r>
      <w:r>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t xml:space="preserve">  目录内科技保险产品实行分类管理，分类标准如下：</w:t>
      </w:r>
    </w:p>
    <w:p w14:paraId="2A02E04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tabs>
          <w:tab w:val="left" w:pos="0"/>
        </w:tabs>
        <w:kinsoku/>
        <w:wordWrap/>
        <w:overflowPunct/>
        <w:topLinePunct w:val="0"/>
        <w:autoSpaceDE/>
        <w:autoSpaceDN/>
        <w:bidi w:val="0"/>
        <w:adjustRightInd/>
        <w:snapToGrid/>
        <w:spacing w:beforeAutospacing="0" w:afterAutospacing="0" w:line="580" w:lineRule="exact"/>
        <w:ind w:left="0" w:leftChars="0" w:right="0" w:rightChars="0" w:firstLine="643" w:firstLineChars="200"/>
        <w:jc w:val="both"/>
        <w:textAlignment w:val="baseline"/>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color="auto" w:fill="FFFFFF"/>
          <w:vertAlign w:val="baseline"/>
          <w:lang w:val="en-US" w:eastAsia="zh-CN" w:bidi="ar"/>
        </w:rPr>
        <w:t>一</w:t>
      </w:r>
      <w:r>
        <w:rPr>
          <w:rFonts w:hint="eastAsia" w:ascii="仿宋_GB2312" w:hAnsi="仿宋_GB2312" w:eastAsia="仿宋_GB2312" w:cs="仿宋_GB2312"/>
          <w:b/>
          <w:bCs/>
          <w:i w:val="0"/>
          <w:iCs w:val="0"/>
          <w:caps w:val="0"/>
          <w:color w:val="000000"/>
          <w:spacing w:val="0"/>
          <w:kern w:val="0"/>
          <w:sz w:val="32"/>
          <w:szCs w:val="32"/>
          <w:highlight w:val="none"/>
          <w:shd w:val="clear" w:color="auto" w:fill="FFFFFF"/>
          <w:vertAlign w:val="baseline"/>
          <w:lang w:val="en-US" w:eastAsia="zh-CN" w:bidi="ar"/>
        </w:rPr>
        <w:t>类保险产品：</w:t>
      </w:r>
      <w:r>
        <w:rPr>
          <w:rFonts w:hint="eastAsia" w:ascii="仿宋_GB2312" w:hAnsi="仿宋_GB2312" w:eastAsia="仿宋_GB2312" w:cs="仿宋_GB2312"/>
          <w:i w:val="0"/>
          <w:iCs w:val="0"/>
          <w:caps w:val="0"/>
          <w:color w:val="000000"/>
          <w:spacing w:val="0"/>
          <w:kern w:val="0"/>
          <w:sz w:val="32"/>
          <w:szCs w:val="32"/>
          <w:highlight w:val="none"/>
          <w:shd w:val="clear" w:color="auto" w:fill="FFFFFF"/>
          <w:vertAlign w:val="baseline"/>
          <w:lang w:val="en-US" w:eastAsia="zh-CN" w:bidi="ar"/>
        </w:rPr>
        <w:t>研发费用损失保险、产品研发责任保险、关键研发设备保险、研发中断保险、科技成果转化费用损失保险、</w:t>
      </w:r>
      <w:r>
        <w:rPr>
          <w:rFonts w:hint="eastAsia" w:ascii="仿宋_GB2312" w:hAnsi="仿宋_GB2312" w:eastAsia="仿宋_GB2312" w:cs="仿宋_GB2312"/>
          <w:color w:val="000000"/>
          <w:kern w:val="0"/>
          <w:sz w:val="32"/>
          <w:szCs w:val="32"/>
          <w:highlight w:val="none"/>
          <w:shd w:val="clear" w:color="auto" w:fill="FFFFFF"/>
          <w:lang w:bidi="ar"/>
        </w:rPr>
        <w:t>首台（套）重大技术装备综合保险</w:t>
      </w:r>
      <w:r>
        <w:rPr>
          <w:rFonts w:hint="eastAsia" w:ascii="仿宋_GB2312" w:hAnsi="仿宋_GB2312" w:eastAsia="仿宋_GB2312" w:cs="仿宋_GB2312"/>
          <w:i w:val="0"/>
          <w:iCs w:val="0"/>
          <w:caps w:val="0"/>
          <w:color w:val="000000"/>
          <w:spacing w:val="0"/>
          <w:kern w:val="0"/>
          <w:sz w:val="32"/>
          <w:szCs w:val="32"/>
          <w:highlight w:val="none"/>
          <w:shd w:val="clear" w:color="auto" w:fill="FFFFFF"/>
          <w:vertAlign w:val="baseline"/>
          <w:lang w:val="en-US" w:eastAsia="zh-CN" w:bidi="ar"/>
        </w:rPr>
        <w:t>、</w:t>
      </w:r>
      <w:r>
        <w:rPr>
          <w:rFonts w:hint="eastAsia" w:ascii="仿宋_GB2312" w:hAnsi="仿宋_GB2312" w:eastAsia="仿宋_GB2312" w:cs="仿宋_GB2312"/>
          <w:color w:val="000000"/>
          <w:kern w:val="0"/>
          <w:sz w:val="32"/>
          <w:szCs w:val="32"/>
          <w:highlight w:val="none"/>
          <w:shd w:val="clear" w:color="auto" w:fill="FFFFFF"/>
          <w:lang w:bidi="ar"/>
        </w:rPr>
        <w:t>重点新材料首批次应用综合保险</w:t>
      </w:r>
      <w:r>
        <w:rPr>
          <w:rFonts w:hint="eastAsia" w:ascii="仿宋_GB2312" w:hAnsi="仿宋_GB2312" w:eastAsia="仿宋_GB2312" w:cs="仿宋_GB2312"/>
          <w:i w:val="0"/>
          <w:iCs w:val="0"/>
          <w:caps w:val="0"/>
          <w:color w:val="000000"/>
          <w:spacing w:val="0"/>
          <w:kern w:val="0"/>
          <w:sz w:val="32"/>
          <w:szCs w:val="32"/>
          <w:highlight w:val="none"/>
          <w:shd w:val="clear" w:color="auto" w:fill="FFFFFF"/>
          <w:vertAlign w:val="baseline"/>
          <w:lang w:val="en-US" w:eastAsia="zh-CN" w:bidi="ar"/>
        </w:rPr>
        <w:t>、</w:t>
      </w:r>
      <w:r>
        <w:rPr>
          <w:rFonts w:hint="eastAsia" w:ascii="仿宋_GB2312" w:hAnsi="仿宋_GB2312" w:eastAsia="仿宋_GB2312" w:cs="仿宋_GB2312"/>
          <w:color w:val="000000"/>
          <w:kern w:val="0"/>
          <w:sz w:val="32"/>
          <w:szCs w:val="32"/>
          <w:highlight w:val="none"/>
          <w:shd w:val="clear" w:color="auto" w:fill="FFFFFF"/>
          <w:lang w:bidi="ar"/>
        </w:rPr>
        <w:t>首版次软件综合保险</w:t>
      </w:r>
      <w:r>
        <w:rPr>
          <w:rFonts w:hint="eastAsia" w:ascii="仿宋_GB2312" w:hAnsi="仿宋_GB2312" w:eastAsia="仿宋_GB2312" w:cs="仿宋_GB2312"/>
          <w:i w:val="0"/>
          <w:iCs w:val="0"/>
          <w:caps w:val="0"/>
          <w:color w:val="000000"/>
          <w:spacing w:val="0"/>
          <w:kern w:val="0"/>
          <w:sz w:val="32"/>
          <w:szCs w:val="32"/>
          <w:highlight w:val="none"/>
          <w:shd w:val="clear" w:color="auto" w:fill="FFFFFF"/>
          <w:vertAlign w:val="baseline"/>
          <w:lang w:val="en-US" w:eastAsia="zh-CN" w:bidi="ar"/>
        </w:rPr>
        <w:t>等科技研发、成果转化风险类、科技成果应用推广风险类保险。</w:t>
      </w:r>
    </w:p>
    <w:p w14:paraId="2ABF0CF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tabs>
          <w:tab w:val="left" w:pos="0"/>
        </w:tabs>
        <w:kinsoku/>
        <w:wordWrap/>
        <w:overflowPunct/>
        <w:topLinePunct w:val="0"/>
        <w:autoSpaceDE/>
        <w:autoSpaceDN/>
        <w:bidi w:val="0"/>
        <w:adjustRightInd/>
        <w:snapToGrid/>
        <w:spacing w:beforeAutospacing="0" w:afterAutospacing="0" w:line="580" w:lineRule="exact"/>
        <w:ind w:left="0" w:leftChars="0" w:right="0" w:rightChars="0" w:firstLine="643" w:firstLineChars="200"/>
        <w:jc w:val="both"/>
        <w:textAlignment w:val="baseline"/>
        <w:rPr>
          <w:rFonts w:hint="default"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color="auto" w:fill="FFFFFF"/>
          <w:vertAlign w:val="baseline"/>
          <w:lang w:val="en-US" w:eastAsia="zh-CN" w:bidi="ar"/>
        </w:rPr>
        <w:t>二类保险产品：</w:t>
      </w:r>
      <w:r>
        <w:rPr>
          <w:rFonts w:hint="eastAsia" w:ascii="仿宋_GB2312" w:hAnsi="仿宋_GB2312" w:eastAsia="仿宋_GB2312" w:cs="仿宋_GB2312"/>
          <w:i w:val="0"/>
          <w:iCs w:val="0"/>
          <w:caps w:val="0"/>
          <w:color w:val="000000"/>
          <w:spacing w:val="0"/>
          <w:kern w:val="0"/>
          <w:sz w:val="32"/>
          <w:szCs w:val="32"/>
          <w:highlight w:val="none"/>
          <w:shd w:val="clear" w:color="auto" w:fill="FFFFFF"/>
          <w:vertAlign w:val="baseline"/>
          <w:lang w:val="en-US" w:eastAsia="zh-CN" w:bidi="ar"/>
        </w:rPr>
        <w:t>知识产权申请费用补偿保险、知识产权被侵权损失保险、知识产权质押融资保证保险、</w:t>
      </w:r>
      <w:r>
        <w:rPr>
          <w:rFonts w:hint="eastAsia" w:ascii="仿宋_GB2312" w:hAnsi="仿宋_GB2312" w:eastAsia="仿宋_GB2312" w:cs="仿宋_GB2312"/>
          <w:color w:val="000000"/>
          <w:kern w:val="0"/>
          <w:sz w:val="32"/>
          <w:szCs w:val="32"/>
          <w:highlight w:val="none"/>
          <w:shd w:val="clear" w:color="auto" w:fill="FFFFFF"/>
          <w:lang w:bidi="ar"/>
        </w:rPr>
        <w:t>专利许可信用保险</w:t>
      </w:r>
      <w:r>
        <w:rPr>
          <w:rFonts w:hint="eastAsia" w:ascii="仿宋_GB2312" w:hAnsi="仿宋_GB2312" w:eastAsia="仿宋_GB2312" w:cs="仿宋_GB2312"/>
          <w:color w:val="000000"/>
          <w:kern w:val="0"/>
          <w:sz w:val="32"/>
          <w:szCs w:val="32"/>
          <w:highlight w:val="none"/>
          <w:shd w:val="clear" w:color="auto" w:fill="FFFFFF"/>
          <w:lang w:eastAsia="zh-CN" w:bidi="ar"/>
        </w:rPr>
        <w:t>、</w:t>
      </w:r>
      <w:r>
        <w:rPr>
          <w:rFonts w:hint="eastAsia" w:ascii="仿宋_GB2312" w:hAnsi="仿宋_GB2312" w:eastAsia="仿宋_GB2312" w:cs="仿宋_GB2312"/>
          <w:color w:val="000000"/>
          <w:kern w:val="0"/>
          <w:sz w:val="32"/>
          <w:szCs w:val="32"/>
          <w:highlight w:val="none"/>
          <w:shd w:val="clear" w:color="auto" w:fill="FFFFFF"/>
          <w:lang w:bidi="ar"/>
        </w:rPr>
        <w:t>专利实施失败费用损失保险</w:t>
      </w:r>
      <w:r>
        <w:rPr>
          <w:rFonts w:hint="eastAsia" w:ascii="仿宋_GB2312" w:hAnsi="仿宋_GB2312" w:eastAsia="仿宋_GB2312" w:cs="仿宋_GB2312"/>
          <w:color w:val="000000"/>
          <w:kern w:val="0"/>
          <w:sz w:val="32"/>
          <w:szCs w:val="32"/>
          <w:highlight w:val="none"/>
          <w:shd w:val="clear" w:color="auto" w:fill="FFFFFF"/>
          <w:lang w:eastAsia="zh-CN" w:bidi="ar"/>
        </w:rPr>
        <w:t>、</w:t>
      </w:r>
      <w:r>
        <w:rPr>
          <w:rFonts w:hint="eastAsia" w:ascii="仿宋_GB2312" w:hAnsi="仿宋_GB2312" w:eastAsia="仿宋_GB2312" w:cs="仿宋_GB2312"/>
          <w:i w:val="0"/>
          <w:iCs w:val="0"/>
          <w:caps w:val="0"/>
          <w:color w:val="000000"/>
          <w:spacing w:val="0"/>
          <w:kern w:val="0"/>
          <w:sz w:val="32"/>
          <w:szCs w:val="32"/>
          <w:highlight w:val="none"/>
          <w:shd w:val="clear" w:color="auto" w:fill="FFFFFF"/>
          <w:vertAlign w:val="baseline"/>
          <w:lang w:val="en-US" w:eastAsia="zh-CN" w:bidi="ar"/>
        </w:rPr>
        <w:t>知识产权海外侵权责任险、</w:t>
      </w:r>
      <w:r>
        <w:rPr>
          <w:rFonts w:hint="eastAsia" w:ascii="仿宋_GB2312" w:hAnsi="仿宋_GB2312" w:eastAsia="仿宋_GB2312" w:cs="仿宋_GB2312"/>
          <w:sz w:val="32"/>
          <w:szCs w:val="32"/>
          <w:highlight w:val="none"/>
          <w:vertAlign w:val="baseline"/>
          <w:lang w:val="en-US" w:eastAsia="zh-CN"/>
        </w:rPr>
        <w:t>专利海外布局费用损失保险</w:t>
      </w:r>
      <w:r>
        <w:rPr>
          <w:rFonts w:hint="eastAsia" w:ascii="仿宋_GB2312" w:hAnsi="仿宋_GB2312" w:eastAsia="仿宋_GB2312" w:cs="仿宋_GB2312"/>
          <w:i w:val="0"/>
          <w:iCs w:val="0"/>
          <w:caps w:val="0"/>
          <w:color w:val="000000"/>
          <w:spacing w:val="0"/>
          <w:kern w:val="0"/>
          <w:sz w:val="32"/>
          <w:szCs w:val="32"/>
          <w:highlight w:val="none"/>
          <w:shd w:val="clear" w:color="auto" w:fill="FFFFFF"/>
          <w:vertAlign w:val="baseline"/>
          <w:lang w:val="en-US" w:eastAsia="zh-CN" w:bidi="ar"/>
        </w:rPr>
        <w:t>等知识</w:t>
      </w:r>
      <w:r>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t>产权风险类保险；网络安全保险、人才创业保险、</w:t>
      </w:r>
      <w:r>
        <w:rPr>
          <w:rFonts w:hint="eastAsia" w:ascii="仿宋_GB2312" w:hAnsi="仿宋_GB2312" w:eastAsia="仿宋_GB2312" w:cs="仿宋_GB2312"/>
          <w:color w:val="000000"/>
          <w:kern w:val="0"/>
          <w:sz w:val="32"/>
          <w:szCs w:val="32"/>
          <w:shd w:val="clear" w:color="auto" w:fill="FFFFFF"/>
          <w:lang w:bidi="ar"/>
        </w:rPr>
        <w:t>高新技术企业申请费用损失保险</w:t>
      </w:r>
      <w:r>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t>等科技活动基础风险类保险。</w:t>
      </w:r>
    </w:p>
    <w:p w14:paraId="2921B59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tabs>
          <w:tab w:val="left" w:pos="0"/>
        </w:tabs>
        <w:kinsoku/>
        <w:wordWrap/>
        <w:overflowPunct/>
        <w:topLinePunct w:val="0"/>
        <w:autoSpaceDE/>
        <w:autoSpaceDN/>
        <w:bidi w:val="0"/>
        <w:adjustRightInd/>
        <w:snapToGrid/>
        <w:spacing w:beforeAutospacing="0" w:afterAutospacing="0" w:line="580" w:lineRule="exact"/>
        <w:ind w:left="0" w:leftChars="0" w:right="0" w:rightChars="0" w:firstLine="643" w:firstLineChars="200"/>
        <w:jc w:val="both"/>
        <w:textAlignment w:val="baseline"/>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color="auto" w:fill="FFFFFF"/>
          <w:vertAlign w:val="baseline"/>
          <w:lang w:val="en-US" w:eastAsia="zh-CN" w:bidi="ar"/>
        </w:rPr>
        <w:t>三类保险产品：</w:t>
      </w:r>
      <w:r>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t>小额贷款保证保险、产品责任保险、产品质量保证保险、营业中断保险、雇主责任保险、环境污染责任保险、企业财产保险（包括基本险、一切险和综合险）、董事会监事会高级管理人员责任保险、企业信用险等。</w:t>
      </w:r>
    </w:p>
    <w:p w14:paraId="416F7EE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tabs>
          <w:tab w:val="left" w:pos="0"/>
        </w:tabs>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baseline"/>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pPr>
    </w:p>
    <w:p w14:paraId="02F9754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tabs>
          <w:tab w:val="left" w:pos="0"/>
        </w:tabs>
        <w:kinsoku/>
        <w:wordWrap/>
        <w:overflowPunct/>
        <w:topLinePunct w:val="0"/>
        <w:autoSpaceDE/>
        <w:autoSpaceDN/>
        <w:bidi w:val="0"/>
        <w:adjustRightInd/>
        <w:snapToGrid/>
        <w:spacing w:beforeAutospacing="0" w:afterAutospacing="0" w:line="580" w:lineRule="exact"/>
        <w:ind w:right="0" w:rightChars="0"/>
        <w:jc w:val="center"/>
        <w:textAlignment w:val="baseline"/>
        <w:rPr>
          <w:rFonts w:hint="eastAsia" w:ascii="黑体" w:hAnsi="黑体" w:eastAsia="黑体" w:cs="黑体"/>
          <w:i w:val="0"/>
          <w:iCs w:val="0"/>
          <w:caps w:val="0"/>
          <w:color w:val="000000"/>
          <w:spacing w:val="0"/>
          <w:kern w:val="0"/>
          <w:sz w:val="32"/>
          <w:szCs w:val="32"/>
          <w:shd w:val="clear" w:color="auto" w:fill="FFFFFF"/>
          <w:vertAlign w:val="baseline"/>
          <w:lang w:val="en-US" w:eastAsia="zh-CN" w:bidi="ar"/>
        </w:rPr>
      </w:pPr>
      <w:r>
        <w:rPr>
          <w:rFonts w:hint="eastAsia" w:ascii="黑体" w:hAnsi="黑体" w:eastAsia="黑体" w:cs="黑体"/>
          <w:i w:val="0"/>
          <w:iCs w:val="0"/>
          <w:caps w:val="0"/>
          <w:color w:val="000000"/>
          <w:spacing w:val="0"/>
          <w:kern w:val="0"/>
          <w:sz w:val="32"/>
          <w:szCs w:val="32"/>
          <w:shd w:val="clear" w:color="auto" w:fill="FFFFFF"/>
          <w:vertAlign w:val="baseline"/>
          <w:lang w:val="en-US" w:eastAsia="zh-CN" w:bidi="ar"/>
        </w:rPr>
        <w:t>第三章  保费补贴申请</w:t>
      </w:r>
    </w:p>
    <w:p w14:paraId="5E26BB2A">
      <w:pPr>
        <w:pStyle w:val="2"/>
        <w:keepNext w:val="0"/>
        <w:keepLines w:val="0"/>
        <w:pageBreakBefore w:val="0"/>
        <w:widowControl w:val="0"/>
        <w:kinsoku/>
        <w:wordWrap/>
        <w:overflowPunct/>
        <w:topLinePunct w:val="0"/>
        <w:autoSpaceDE/>
        <w:autoSpaceDN/>
        <w:bidi w:val="0"/>
        <w:snapToGrid/>
        <w:spacing w:line="580" w:lineRule="exact"/>
        <w:ind w:leftChars="0" w:firstLine="640" w:firstLineChars="200"/>
        <w:jc w:val="both"/>
        <w:textAlignment w:val="baseline"/>
        <w:rPr>
          <w:rFonts w:hint="eastAsia"/>
          <w:sz w:val="32"/>
          <w:szCs w:val="32"/>
          <w:lang w:val="en-US" w:eastAsia="zh-CN"/>
        </w:rPr>
      </w:pPr>
    </w:p>
    <w:p w14:paraId="63A24D6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tabs>
          <w:tab w:val="left" w:pos="0"/>
        </w:tabs>
        <w:kinsoku/>
        <w:wordWrap/>
        <w:overflowPunct/>
        <w:topLinePunct w:val="0"/>
        <w:autoSpaceDE/>
        <w:autoSpaceDN/>
        <w:bidi w:val="0"/>
        <w:adjustRightInd/>
        <w:snapToGrid/>
        <w:spacing w:beforeAutospacing="0" w:afterAutospacing="0" w:line="580" w:lineRule="exact"/>
        <w:ind w:leftChars="0" w:right="0" w:rightChars="0" w:firstLine="640" w:firstLineChars="200"/>
        <w:jc w:val="both"/>
        <w:textAlignment w:val="baseline"/>
        <w:rPr>
          <w:rFonts w:hint="default" w:ascii="Times New Roman" w:hAnsi="Times New Roman" w:eastAsia="仿宋_GB2312" w:cs="Times New Roman"/>
          <w:i w:val="0"/>
          <w:iCs w:val="0"/>
          <w:caps w:val="0"/>
          <w:color w:val="000000"/>
          <w:spacing w:val="0"/>
          <w:kern w:val="0"/>
          <w:sz w:val="32"/>
          <w:szCs w:val="32"/>
          <w:shd w:val="clear" w:color="auto" w:fill="FFFFFF"/>
          <w:vertAlign w:val="baseline"/>
          <w:lang w:val="en-US" w:eastAsia="zh-CN" w:bidi="ar"/>
        </w:rPr>
      </w:pPr>
      <w:r>
        <w:rPr>
          <w:rFonts w:hint="eastAsia" w:ascii="黑体" w:hAnsi="黑体" w:eastAsia="黑体" w:cs="黑体"/>
          <w:i w:val="0"/>
          <w:iCs w:val="0"/>
          <w:caps w:val="0"/>
          <w:color w:val="000000"/>
          <w:spacing w:val="0"/>
          <w:kern w:val="0"/>
          <w:sz w:val="32"/>
          <w:szCs w:val="32"/>
          <w:shd w:val="clear" w:color="auto" w:fill="FFFFFF"/>
          <w:vertAlign w:val="baseline"/>
          <w:lang w:val="en-US" w:eastAsia="zh-CN" w:bidi="ar"/>
        </w:rPr>
        <w:t>第八条</w:t>
      </w:r>
      <w:r>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t xml:space="preserve">  </w:t>
      </w:r>
      <w:r>
        <w:rPr>
          <w:rFonts w:hint="default" w:ascii="Times New Roman" w:hAnsi="Times New Roman" w:eastAsia="仿宋_GB2312" w:cs="Times New Roman"/>
          <w:color w:val="000000"/>
          <w:kern w:val="0"/>
          <w:sz w:val="32"/>
          <w:szCs w:val="32"/>
          <w:shd w:val="clear" w:color="auto" w:fill="FFFFFF"/>
          <w:lang w:bidi="ar"/>
        </w:rPr>
        <w:t>对企业投保一类保险产品的，按照实际缴纳保费的50%给予补贴；对企业投保二类保险产品的，按照实际缴纳保费的40%给予补贴；对企业投保三类保险产品的，按照实际缴纳保费的20%给予补贴。单个企业投保三类保险产品</w:t>
      </w:r>
      <w:r>
        <w:rPr>
          <w:rFonts w:hint="default" w:ascii="Times New Roman" w:hAnsi="Times New Roman" w:eastAsia="仿宋_GB2312" w:cs="Times New Roman"/>
          <w:color w:val="000000"/>
          <w:kern w:val="0"/>
          <w:sz w:val="32"/>
          <w:szCs w:val="32"/>
          <w:shd w:val="clear" w:color="auto" w:fill="FFFFFF"/>
          <w:lang w:eastAsia="zh-CN" w:bidi="ar"/>
        </w:rPr>
        <w:t>的</w:t>
      </w:r>
      <w:r>
        <w:rPr>
          <w:rFonts w:hint="default" w:ascii="Times New Roman" w:hAnsi="Times New Roman" w:eastAsia="仿宋_GB2312" w:cs="Times New Roman"/>
          <w:color w:val="000000"/>
          <w:kern w:val="0"/>
          <w:sz w:val="32"/>
          <w:szCs w:val="32"/>
          <w:shd w:val="clear" w:color="auto" w:fill="FFFFFF"/>
          <w:lang w:bidi="ar"/>
        </w:rPr>
        <w:t>，年最高补贴额不超过20万元；</w:t>
      </w:r>
      <w:r>
        <w:rPr>
          <w:rFonts w:hint="default" w:ascii="Times New Roman" w:hAnsi="Times New Roman" w:eastAsia="仿宋_GB2312" w:cs="Times New Roman"/>
          <w:color w:val="000000"/>
          <w:kern w:val="0"/>
          <w:sz w:val="32"/>
          <w:szCs w:val="32"/>
          <w:shd w:val="clear" w:color="auto" w:fill="FFFFFF"/>
          <w:lang w:eastAsia="zh-CN" w:bidi="ar"/>
        </w:rPr>
        <w:t>同时</w:t>
      </w:r>
      <w:r>
        <w:rPr>
          <w:rFonts w:hint="default" w:ascii="Times New Roman" w:hAnsi="Times New Roman" w:eastAsia="仿宋_GB2312" w:cs="Times New Roman"/>
          <w:color w:val="000000"/>
          <w:kern w:val="0"/>
          <w:sz w:val="32"/>
          <w:szCs w:val="32"/>
          <w:shd w:val="clear" w:color="auto" w:fill="FFFFFF"/>
          <w:lang w:bidi="ar"/>
        </w:rPr>
        <w:t>投保二类、三类保险产品</w:t>
      </w:r>
      <w:r>
        <w:rPr>
          <w:rFonts w:hint="default" w:ascii="Times New Roman" w:hAnsi="Times New Roman" w:eastAsia="仿宋_GB2312" w:cs="Times New Roman"/>
          <w:color w:val="000000"/>
          <w:kern w:val="0"/>
          <w:sz w:val="32"/>
          <w:szCs w:val="32"/>
          <w:shd w:val="clear" w:color="auto" w:fill="FFFFFF"/>
          <w:lang w:eastAsia="zh-CN" w:bidi="ar"/>
        </w:rPr>
        <w:t>的</w:t>
      </w:r>
      <w:r>
        <w:rPr>
          <w:rFonts w:hint="default" w:ascii="Times New Roman" w:hAnsi="Times New Roman" w:eastAsia="仿宋_GB2312" w:cs="Times New Roman"/>
          <w:color w:val="000000"/>
          <w:kern w:val="0"/>
          <w:sz w:val="32"/>
          <w:szCs w:val="32"/>
          <w:shd w:val="clear" w:color="auto" w:fill="FFFFFF"/>
          <w:lang w:bidi="ar"/>
        </w:rPr>
        <w:t>，合计年最高补贴额不超过25万元；</w:t>
      </w:r>
      <w:r>
        <w:rPr>
          <w:rFonts w:hint="default" w:ascii="Times New Roman" w:hAnsi="Times New Roman" w:eastAsia="仿宋_GB2312" w:cs="Times New Roman"/>
          <w:color w:val="000000"/>
          <w:kern w:val="0"/>
          <w:sz w:val="32"/>
          <w:szCs w:val="32"/>
          <w:shd w:val="clear" w:color="auto" w:fill="FFFFFF"/>
          <w:lang w:eastAsia="zh-CN" w:bidi="ar"/>
        </w:rPr>
        <w:t>同时</w:t>
      </w:r>
      <w:r>
        <w:rPr>
          <w:rFonts w:hint="default" w:ascii="Times New Roman" w:hAnsi="Times New Roman" w:eastAsia="仿宋_GB2312" w:cs="Times New Roman"/>
          <w:color w:val="000000"/>
          <w:kern w:val="0"/>
          <w:sz w:val="32"/>
          <w:szCs w:val="32"/>
          <w:shd w:val="clear" w:color="auto" w:fill="FFFFFF"/>
          <w:lang w:bidi="ar"/>
        </w:rPr>
        <w:t>投保</w:t>
      </w:r>
      <w:r>
        <w:rPr>
          <w:rFonts w:hint="default" w:ascii="Times New Roman" w:hAnsi="Times New Roman" w:eastAsia="仿宋_GB2312" w:cs="Times New Roman"/>
          <w:color w:val="000000"/>
          <w:kern w:val="0"/>
          <w:sz w:val="32"/>
          <w:szCs w:val="32"/>
          <w:shd w:val="clear" w:color="auto" w:fill="FFFFFF"/>
          <w:lang w:eastAsia="zh-CN" w:bidi="ar"/>
        </w:rPr>
        <w:t>包含一类产品在内的任意组合</w:t>
      </w:r>
      <w:r>
        <w:rPr>
          <w:rFonts w:hint="default" w:ascii="Times New Roman" w:hAnsi="Times New Roman" w:eastAsia="仿宋_GB2312" w:cs="Times New Roman"/>
          <w:color w:val="000000"/>
          <w:kern w:val="0"/>
          <w:sz w:val="32"/>
          <w:szCs w:val="32"/>
          <w:shd w:val="clear" w:color="auto" w:fill="FFFFFF"/>
          <w:lang w:bidi="ar"/>
        </w:rPr>
        <w:t>保险产品</w:t>
      </w:r>
      <w:r>
        <w:rPr>
          <w:rFonts w:hint="default" w:ascii="Times New Roman" w:hAnsi="Times New Roman" w:eastAsia="仿宋_GB2312" w:cs="Times New Roman"/>
          <w:color w:val="000000"/>
          <w:kern w:val="0"/>
          <w:sz w:val="32"/>
          <w:szCs w:val="32"/>
          <w:shd w:val="clear" w:color="auto" w:fill="FFFFFF"/>
          <w:lang w:eastAsia="zh-CN" w:bidi="ar"/>
        </w:rPr>
        <w:t>的</w:t>
      </w:r>
      <w:r>
        <w:rPr>
          <w:rFonts w:hint="default" w:ascii="Times New Roman" w:hAnsi="Times New Roman" w:eastAsia="仿宋_GB2312" w:cs="Times New Roman"/>
          <w:color w:val="000000"/>
          <w:kern w:val="0"/>
          <w:sz w:val="32"/>
          <w:szCs w:val="32"/>
          <w:shd w:val="clear" w:color="auto" w:fill="FFFFFF"/>
          <w:lang w:bidi="ar"/>
        </w:rPr>
        <w:t>，合计年最高补贴额不超过30万元。</w:t>
      </w:r>
    </w:p>
    <w:p w14:paraId="3EA1058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tabs>
          <w:tab w:val="left" w:pos="0"/>
        </w:tabs>
        <w:kinsoku/>
        <w:wordWrap/>
        <w:overflowPunct/>
        <w:topLinePunct w:val="0"/>
        <w:autoSpaceDE/>
        <w:autoSpaceDN/>
        <w:bidi w:val="0"/>
        <w:adjustRightInd/>
        <w:snapToGrid/>
        <w:spacing w:beforeAutospacing="0" w:afterAutospacing="0" w:line="580" w:lineRule="exact"/>
        <w:ind w:leftChars="0" w:right="0" w:rightChars="0" w:firstLine="640" w:firstLineChars="200"/>
        <w:jc w:val="both"/>
        <w:textAlignment w:val="baseline"/>
        <w:rPr>
          <w:rFonts w:hint="eastAsia" w:ascii="仿宋_GB2312" w:hAnsi="仿宋_GB2312" w:eastAsia="仿宋_GB2312" w:cs="仿宋_GB2312"/>
          <w:i w:val="0"/>
          <w:iCs w:val="0"/>
          <w:caps w:val="0"/>
          <w:color w:val="000000"/>
          <w:spacing w:val="0"/>
          <w:kern w:val="0"/>
          <w:sz w:val="32"/>
          <w:szCs w:val="32"/>
          <w:highlight w:val="none"/>
          <w:shd w:val="clear" w:color="auto" w:fill="FFFFFF"/>
          <w:vertAlign w:val="baseline"/>
          <w:lang w:val="en-US" w:eastAsia="zh-CN" w:bidi="ar"/>
        </w:rPr>
      </w:pPr>
      <w:r>
        <w:rPr>
          <w:rFonts w:hint="eastAsia" w:ascii="黑体" w:hAnsi="黑体" w:eastAsia="黑体" w:cs="黑体"/>
          <w:i w:val="0"/>
          <w:iCs w:val="0"/>
          <w:caps w:val="0"/>
          <w:color w:val="000000"/>
          <w:spacing w:val="0"/>
          <w:kern w:val="0"/>
          <w:sz w:val="32"/>
          <w:szCs w:val="32"/>
          <w:shd w:val="clear" w:color="auto" w:fill="FFFFFF"/>
          <w:vertAlign w:val="baseline"/>
          <w:lang w:val="en-US" w:eastAsia="zh-CN" w:bidi="ar"/>
        </w:rPr>
        <w:t>第九条</w:t>
      </w:r>
      <w:r>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t xml:space="preserve">  </w:t>
      </w:r>
      <w:r>
        <w:rPr>
          <w:rFonts w:hint="eastAsia" w:ascii="仿宋_GB2312" w:hAnsi="仿宋_GB2312" w:eastAsia="仿宋_GB2312" w:cs="仿宋_GB2312"/>
          <w:i w:val="0"/>
          <w:iCs w:val="0"/>
          <w:caps w:val="0"/>
          <w:color w:val="000000"/>
          <w:spacing w:val="0"/>
          <w:kern w:val="0"/>
          <w:sz w:val="32"/>
          <w:szCs w:val="32"/>
          <w:highlight w:val="none"/>
          <w:shd w:val="clear" w:color="auto" w:fill="FFFFFF"/>
          <w:vertAlign w:val="baseline"/>
          <w:lang w:val="en-US" w:eastAsia="zh-CN" w:bidi="ar"/>
        </w:rPr>
        <w:t>科技保险保费补贴采用按年补贴的方式进行（起止时间以保险合同载明日期为准，</w:t>
      </w:r>
      <w:r>
        <w:rPr>
          <w:rFonts w:hint="eastAsia" w:ascii="仿宋_GB2312" w:hAnsi="仿宋_GB2312" w:eastAsia="仿宋_GB2312" w:cs="仿宋_GB2312"/>
          <w:color w:val="000000"/>
          <w:kern w:val="0"/>
          <w:sz w:val="32"/>
          <w:szCs w:val="32"/>
          <w:highlight w:val="none"/>
          <w:shd w:val="clear" w:color="auto" w:fill="FFFFFF"/>
          <w:lang w:bidi="ar"/>
        </w:rPr>
        <w:t>保险期限不足一年的按实际投保期限予以</w:t>
      </w:r>
      <w:r>
        <w:rPr>
          <w:rFonts w:hint="eastAsia" w:ascii="仿宋_GB2312" w:hAnsi="仿宋_GB2312" w:eastAsia="仿宋_GB2312" w:cs="仿宋_GB2312"/>
          <w:i w:val="0"/>
          <w:iCs w:val="0"/>
          <w:caps w:val="0"/>
          <w:color w:val="000000"/>
          <w:spacing w:val="0"/>
          <w:kern w:val="0"/>
          <w:sz w:val="32"/>
          <w:szCs w:val="32"/>
          <w:highlight w:val="none"/>
          <w:shd w:val="clear" w:color="auto" w:fill="FFFFFF"/>
          <w:vertAlign w:val="baseline"/>
          <w:lang w:val="en-US" w:eastAsia="zh-CN" w:bidi="ar"/>
        </w:rPr>
        <w:t>补贴）。企业应在保险合同生效且保费缴纳完成后，方可申请补贴。</w:t>
      </w:r>
    </w:p>
    <w:p w14:paraId="539F7642">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shd w:val="clear" w:color="auto" w:fill="auto"/>
        <w:tabs>
          <w:tab w:val="left" w:pos="0"/>
        </w:tabs>
        <w:kinsoku/>
        <w:wordWrap/>
        <w:overflowPunct/>
        <w:topLinePunct w:val="0"/>
        <w:autoSpaceDE/>
        <w:autoSpaceDN/>
        <w:bidi w:val="0"/>
        <w:adjustRightInd/>
        <w:snapToGrid/>
        <w:spacing w:line="580" w:lineRule="exact"/>
        <w:ind w:leftChars="0" w:firstLine="640" w:firstLineChars="200"/>
        <w:jc w:val="both"/>
        <w:textAlignment w:val="baseline"/>
        <w:rPr>
          <w:rFonts w:hint="eastAsia" w:ascii="CESI仿宋-GB2312" w:hAnsi="CESI仿宋-GB2312" w:eastAsia="CESI仿宋-GB2312" w:cs="CESI仿宋-GB2312"/>
          <w:sz w:val="32"/>
          <w:szCs w:val="32"/>
          <w:lang w:val="en-US" w:eastAsia="zh-CN"/>
        </w:rPr>
      </w:pPr>
      <w:r>
        <w:rPr>
          <w:rFonts w:hint="eastAsia" w:ascii="黑体" w:hAnsi="黑体" w:eastAsia="黑体" w:cs="黑体"/>
          <w:i w:val="0"/>
          <w:iCs w:val="0"/>
          <w:caps w:val="0"/>
          <w:color w:val="000000"/>
          <w:spacing w:val="0"/>
          <w:kern w:val="0"/>
          <w:sz w:val="32"/>
          <w:szCs w:val="32"/>
          <w:shd w:val="clear" w:color="auto" w:fill="FFFFFF"/>
          <w:vertAlign w:val="baseline"/>
          <w:lang w:val="en-US" w:eastAsia="zh-CN" w:bidi="ar"/>
        </w:rPr>
        <w:t>第十条</w:t>
      </w:r>
      <w:r>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t xml:space="preserve">  </w:t>
      </w:r>
      <w:r>
        <w:rPr>
          <w:rFonts w:hint="eastAsia" w:ascii="CESI仿宋-GB2312" w:hAnsi="CESI仿宋-GB2312" w:eastAsia="CESI仿宋-GB2312" w:cs="CESI仿宋-GB2312"/>
          <w:i w:val="0"/>
          <w:iCs w:val="0"/>
          <w:caps w:val="0"/>
          <w:color w:val="000000"/>
          <w:spacing w:val="0"/>
          <w:kern w:val="0"/>
          <w:sz w:val="32"/>
          <w:szCs w:val="32"/>
          <w:highlight w:val="none"/>
          <w:shd w:val="clear" w:color="auto" w:fill="FFFFFF"/>
          <w:vertAlign w:val="baseline"/>
          <w:lang w:val="en-US" w:eastAsia="zh-CN" w:bidi="ar"/>
        </w:rPr>
        <w:t>对</w:t>
      </w:r>
      <w:r>
        <w:rPr>
          <w:rFonts w:hint="eastAsia" w:ascii="CESI仿宋-GB2312" w:hAnsi="CESI仿宋-GB2312" w:eastAsia="CESI仿宋-GB2312" w:cs="CESI仿宋-GB2312"/>
          <w:i w:val="0"/>
          <w:iCs w:val="0"/>
          <w:caps w:val="0"/>
          <w:color w:val="000000"/>
          <w:spacing w:val="0"/>
          <w:kern w:val="0"/>
          <w:sz w:val="32"/>
          <w:szCs w:val="32"/>
          <w:shd w:val="clear" w:color="auto" w:fill="FFFFFF"/>
          <w:vertAlign w:val="baseline"/>
          <w:lang w:val="en-US" w:eastAsia="zh-CN" w:bidi="ar"/>
        </w:rPr>
        <w:t>采用一次趸交数年或分期付款方式的保险，不予以补贴。同一保单不得重复申请补贴。企业当年所投科技保险产品获得财政其他同类型补贴的，不得重复申请补贴。使用财政科技项目经费支付保费的不得申请补贴。</w:t>
      </w:r>
      <w:r>
        <w:rPr>
          <w:rFonts w:hint="eastAsia" w:ascii="CESI仿宋-GB2312" w:hAnsi="CESI仿宋-GB2312" w:eastAsia="CESI仿宋-GB2312" w:cs="CESI仿宋-GB2312"/>
          <w:color w:val="000000"/>
          <w:kern w:val="0"/>
          <w:sz w:val="32"/>
          <w:szCs w:val="32"/>
          <w:shd w:val="clear" w:color="auto" w:fill="FFFFFF"/>
          <w:lang w:bidi="ar"/>
        </w:rPr>
        <w:t>被</w:t>
      </w:r>
      <w:r>
        <w:rPr>
          <w:rFonts w:hint="eastAsia" w:ascii="CESI仿宋-GB2312" w:hAnsi="CESI仿宋-GB2312" w:eastAsia="CESI仿宋-GB2312" w:cs="CESI仿宋-GB2312"/>
          <w:color w:val="000000"/>
          <w:kern w:val="0"/>
          <w:sz w:val="32"/>
          <w:szCs w:val="32"/>
          <w:shd w:val="clear" w:color="auto" w:fill="FFFFFF"/>
          <w:lang w:eastAsia="zh-CN" w:bidi="ar"/>
        </w:rPr>
        <w:t>记</w:t>
      </w:r>
      <w:r>
        <w:rPr>
          <w:rFonts w:hint="eastAsia" w:ascii="CESI仿宋-GB2312" w:hAnsi="CESI仿宋-GB2312" w:eastAsia="CESI仿宋-GB2312" w:cs="CESI仿宋-GB2312"/>
          <w:color w:val="000000"/>
          <w:kern w:val="0"/>
          <w:sz w:val="32"/>
          <w:szCs w:val="32"/>
          <w:shd w:val="clear" w:color="auto" w:fill="FFFFFF"/>
          <w:lang w:bidi="ar"/>
        </w:rPr>
        <w:t>入科研诚信严重失信行为数据库</w:t>
      </w:r>
      <w:r>
        <w:rPr>
          <w:rFonts w:hint="eastAsia" w:ascii="CESI仿宋-GB2312" w:hAnsi="CESI仿宋-GB2312" w:eastAsia="CESI仿宋-GB2312" w:cs="CESI仿宋-GB2312"/>
          <w:color w:val="000000"/>
          <w:kern w:val="0"/>
          <w:sz w:val="32"/>
          <w:szCs w:val="32"/>
          <w:shd w:val="clear" w:color="auto" w:fill="FFFFFF"/>
          <w:lang w:eastAsia="zh-CN" w:bidi="ar"/>
        </w:rPr>
        <w:t>且仍在惩戒期</w:t>
      </w:r>
      <w:r>
        <w:rPr>
          <w:rFonts w:hint="eastAsia" w:ascii="CESI仿宋-GB2312" w:hAnsi="CESI仿宋-GB2312" w:eastAsia="CESI仿宋-GB2312" w:cs="CESI仿宋-GB2312"/>
          <w:color w:val="000000"/>
          <w:kern w:val="0"/>
          <w:sz w:val="32"/>
          <w:szCs w:val="32"/>
          <w:shd w:val="clear" w:color="auto" w:fill="FFFFFF"/>
          <w:lang w:bidi="ar"/>
        </w:rPr>
        <w:t>的企业，不得申请补贴</w:t>
      </w:r>
      <w:r>
        <w:rPr>
          <w:rFonts w:hint="eastAsia" w:ascii="CESI仿宋-GB2312" w:hAnsi="CESI仿宋-GB2312" w:eastAsia="CESI仿宋-GB2312" w:cs="CESI仿宋-GB2312"/>
          <w:color w:val="000000"/>
          <w:kern w:val="0"/>
          <w:sz w:val="32"/>
          <w:szCs w:val="32"/>
          <w:shd w:val="clear" w:color="auto" w:fill="FFFFFF"/>
          <w:lang w:eastAsia="zh-CN" w:bidi="ar"/>
        </w:rPr>
        <w:t>。</w:t>
      </w:r>
    </w:p>
    <w:p w14:paraId="2B97973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tabs>
          <w:tab w:val="left" w:pos="0"/>
        </w:tabs>
        <w:kinsoku/>
        <w:wordWrap/>
        <w:overflowPunct/>
        <w:topLinePunct w:val="0"/>
        <w:autoSpaceDE/>
        <w:autoSpaceDN/>
        <w:bidi w:val="0"/>
        <w:adjustRightInd/>
        <w:snapToGrid/>
        <w:spacing w:beforeAutospacing="0" w:afterAutospacing="0" w:line="580" w:lineRule="exact"/>
        <w:ind w:leftChars="0" w:right="0" w:rightChars="0" w:firstLine="640" w:firstLineChars="200"/>
        <w:jc w:val="both"/>
        <w:textAlignment w:val="baseline"/>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pPr>
      <w:r>
        <w:rPr>
          <w:rFonts w:hint="eastAsia" w:ascii="黑体" w:hAnsi="黑体" w:eastAsia="黑体" w:cs="黑体"/>
          <w:i w:val="0"/>
          <w:iCs w:val="0"/>
          <w:caps w:val="0"/>
          <w:color w:val="000000"/>
          <w:spacing w:val="0"/>
          <w:kern w:val="0"/>
          <w:sz w:val="32"/>
          <w:szCs w:val="32"/>
          <w:shd w:val="clear" w:color="auto" w:fill="FFFFFF"/>
          <w:vertAlign w:val="baseline"/>
          <w:lang w:val="en-US" w:eastAsia="zh-CN" w:bidi="ar"/>
        </w:rPr>
        <w:t>第十一条</w:t>
      </w:r>
      <w:r>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t xml:space="preserve">  自治区科技厅负责</w:t>
      </w:r>
      <w:r>
        <w:rPr>
          <w:rFonts w:hint="eastAsia" w:ascii="仿宋_GB2312" w:hAnsi="仿宋_GB2312" w:eastAsia="仿宋_GB2312" w:cs="仿宋_GB2312"/>
          <w:sz w:val="32"/>
          <w:szCs w:val="32"/>
          <w:vertAlign w:val="baseline"/>
          <w:lang w:val="en-US" w:eastAsia="zh-CN"/>
        </w:rPr>
        <w:t>组织</w:t>
      </w:r>
      <w:r>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t>开展保费补贴申报工作，各设区市科技局、各高新区管委会</w:t>
      </w:r>
      <w:r>
        <w:rPr>
          <w:rFonts w:hint="eastAsia" w:ascii="仿宋_GB2312" w:hAnsi="仿宋_GB2312" w:eastAsia="仿宋_GB2312" w:cs="仿宋_GB2312"/>
          <w:sz w:val="32"/>
          <w:szCs w:val="32"/>
          <w:vertAlign w:val="baseline"/>
          <w:lang w:val="en-US" w:eastAsia="zh-CN"/>
        </w:rPr>
        <w:t>负责具体</w:t>
      </w:r>
      <w:r>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t>组织属地企业申报。自治区科技厅会同广西金融监管局对申请材料进行审核，提出保费补贴计划，经公示后</w:t>
      </w:r>
      <w:r>
        <w:rPr>
          <w:rFonts w:hint="eastAsia" w:ascii="仿宋_GB2312" w:hAnsi="仿宋_GB2312" w:eastAsia="仿宋_GB2312" w:cs="仿宋_GB2312"/>
          <w:color w:val="000000"/>
          <w:kern w:val="0"/>
          <w:sz w:val="32"/>
          <w:szCs w:val="32"/>
          <w:shd w:val="clear" w:color="auto" w:fill="FFFFFF"/>
          <w:lang w:bidi="ar"/>
        </w:rPr>
        <w:t>商请</w:t>
      </w:r>
      <w:r>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t>自治区财政厅</w:t>
      </w:r>
      <w:r>
        <w:rPr>
          <w:rFonts w:hint="eastAsia" w:ascii="仿宋_GB2312" w:hAnsi="仿宋_GB2312" w:eastAsia="仿宋_GB2312" w:cs="仿宋_GB2312"/>
          <w:color w:val="000000"/>
          <w:kern w:val="0"/>
          <w:sz w:val="32"/>
          <w:szCs w:val="32"/>
          <w:shd w:val="clear" w:color="auto" w:fill="FFFFFF"/>
          <w:lang w:bidi="ar"/>
        </w:rPr>
        <w:t>安排</w:t>
      </w:r>
      <w:r>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t>保费补贴资金。</w:t>
      </w:r>
    </w:p>
    <w:p w14:paraId="617E08D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tabs>
          <w:tab w:val="left" w:pos="0"/>
        </w:tabs>
        <w:kinsoku/>
        <w:wordWrap/>
        <w:overflowPunct/>
        <w:topLinePunct w:val="0"/>
        <w:autoSpaceDE/>
        <w:autoSpaceDN/>
        <w:bidi w:val="0"/>
        <w:adjustRightInd/>
        <w:snapToGrid/>
        <w:spacing w:beforeAutospacing="0" w:afterAutospacing="0" w:line="580" w:lineRule="exact"/>
        <w:ind w:leftChars="0" w:right="0" w:rightChars="0" w:firstLine="640" w:firstLineChars="200"/>
        <w:jc w:val="both"/>
        <w:textAlignment w:val="baseline"/>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pPr>
      <w:r>
        <w:rPr>
          <w:rFonts w:hint="eastAsia" w:ascii="黑体" w:hAnsi="黑体" w:eastAsia="黑体" w:cs="黑体"/>
          <w:i w:val="0"/>
          <w:iCs w:val="0"/>
          <w:caps w:val="0"/>
          <w:color w:val="000000"/>
          <w:spacing w:val="0"/>
          <w:kern w:val="0"/>
          <w:sz w:val="32"/>
          <w:szCs w:val="32"/>
          <w:shd w:val="clear" w:color="auto" w:fill="FFFFFF"/>
          <w:vertAlign w:val="baseline"/>
          <w:lang w:val="en-US" w:eastAsia="zh-CN" w:bidi="ar"/>
        </w:rPr>
        <w:t>第十二条</w:t>
      </w:r>
      <w:r>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t xml:space="preserve">  企业申请补贴资金时应提交以下材料：</w:t>
      </w:r>
    </w:p>
    <w:p w14:paraId="689874F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Autospacing="0" w:line="58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t>（一）科技保险保费补贴申请表；</w:t>
      </w:r>
    </w:p>
    <w:p w14:paraId="0F7BD82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Autospacing="0" w:line="58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t>（二）保险合同或保单复印件；</w:t>
      </w:r>
    </w:p>
    <w:p w14:paraId="13CBBA5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Autospacing="0" w:line="58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t>（三）保费发票、银行收款凭证复印件；</w:t>
      </w:r>
    </w:p>
    <w:p w14:paraId="5E15192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Autospacing="0" w:line="58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t>（四）企业资质佐证材料；</w:t>
      </w:r>
    </w:p>
    <w:p w14:paraId="3D066F9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Autospacing="0" w:line="58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t>（五）其他需提交的材料。</w:t>
      </w:r>
    </w:p>
    <w:p w14:paraId="56387A1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Autospacing="0" w:line="58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pPr>
    </w:p>
    <w:p w14:paraId="5E2474F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Autospacing="0" w:line="580" w:lineRule="exact"/>
        <w:ind w:right="0"/>
        <w:jc w:val="center"/>
        <w:textAlignment w:val="baseline"/>
        <w:rPr>
          <w:rFonts w:hint="eastAsia" w:ascii="黑体" w:hAnsi="黑体" w:eastAsia="黑体" w:cs="黑体"/>
          <w:i w:val="0"/>
          <w:iCs w:val="0"/>
          <w:caps w:val="0"/>
          <w:color w:val="000000"/>
          <w:spacing w:val="0"/>
          <w:kern w:val="0"/>
          <w:sz w:val="32"/>
          <w:szCs w:val="32"/>
          <w:shd w:val="clear" w:color="auto" w:fill="FFFFFF"/>
          <w:vertAlign w:val="baseline"/>
          <w:lang w:val="en-US" w:eastAsia="zh-CN" w:bidi="ar"/>
        </w:rPr>
      </w:pPr>
      <w:r>
        <w:rPr>
          <w:rFonts w:hint="eastAsia" w:ascii="黑体" w:hAnsi="黑体" w:eastAsia="黑体" w:cs="黑体"/>
          <w:i w:val="0"/>
          <w:iCs w:val="0"/>
          <w:caps w:val="0"/>
          <w:color w:val="000000"/>
          <w:spacing w:val="0"/>
          <w:kern w:val="0"/>
          <w:sz w:val="32"/>
          <w:szCs w:val="32"/>
          <w:shd w:val="clear" w:color="auto" w:fill="FFFFFF"/>
          <w:vertAlign w:val="baseline"/>
          <w:lang w:val="en-US" w:eastAsia="zh-CN" w:bidi="ar"/>
        </w:rPr>
        <w:t>第四章  资金拨付和管理</w:t>
      </w:r>
    </w:p>
    <w:p w14:paraId="10737F9B">
      <w:pPr>
        <w:pStyle w:val="2"/>
        <w:keepNext w:val="0"/>
        <w:keepLines w:val="0"/>
        <w:pageBreakBefore w:val="0"/>
        <w:widowControl w:val="0"/>
        <w:kinsoku/>
        <w:wordWrap/>
        <w:overflowPunct/>
        <w:topLinePunct w:val="0"/>
        <w:autoSpaceDE/>
        <w:autoSpaceDN/>
        <w:bidi w:val="0"/>
        <w:snapToGrid/>
        <w:spacing w:line="580" w:lineRule="exact"/>
        <w:ind w:leftChars="0" w:firstLine="640" w:firstLineChars="200"/>
        <w:jc w:val="both"/>
        <w:textAlignment w:val="baseline"/>
        <w:rPr>
          <w:rFonts w:hint="eastAsia"/>
          <w:sz w:val="32"/>
          <w:szCs w:val="32"/>
          <w:lang w:val="en-US" w:eastAsia="zh-CN"/>
        </w:rPr>
      </w:pPr>
    </w:p>
    <w:p w14:paraId="4EECD42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tabs>
          <w:tab w:val="left" w:pos="0"/>
        </w:tabs>
        <w:kinsoku/>
        <w:wordWrap/>
        <w:overflowPunct/>
        <w:topLinePunct w:val="0"/>
        <w:autoSpaceDE/>
        <w:autoSpaceDN/>
        <w:bidi w:val="0"/>
        <w:adjustRightInd/>
        <w:snapToGrid/>
        <w:spacing w:beforeAutospacing="0" w:afterAutospacing="0" w:line="580" w:lineRule="exact"/>
        <w:ind w:leftChars="0" w:right="0" w:rightChars="0" w:firstLine="640" w:firstLineChars="200"/>
        <w:jc w:val="both"/>
        <w:textAlignment w:val="baseline"/>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pPr>
      <w:r>
        <w:rPr>
          <w:rFonts w:hint="eastAsia" w:ascii="黑体" w:hAnsi="黑体" w:eastAsia="黑体" w:cs="黑体"/>
          <w:i w:val="0"/>
          <w:iCs w:val="0"/>
          <w:caps w:val="0"/>
          <w:color w:val="000000"/>
          <w:spacing w:val="0"/>
          <w:kern w:val="0"/>
          <w:sz w:val="32"/>
          <w:szCs w:val="32"/>
          <w:shd w:val="clear" w:color="auto" w:fill="FFFFFF"/>
          <w:vertAlign w:val="baseline"/>
          <w:lang w:val="en-US" w:eastAsia="zh-CN" w:bidi="ar"/>
        </w:rPr>
        <w:t>第十三条</w:t>
      </w:r>
      <w:r>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t xml:space="preserve">  </w:t>
      </w:r>
      <w:r>
        <w:rPr>
          <w:rFonts w:hint="eastAsia" w:ascii="仿宋_GB2312" w:hAnsi="仿宋_GB2312" w:eastAsia="仿宋_GB2312" w:cs="仿宋_GB2312"/>
          <w:color w:val="000000"/>
          <w:kern w:val="0"/>
          <w:sz w:val="32"/>
          <w:szCs w:val="32"/>
          <w:shd w:val="clear" w:color="auto" w:fill="FFFFFF"/>
          <w:lang w:bidi="ar"/>
        </w:rPr>
        <w:t>保费补贴按照财政国库集中支付规定拨付至企业，由企业统筹安排用于研究开发或科技服务活动，原则上应在</w:t>
      </w:r>
      <w:r>
        <w:rPr>
          <w:rFonts w:hint="default" w:ascii="Times New Roman" w:hAnsi="Times New Roman" w:eastAsia="仿宋_GB2312" w:cs="Times New Roman"/>
          <w:color w:val="000000"/>
          <w:kern w:val="0"/>
          <w:sz w:val="32"/>
          <w:szCs w:val="32"/>
          <w:shd w:val="clear" w:color="auto" w:fill="FFFFFF"/>
          <w:lang w:bidi="ar"/>
        </w:rPr>
        <w:t>3年</w:t>
      </w:r>
      <w:r>
        <w:rPr>
          <w:rFonts w:hint="eastAsia" w:ascii="仿宋_GB2312" w:hAnsi="仿宋_GB2312" w:eastAsia="仿宋_GB2312" w:cs="仿宋_GB2312"/>
          <w:color w:val="000000"/>
          <w:kern w:val="0"/>
          <w:sz w:val="32"/>
          <w:szCs w:val="32"/>
          <w:shd w:val="clear" w:color="auto" w:fill="FFFFFF"/>
          <w:lang w:bidi="ar"/>
        </w:rPr>
        <w:t>内使用完毕</w:t>
      </w:r>
      <w:r>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t>。</w:t>
      </w:r>
    </w:p>
    <w:p w14:paraId="1AA8E4C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tabs>
          <w:tab w:val="left" w:pos="0"/>
        </w:tabs>
        <w:kinsoku/>
        <w:wordWrap/>
        <w:overflowPunct/>
        <w:topLinePunct w:val="0"/>
        <w:autoSpaceDE/>
        <w:autoSpaceDN/>
        <w:bidi w:val="0"/>
        <w:adjustRightInd/>
        <w:snapToGrid/>
        <w:spacing w:beforeAutospacing="0" w:afterAutospacing="0" w:line="580" w:lineRule="exact"/>
        <w:ind w:leftChars="0" w:right="0" w:rightChars="0" w:firstLine="640" w:firstLineChars="200"/>
        <w:jc w:val="both"/>
        <w:textAlignment w:val="baseline"/>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pPr>
      <w:r>
        <w:rPr>
          <w:rFonts w:hint="eastAsia" w:ascii="黑体" w:hAnsi="黑体" w:eastAsia="黑体" w:cs="黑体"/>
          <w:i w:val="0"/>
          <w:iCs w:val="0"/>
          <w:caps w:val="0"/>
          <w:color w:val="000000"/>
          <w:spacing w:val="0"/>
          <w:kern w:val="0"/>
          <w:sz w:val="32"/>
          <w:szCs w:val="32"/>
          <w:shd w:val="clear" w:color="auto" w:fill="FFFFFF"/>
          <w:vertAlign w:val="baseline"/>
          <w:lang w:val="en-US" w:eastAsia="zh-CN" w:bidi="ar"/>
        </w:rPr>
        <w:t>第十四条</w:t>
      </w:r>
      <w:r>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t xml:space="preserve">  </w:t>
      </w:r>
      <w:r>
        <w:rPr>
          <w:rFonts w:hint="eastAsia" w:ascii="仿宋_GB2312" w:hAnsi="仿宋_GB2312" w:eastAsia="仿宋_GB2312" w:cs="仿宋_GB2312"/>
          <w:color w:val="000000"/>
          <w:kern w:val="0"/>
          <w:sz w:val="32"/>
          <w:szCs w:val="32"/>
          <w:shd w:val="clear" w:color="auto" w:fill="FFFFFF"/>
          <w:lang w:bidi="ar"/>
        </w:rPr>
        <w:t>自治区科技厅应加强保费补贴资金绩效管理，建立健全全过程预算绩效管理机制，强化绩效评价结果应用，提高财政资金使用效益</w:t>
      </w:r>
      <w:r>
        <w:rPr>
          <w:rFonts w:hint="eastAsia" w:ascii="仿宋_GB2312" w:hAnsi="仿宋_GB2312" w:eastAsia="仿宋_GB2312" w:cs="仿宋_GB2312"/>
          <w:color w:val="000000"/>
          <w:kern w:val="0"/>
          <w:sz w:val="32"/>
          <w:szCs w:val="32"/>
          <w:shd w:val="clear" w:color="auto" w:fill="FFFFFF"/>
          <w:lang w:eastAsia="zh-CN" w:bidi="ar"/>
        </w:rPr>
        <w:t>。</w:t>
      </w:r>
    </w:p>
    <w:p w14:paraId="02C3497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tabs>
          <w:tab w:val="left" w:pos="0"/>
        </w:tabs>
        <w:kinsoku/>
        <w:wordWrap/>
        <w:overflowPunct/>
        <w:topLinePunct w:val="0"/>
        <w:autoSpaceDE/>
        <w:autoSpaceDN/>
        <w:bidi w:val="0"/>
        <w:adjustRightInd/>
        <w:snapToGrid/>
        <w:spacing w:beforeAutospacing="0" w:afterAutospacing="0" w:line="580" w:lineRule="exact"/>
        <w:ind w:leftChars="0" w:right="0" w:rightChars="0" w:firstLine="640" w:firstLineChars="200"/>
        <w:jc w:val="both"/>
        <w:textAlignment w:val="baseline"/>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pPr>
      <w:r>
        <w:rPr>
          <w:rFonts w:hint="eastAsia" w:ascii="黑体" w:hAnsi="黑体" w:eastAsia="黑体" w:cs="黑体"/>
          <w:i w:val="0"/>
          <w:iCs w:val="0"/>
          <w:caps w:val="0"/>
          <w:color w:val="000000"/>
          <w:spacing w:val="0"/>
          <w:kern w:val="0"/>
          <w:sz w:val="32"/>
          <w:szCs w:val="32"/>
          <w:shd w:val="clear" w:color="auto" w:fill="FFFFFF"/>
          <w:vertAlign w:val="baseline"/>
          <w:lang w:val="en-US" w:eastAsia="zh-CN" w:bidi="ar"/>
        </w:rPr>
        <w:t xml:space="preserve">第十五条  </w:t>
      </w:r>
      <w:r>
        <w:rPr>
          <w:rFonts w:hint="eastAsia" w:ascii="仿宋_GB2312" w:hAnsi="仿宋_GB2312" w:eastAsia="仿宋_GB2312" w:cs="仿宋_GB2312"/>
          <w:color w:val="000000"/>
          <w:kern w:val="0"/>
          <w:sz w:val="32"/>
          <w:szCs w:val="32"/>
          <w:shd w:val="clear" w:color="auto" w:fill="FFFFFF"/>
          <w:lang w:bidi="ar"/>
        </w:rPr>
        <w:t>自治区科技厅与承保保险机构分享获得保费补贴的企业信息</w:t>
      </w:r>
      <w:r>
        <w:rPr>
          <w:rFonts w:hint="eastAsia" w:ascii="仿宋_GB2312" w:hAnsi="仿宋_GB2312" w:eastAsia="仿宋_GB2312" w:cs="仿宋_GB2312"/>
          <w:color w:val="000000"/>
          <w:kern w:val="0"/>
          <w:sz w:val="32"/>
          <w:szCs w:val="32"/>
          <w:shd w:val="clear" w:color="auto" w:fill="FFFFFF"/>
          <w:lang w:eastAsia="zh-CN" w:bidi="ar"/>
        </w:rPr>
        <w:t>，</w:t>
      </w:r>
      <w:r>
        <w:rPr>
          <w:rFonts w:hint="eastAsia" w:ascii="仿宋_GB2312" w:hAnsi="仿宋_GB2312" w:eastAsia="仿宋_GB2312" w:cs="仿宋_GB2312"/>
          <w:color w:val="000000"/>
          <w:kern w:val="0"/>
          <w:sz w:val="32"/>
          <w:szCs w:val="32"/>
          <w:shd w:val="clear" w:color="auto" w:fill="FFFFFF"/>
          <w:lang w:bidi="ar"/>
        </w:rPr>
        <w:t>获得保费补贴的企业要求退保的，承保保险机构须在征得自治区科技厅书面同意后，方可办理退保手续。承保保险机构自治区级单位应在每季度末将本季度发生的退保企业名单、退保金额等信息报自治区科技厅，退保后企业应获得</w:t>
      </w:r>
      <w:r>
        <w:rPr>
          <w:rFonts w:hint="eastAsia" w:ascii="仿宋_GB2312" w:hAnsi="仿宋_GB2312" w:eastAsia="仿宋_GB2312" w:cs="仿宋_GB2312"/>
          <w:color w:val="000000"/>
          <w:kern w:val="0"/>
          <w:sz w:val="32"/>
          <w:szCs w:val="32"/>
          <w:shd w:val="clear" w:color="auto" w:fill="FFFFFF"/>
          <w:lang w:eastAsia="zh-CN" w:bidi="ar"/>
        </w:rPr>
        <w:t>的</w:t>
      </w:r>
      <w:r>
        <w:rPr>
          <w:rFonts w:hint="eastAsia" w:ascii="仿宋_GB2312" w:hAnsi="仿宋_GB2312" w:eastAsia="仿宋_GB2312" w:cs="仿宋_GB2312"/>
          <w:color w:val="000000"/>
          <w:kern w:val="0"/>
          <w:sz w:val="32"/>
          <w:szCs w:val="32"/>
          <w:shd w:val="clear" w:color="auto" w:fill="FFFFFF"/>
          <w:lang w:bidi="ar"/>
        </w:rPr>
        <w:t>保费补贴低于规定补贴金额的，</w:t>
      </w:r>
      <w:r>
        <w:rPr>
          <w:rFonts w:hint="eastAsia" w:ascii="仿宋_GB2312" w:hAnsi="仿宋_GB2312" w:eastAsia="仿宋_GB2312" w:cs="仿宋_GB2312"/>
          <w:color w:val="000000"/>
          <w:kern w:val="0"/>
          <w:sz w:val="32"/>
          <w:szCs w:val="32"/>
          <w:shd w:val="clear" w:color="auto" w:fill="FFFFFF"/>
          <w:lang w:eastAsia="zh-CN" w:bidi="ar"/>
        </w:rPr>
        <w:t>企业应及时将补贴差额退回自治区科技厅。</w:t>
      </w:r>
      <w:r>
        <w:rPr>
          <w:rFonts w:hint="eastAsia" w:ascii="仿宋_GB2312" w:hAnsi="仿宋_GB2312" w:eastAsia="仿宋_GB2312" w:cs="仿宋_GB2312"/>
          <w:color w:val="000000"/>
          <w:kern w:val="0"/>
          <w:sz w:val="32"/>
          <w:szCs w:val="32"/>
          <w:shd w:val="clear" w:color="auto" w:fill="FFFFFF"/>
          <w:lang w:bidi="ar"/>
        </w:rPr>
        <w:t>自治区科技厅应督促企业退回补贴差额，并将退保补贴资金上缴自治区财政厅</w:t>
      </w:r>
      <w:r>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t>。</w:t>
      </w:r>
    </w:p>
    <w:p w14:paraId="4E47098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tabs>
          <w:tab w:val="left" w:pos="0"/>
        </w:tabs>
        <w:kinsoku/>
        <w:wordWrap/>
        <w:overflowPunct/>
        <w:topLinePunct w:val="0"/>
        <w:autoSpaceDE/>
        <w:autoSpaceDN/>
        <w:bidi w:val="0"/>
        <w:adjustRightInd/>
        <w:snapToGrid/>
        <w:spacing w:beforeAutospacing="0" w:afterAutospacing="0" w:line="580" w:lineRule="exact"/>
        <w:ind w:leftChars="0" w:right="0" w:rightChars="0" w:firstLine="640" w:firstLineChars="200"/>
        <w:jc w:val="both"/>
        <w:textAlignment w:val="baseline"/>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pPr>
      <w:r>
        <w:rPr>
          <w:rFonts w:hint="eastAsia" w:ascii="黑体" w:hAnsi="黑体" w:eastAsia="黑体" w:cs="黑体"/>
          <w:i w:val="0"/>
          <w:iCs w:val="0"/>
          <w:caps w:val="0"/>
          <w:color w:val="000000"/>
          <w:spacing w:val="0"/>
          <w:kern w:val="0"/>
          <w:sz w:val="32"/>
          <w:szCs w:val="32"/>
          <w:shd w:val="clear" w:color="auto" w:fill="FFFFFF"/>
          <w:vertAlign w:val="baseline"/>
          <w:lang w:val="en-US" w:eastAsia="zh-CN" w:bidi="ar"/>
        </w:rPr>
        <w:t xml:space="preserve">第十六条  </w:t>
      </w:r>
      <w:r>
        <w:rPr>
          <w:rFonts w:hint="eastAsia" w:ascii="仿宋_GB2312" w:hAnsi="仿宋_GB2312" w:eastAsia="仿宋_GB2312" w:cs="仿宋_GB2312"/>
          <w:color w:val="000000"/>
          <w:kern w:val="0"/>
          <w:sz w:val="32"/>
          <w:szCs w:val="32"/>
          <w:shd w:val="clear" w:color="auto" w:fill="FFFFFF"/>
          <w:lang w:bidi="ar"/>
        </w:rPr>
        <w:t>开展科技保险的保险机构应按有关规定填报科技保险统计数据，报送年度科技保险工作总结</w:t>
      </w:r>
      <w:r>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t>，加强科技保险产品的宣传和推广，建立科技保险理赔绿色通道，提高理赔效率，积极为企业提供方便快捷的服务。</w:t>
      </w:r>
    </w:p>
    <w:p w14:paraId="27151F3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tabs>
          <w:tab w:val="left" w:pos="0"/>
        </w:tabs>
        <w:kinsoku/>
        <w:wordWrap/>
        <w:overflowPunct/>
        <w:topLinePunct w:val="0"/>
        <w:autoSpaceDE/>
        <w:autoSpaceDN/>
        <w:bidi w:val="0"/>
        <w:adjustRightInd/>
        <w:snapToGrid/>
        <w:spacing w:beforeAutospacing="0" w:afterAutospacing="0" w:line="580" w:lineRule="exact"/>
        <w:ind w:leftChars="0" w:right="0" w:rightChars="0" w:firstLine="640" w:firstLineChars="200"/>
        <w:jc w:val="both"/>
        <w:textAlignment w:val="baseline"/>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pPr>
      <w:r>
        <w:rPr>
          <w:rFonts w:hint="eastAsia" w:ascii="黑体" w:hAnsi="黑体" w:eastAsia="黑体" w:cs="黑体"/>
          <w:i w:val="0"/>
          <w:iCs w:val="0"/>
          <w:caps w:val="0"/>
          <w:color w:val="000000"/>
          <w:spacing w:val="0"/>
          <w:kern w:val="0"/>
          <w:sz w:val="32"/>
          <w:szCs w:val="32"/>
          <w:shd w:val="clear" w:color="auto" w:fill="FFFFFF"/>
          <w:vertAlign w:val="baseline"/>
          <w:lang w:val="en-US" w:eastAsia="zh-CN" w:bidi="ar"/>
        </w:rPr>
        <w:t xml:space="preserve">第十七条  </w:t>
      </w:r>
      <w:r>
        <w:rPr>
          <w:rFonts w:hint="eastAsia" w:ascii="仿宋_GB2312" w:hAnsi="仿宋_GB2312" w:eastAsia="仿宋_GB2312" w:cs="仿宋_GB2312"/>
          <w:color w:val="000000"/>
          <w:kern w:val="0"/>
          <w:sz w:val="32"/>
          <w:szCs w:val="32"/>
          <w:shd w:val="clear" w:color="auto" w:fill="FFFFFF"/>
          <w:lang w:bidi="ar"/>
        </w:rPr>
        <w:t>申请企业应当对其申报内容的真实性负责，存在通过提供虚假申报材料、虚假保单等方式骗取补贴资金的，收回补贴资金；存在其他违法违规行为的，按照相关法律法规进行处理。</w:t>
      </w:r>
    </w:p>
    <w:p w14:paraId="4F836AB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tabs>
          <w:tab w:val="left" w:pos="0"/>
        </w:tabs>
        <w:kinsoku/>
        <w:wordWrap/>
        <w:overflowPunct/>
        <w:topLinePunct w:val="0"/>
        <w:autoSpaceDE/>
        <w:autoSpaceDN/>
        <w:bidi w:val="0"/>
        <w:adjustRightInd/>
        <w:snapToGrid/>
        <w:spacing w:beforeAutospacing="0" w:afterAutospacing="0" w:line="580" w:lineRule="exact"/>
        <w:ind w:leftChars="0" w:right="0" w:rightChars="0" w:firstLine="640" w:firstLineChars="200"/>
        <w:jc w:val="both"/>
        <w:textAlignment w:val="baseline"/>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pPr>
      <w:r>
        <w:rPr>
          <w:rFonts w:hint="eastAsia" w:ascii="黑体" w:hAnsi="黑体" w:eastAsia="黑体" w:cs="黑体"/>
          <w:i w:val="0"/>
          <w:iCs w:val="0"/>
          <w:caps w:val="0"/>
          <w:color w:val="000000"/>
          <w:spacing w:val="0"/>
          <w:kern w:val="0"/>
          <w:sz w:val="32"/>
          <w:szCs w:val="32"/>
          <w:shd w:val="clear" w:color="auto" w:fill="FFFFFF"/>
          <w:vertAlign w:val="baseline"/>
          <w:lang w:val="en-US" w:eastAsia="zh-CN" w:bidi="ar"/>
        </w:rPr>
        <w:t xml:space="preserve">第十八条  </w:t>
      </w:r>
      <w:r>
        <w:rPr>
          <w:rFonts w:hint="eastAsia" w:ascii="仿宋_GB2312" w:hAnsi="仿宋_GB2312" w:eastAsia="仿宋_GB2312" w:cs="仿宋_GB2312"/>
          <w:color w:val="000000"/>
          <w:kern w:val="0"/>
          <w:sz w:val="32"/>
          <w:szCs w:val="32"/>
          <w:shd w:val="clear" w:color="auto" w:fill="FFFFFF"/>
          <w:lang w:bidi="ar"/>
        </w:rPr>
        <w:t>补贴资金实行专款专用，专账核算，任何单位或个人不得截留、挤占和挪用。在保费补贴资金申报、使用管理过程中存在违规行为的，按照《财政违法行为处罚处分条例》等国家有关法律法规处理，构成犯罪的依法追究刑事责任</w:t>
      </w:r>
    </w:p>
    <w:p w14:paraId="5883A6A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tabs>
          <w:tab w:val="left" w:pos="0"/>
        </w:tabs>
        <w:kinsoku/>
        <w:wordWrap/>
        <w:overflowPunct/>
        <w:topLinePunct w:val="0"/>
        <w:autoSpaceDE/>
        <w:autoSpaceDN/>
        <w:bidi w:val="0"/>
        <w:adjustRightInd/>
        <w:snapToGrid/>
        <w:spacing w:beforeAutospacing="0" w:afterAutospacing="0" w:line="580" w:lineRule="exact"/>
        <w:ind w:leftChars="0" w:right="0" w:rightChars="0" w:firstLine="640" w:firstLineChars="200"/>
        <w:jc w:val="both"/>
        <w:textAlignment w:val="baseline"/>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pPr>
    </w:p>
    <w:p w14:paraId="1E7C188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tabs>
          <w:tab w:val="left" w:pos="0"/>
        </w:tabs>
        <w:kinsoku/>
        <w:wordWrap/>
        <w:overflowPunct/>
        <w:topLinePunct w:val="0"/>
        <w:autoSpaceDE/>
        <w:autoSpaceDN/>
        <w:bidi w:val="0"/>
        <w:adjustRightInd/>
        <w:snapToGrid/>
        <w:spacing w:beforeAutospacing="0" w:afterAutospacing="0" w:line="580" w:lineRule="exact"/>
        <w:ind w:right="0" w:rightChars="0"/>
        <w:jc w:val="center"/>
        <w:textAlignment w:val="baseline"/>
        <w:rPr>
          <w:rFonts w:hint="eastAsia" w:ascii="黑体" w:hAnsi="黑体" w:eastAsia="黑体" w:cs="黑体"/>
          <w:i w:val="0"/>
          <w:iCs w:val="0"/>
          <w:caps w:val="0"/>
          <w:color w:val="000000"/>
          <w:spacing w:val="0"/>
          <w:kern w:val="0"/>
          <w:sz w:val="32"/>
          <w:szCs w:val="32"/>
          <w:shd w:val="clear" w:color="auto" w:fill="FFFFFF"/>
          <w:vertAlign w:val="baseline"/>
          <w:lang w:val="en-US" w:eastAsia="zh-CN" w:bidi="ar"/>
        </w:rPr>
      </w:pPr>
      <w:r>
        <w:rPr>
          <w:rFonts w:hint="eastAsia" w:ascii="黑体" w:hAnsi="黑体" w:eastAsia="黑体" w:cs="黑体"/>
          <w:i w:val="0"/>
          <w:iCs w:val="0"/>
          <w:caps w:val="0"/>
          <w:color w:val="000000"/>
          <w:spacing w:val="0"/>
          <w:kern w:val="0"/>
          <w:sz w:val="32"/>
          <w:szCs w:val="32"/>
          <w:shd w:val="clear" w:color="auto" w:fill="FFFFFF"/>
          <w:vertAlign w:val="baseline"/>
          <w:lang w:val="en-US" w:eastAsia="zh-CN" w:bidi="ar"/>
        </w:rPr>
        <w:t>第五章  附则</w:t>
      </w:r>
    </w:p>
    <w:p w14:paraId="38EA2F2A">
      <w:pPr>
        <w:pStyle w:val="2"/>
        <w:keepNext w:val="0"/>
        <w:keepLines w:val="0"/>
        <w:pageBreakBefore w:val="0"/>
        <w:widowControl w:val="0"/>
        <w:kinsoku/>
        <w:wordWrap/>
        <w:overflowPunct/>
        <w:topLinePunct w:val="0"/>
        <w:autoSpaceDE/>
        <w:autoSpaceDN/>
        <w:bidi w:val="0"/>
        <w:snapToGrid/>
        <w:spacing w:line="580" w:lineRule="exact"/>
        <w:ind w:leftChars="0" w:firstLine="640" w:firstLineChars="200"/>
        <w:jc w:val="both"/>
        <w:textAlignment w:val="baseline"/>
        <w:rPr>
          <w:rFonts w:hint="eastAsia"/>
          <w:sz w:val="32"/>
          <w:szCs w:val="32"/>
          <w:lang w:val="en-US" w:eastAsia="zh-CN"/>
        </w:rPr>
      </w:pPr>
    </w:p>
    <w:p w14:paraId="0BEA689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tabs>
          <w:tab w:val="left" w:pos="0"/>
        </w:tabs>
        <w:kinsoku/>
        <w:wordWrap/>
        <w:overflowPunct/>
        <w:topLinePunct w:val="0"/>
        <w:autoSpaceDE/>
        <w:autoSpaceDN/>
        <w:bidi w:val="0"/>
        <w:adjustRightInd/>
        <w:snapToGrid/>
        <w:spacing w:beforeAutospacing="0" w:afterAutospacing="0" w:line="580" w:lineRule="exact"/>
        <w:ind w:leftChars="0" w:right="0" w:rightChars="0" w:firstLine="640" w:firstLineChars="200"/>
        <w:jc w:val="both"/>
        <w:textAlignment w:val="baseline"/>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pPr>
      <w:r>
        <w:rPr>
          <w:rFonts w:hint="eastAsia" w:ascii="黑体" w:hAnsi="黑体" w:eastAsia="黑体" w:cs="黑体"/>
          <w:i w:val="0"/>
          <w:iCs w:val="0"/>
          <w:caps w:val="0"/>
          <w:color w:val="000000"/>
          <w:spacing w:val="0"/>
          <w:kern w:val="0"/>
          <w:sz w:val="32"/>
          <w:szCs w:val="32"/>
          <w:shd w:val="clear" w:color="auto" w:fill="FFFFFF"/>
          <w:vertAlign w:val="baseline"/>
          <w:lang w:val="en-US" w:eastAsia="zh-CN" w:bidi="ar"/>
        </w:rPr>
        <w:t xml:space="preserve">第十九条  </w:t>
      </w:r>
      <w:r>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t>本办法由自治区科技厅、财政厅，广西金融监管局负责解释。</w:t>
      </w:r>
    </w:p>
    <w:p w14:paraId="73C9F88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tabs>
          <w:tab w:val="left" w:pos="0"/>
        </w:tabs>
        <w:kinsoku/>
        <w:wordWrap/>
        <w:overflowPunct/>
        <w:topLinePunct w:val="0"/>
        <w:autoSpaceDE/>
        <w:autoSpaceDN/>
        <w:bidi w:val="0"/>
        <w:adjustRightInd/>
        <w:snapToGrid/>
        <w:spacing w:beforeAutospacing="0" w:afterAutospacing="0" w:line="580" w:lineRule="exact"/>
        <w:ind w:leftChars="0" w:right="0" w:rightChars="0" w:firstLine="640" w:firstLineChars="200"/>
        <w:jc w:val="both"/>
        <w:textAlignment w:val="baseline"/>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pPr>
      <w:r>
        <w:rPr>
          <w:rFonts w:hint="eastAsia" w:ascii="黑体" w:hAnsi="黑体" w:eastAsia="黑体" w:cs="黑体"/>
          <w:i w:val="0"/>
          <w:iCs w:val="0"/>
          <w:caps w:val="0"/>
          <w:color w:val="000000"/>
          <w:spacing w:val="0"/>
          <w:kern w:val="0"/>
          <w:sz w:val="32"/>
          <w:szCs w:val="32"/>
          <w:shd w:val="clear" w:color="auto" w:fill="FFFFFF"/>
          <w:vertAlign w:val="baseline"/>
          <w:lang w:val="en-US" w:eastAsia="zh-CN" w:bidi="ar"/>
        </w:rPr>
        <w:t xml:space="preserve">第二十条  </w:t>
      </w:r>
      <w:r>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
        </w:rPr>
        <w:t>本办法自发布之日起试行，有效期二年。</w:t>
      </w:r>
    </w:p>
    <w:p w14:paraId="1F356EFC">
      <w:pPr>
        <w:pStyle w:val="4"/>
        <w:keepNext w:val="0"/>
        <w:keepLines w:val="0"/>
        <w:pageBreakBefore w:val="0"/>
        <w:widowControl w:val="0"/>
        <w:kinsoku/>
        <w:wordWrap/>
        <w:overflowPunct/>
        <w:topLinePunct w:val="0"/>
        <w:bidi w:val="0"/>
        <w:snapToGrid/>
        <w:spacing w:line="560" w:lineRule="exact"/>
        <w:ind w:left="0" w:leftChars="0" w:firstLine="0" w:firstLineChars="0"/>
        <w:rPr>
          <w:rFonts w:hint="eastAsia"/>
          <w:lang w:val="en-US" w:eastAsia="zh-CN"/>
        </w:rPr>
      </w:pPr>
      <w:r>
        <w:rPr>
          <w:rFonts w:hint="eastAsia"/>
          <w:lang w:val="en-US" w:eastAsia="zh-CN"/>
        </w:rPr>
        <w:br w:type="page"/>
      </w:r>
    </w:p>
    <w:p w14:paraId="30F59334">
      <w:pPr>
        <w:keepNext w:val="0"/>
        <w:keepLines w:val="0"/>
        <w:pageBreakBefore w:val="0"/>
        <w:widowControl w:val="0"/>
        <w:kinsoku/>
        <w:wordWrap/>
        <w:overflowPunct/>
        <w:topLinePunct w:val="0"/>
        <w:bidi w:val="0"/>
        <w:snapToGrid/>
        <w:spacing w:line="560" w:lineRule="exact"/>
        <w:rPr>
          <w:rFonts w:hint="eastAsia"/>
          <w:lang w:val="en-US" w:eastAsia="zh-CN"/>
        </w:rPr>
      </w:pPr>
    </w:p>
    <w:p w14:paraId="0ED164E2">
      <w:pPr>
        <w:pStyle w:val="2"/>
        <w:keepNext w:val="0"/>
        <w:keepLines w:val="0"/>
        <w:pageBreakBefore w:val="0"/>
        <w:widowControl w:val="0"/>
        <w:kinsoku/>
        <w:wordWrap/>
        <w:overflowPunct/>
        <w:topLinePunct w:val="0"/>
        <w:bidi w:val="0"/>
        <w:snapToGrid/>
        <w:spacing w:line="560" w:lineRule="exact"/>
        <w:rPr>
          <w:rFonts w:hint="eastAsia"/>
          <w:lang w:val="en-US" w:eastAsia="zh-CN"/>
        </w:rPr>
      </w:pPr>
    </w:p>
    <w:p w14:paraId="2F5CBF24">
      <w:pPr>
        <w:pStyle w:val="4"/>
        <w:keepNext w:val="0"/>
        <w:keepLines w:val="0"/>
        <w:pageBreakBefore w:val="0"/>
        <w:widowControl w:val="0"/>
        <w:kinsoku/>
        <w:wordWrap/>
        <w:overflowPunct/>
        <w:topLinePunct w:val="0"/>
        <w:bidi w:val="0"/>
        <w:snapToGrid/>
        <w:spacing w:line="560" w:lineRule="exact"/>
        <w:rPr>
          <w:rFonts w:hint="eastAsia"/>
          <w:lang w:val="en-US" w:eastAsia="zh-CN"/>
        </w:rPr>
      </w:pPr>
    </w:p>
    <w:p w14:paraId="39787588">
      <w:pPr>
        <w:keepNext w:val="0"/>
        <w:keepLines w:val="0"/>
        <w:pageBreakBefore w:val="0"/>
        <w:widowControl w:val="0"/>
        <w:kinsoku/>
        <w:wordWrap/>
        <w:overflowPunct/>
        <w:topLinePunct w:val="0"/>
        <w:bidi w:val="0"/>
        <w:snapToGrid/>
        <w:spacing w:line="560" w:lineRule="exact"/>
        <w:rPr>
          <w:rFonts w:hint="eastAsia"/>
          <w:lang w:val="en-US" w:eastAsia="zh-CN"/>
        </w:rPr>
      </w:pPr>
    </w:p>
    <w:p w14:paraId="0FB2672A">
      <w:pPr>
        <w:pStyle w:val="2"/>
        <w:keepNext w:val="0"/>
        <w:keepLines w:val="0"/>
        <w:pageBreakBefore w:val="0"/>
        <w:widowControl w:val="0"/>
        <w:kinsoku/>
        <w:wordWrap/>
        <w:overflowPunct/>
        <w:topLinePunct w:val="0"/>
        <w:bidi w:val="0"/>
        <w:snapToGrid/>
        <w:spacing w:line="560" w:lineRule="exact"/>
        <w:rPr>
          <w:rFonts w:hint="eastAsia"/>
          <w:lang w:val="en-US" w:eastAsia="zh-CN"/>
        </w:rPr>
      </w:pPr>
    </w:p>
    <w:p w14:paraId="74CB04BB">
      <w:pPr>
        <w:pStyle w:val="4"/>
        <w:keepNext w:val="0"/>
        <w:keepLines w:val="0"/>
        <w:pageBreakBefore w:val="0"/>
        <w:widowControl w:val="0"/>
        <w:kinsoku/>
        <w:wordWrap/>
        <w:overflowPunct/>
        <w:topLinePunct w:val="0"/>
        <w:bidi w:val="0"/>
        <w:snapToGrid/>
        <w:spacing w:line="560" w:lineRule="exact"/>
        <w:rPr>
          <w:rFonts w:hint="eastAsia"/>
          <w:lang w:val="en-US" w:eastAsia="zh-CN"/>
        </w:rPr>
      </w:pPr>
    </w:p>
    <w:p w14:paraId="2B2F9388">
      <w:pPr>
        <w:keepNext w:val="0"/>
        <w:keepLines w:val="0"/>
        <w:pageBreakBefore w:val="0"/>
        <w:widowControl w:val="0"/>
        <w:kinsoku/>
        <w:wordWrap/>
        <w:overflowPunct/>
        <w:topLinePunct w:val="0"/>
        <w:bidi w:val="0"/>
        <w:snapToGrid/>
        <w:spacing w:line="560" w:lineRule="exact"/>
        <w:rPr>
          <w:rFonts w:hint="eastAsia"/>
          <w:lang w:val="en-US" w:eastAsia="zh-CN"/>
        </w:rPr>
      </w:pPr>
    </w:p>
    <w:p w14:paraId="73CBD8CA">
      <w:pPr>
        <w:pStyle w:val="2"/>
        <w:keepNext w:val="0"/>
        <w:keepLines w:val="0"/>
        <w:pageBreakBefore w:val="0"/>
        <w:widowControl w:val="0"/>
        <w:kinsoku/>
        <w:wordWrap/>
        <w:overflowPunct/>
        <w:topLinePunct w:val="0"/>
        <w:bidi w:val="0"/>
        <w:snapToGrid/>
        <w:spacing w:line="560" w:lineRule="exact"/>
        <w:rPr>
          <w:rFonts w:hint="eastAsia"/>
          <w:lang w:val="en-US" w:eastAsia="zh-CN"/>
        </w:rPr>
      </w:pPr>
    </w:p>
    <w:p w14:paraId="79B0618D">
      <w:pPr>
        <w:pStyle w:val="4"/>
        <w:keepNext w:val="0"/>
        <w:keepLines w:val="0"/>
        <w:pageBreakBefore w:val="0"/>
        <w:widowControl w:val="0"/>
        <w:kinsoku/>
        <w:wordWrap/>
        <w:overflowPunct/>
        <w:topLinePunct w:val="0"/>
        <w:bidi w:val="0"/>
        <w:snapToGrid/>
        <w:spacing w:line="560" w:lineRule="exact"/>
        <w:rPr>
          <w:rFonts w:hint="eastAsia"/>
          <w:lang w:val="en-US" w:eastAsia="zh-CN"/>
        </w:rPr>
      </w:pPr>
    </w:p>
    <w:p w14:paraId="7B5BF141">
      <w:pPr>
        <w:keepNext w:val="0"/>
        <w:keepLines w:val="0"/>
        <w:pageBreakBefore w:val="0"/>
        <w:widowControl w:val="0"/>
        <w:kinsoku/>
        <w:wordWrap/>
        <w:overflowPunct/>
        <w:topLinePunct w:val="0"/>
        <w:bidi w:val="0"/>
        <w:snapToGrid/>
        <w:spacing w:line="560" w:lineRule="exact"/>
        <w:rPr>
          <w:rFonts w:hint="eastAsia"/>
          <w:lang w:val="en-US" w:eastAsia="zh-CN"/>
        </w:rPr>
      </w:pPr>
    </w:p>
    <w:p w14:paraId="7AF91D03">
      <w:pPr>
        <w:pStyle w:val="2"/>
        <w:keepNext w:val="0"/>
        <w:keepLines w:val="0"/>
        <w:pageBreakBefore w:val="0"/>
        <w:widowControl w:val="0"/>
        <w:kinsoku/>
        <w:wordWrap/>
        <w:overflowPunct/>
        <w:topLinePunct w:val="0"/>
        <w:bidi w:val="0"/>
        <w:snapToGrid/>
        <w:spacing w:line="560" w:lineRule="exact"/>
        <w:rPr>
          <w:rFonts w:hint="eastAsia"/>
          <w:lang w:val="en-US" w:eastAsia="zh-CN"/>
        </w:rPr>
      </w:pPr>
    </w:p>
    <w:p w14:paraId="0919AD26">
      <w:pPr>
        <w:pStyle w:val="4"/>
        <w:keepNext w:val="0"/>
        <w:keepLines w:val="0"/>
        <w:pageBreakBefore w:val="0"/>
        <w:widowControl w:val="0"/>
        <w:kinsoku/>
        <w:wordWrap/>
        <w:overflowPunct/>
        <w:topLinePunct w:val="0"/>
        <w:bidi w:val="0"/>
        <w:snapToGrid/>
        <w:spacing w:line="560" w:lineRule="exact"/>
        <w:rPr>
          <w:rFonts w:hint="eastAsia"/>
          <w:lang w:val="en-US" w:eastAsia="zh-CN"/>
        </w:rPr>
      </w:pPr>
    </w:p>
    <w:p w14:paraId="62CFDDDA">
      <w:pPr>
        <w:keepNext w:val="0"/>
        <w:keepLines w:val="0"/>
        <w:pageBreakBefore w:val="0"/>
        <w:widowControl w:val="0"/>
        <w:kinsoku/>
        <w:wordWrap/>
        <w:overflowPunct/>
        <w:topLinePunct w:val="0"/>
        <w:bidi w:val="0"/>
        <w:snapToGrid/>
        <w:spacing w:line="560" w:lineRule="exact"/>
        <w:rPr>
          <w:rFonts w:hint="eastAsia"/>
          <w:lang w:val="en-US" w:eastAsia="zh-CN"/>
        </w:rPr>
      </w:pPr>
    </w:p>
    <w:p w14:paraId="1DA070CF">
      <w:pPr>
        <w:pStyle w:val="2"/>
        <w:keepNext w:val="0"/>
        <w:keepLines w:val="0"/>
        <w:pageBreakBefore w:val="0"/>
        <w:widowControl w:val="0"/>
        <w:kinsoku/>
        <w:wordWrap/>
        <w:overflowPunct/>
        <w:topLinePunct w:val="0"/>
        <w:bidi w:val="0"/>
        <w:snapToGrid/>
        <w:spacing w:line="560" w:lineRule="exact"/>
        <w:rPr>
          <w:rFonts w:hint="eastAsia"/>
          <w:lang w:val="en-US" w:eastAsia="zh-CN"/>
        </w:rPr>
      </w:pPr>
    </w:p>
    <w:p w14:paraId="75EEDAC1">
      <w:pPr>
        <w:pStyle w:val="4"/>
        <w:keepNext w:val="0"/>
        <w:keepLines w:val="0"/>
        <w:pageBreakBefore w:val="0"/>
        <w:widowControl w:val="0"/>
        <w:kinsoku/>
        <w:wordWrap/>
        <w:overflowPunct/>
        <w:topLinePunct w:val="0"/>
        <w:bidi w:val="0"/>
        <w:snapToGrid/>
        <w:spacing w:line="560" w:lineRule="exact"/>
        <w:rPr>
          <w:rFonts w:hint="eastAsia"/>
          <w:lang w:val="en-US" w:eastAsia="zh-CN"/>
        </w:rPr>
      </w:pPr>
    </w:p>
    <w:p w14:paraId="1A76804D">
      <w:pPr>
        <w:keepNext w:val="0"/>
        <w:keepLines w:val="0"/>
        <w:pageBreakBefore w:val="0"/>
        <w:widowControl w:val="0"/>
        <w:kinsoku/>
        <w:wordWrap/>
        <w:overflowPunct/>
        <w:topLinePunct w:val="0"/>
        <w:bidi w:val="0"/>
        <w:snapToGrid/>
        <w:spacing w:line="560" w:lineRule="exact"/>
        <w:rPr>
          <w:rFonts w:hint="eastAsia"/>
          <w:lang w:val="en-US" w:eastAsia="zh-CN"/>
        </w:rPr>
      </w:pPr>
    </w:p>
    <w:p w14:paraId="50C5A8C5">
      <w:pPr>
        <w:pStyle w:val="2"/>
        <w:keepNext w:val="0"/>
        <w:keepLines w:val="0"/>
        <w:pageBreakBefore w:val="0"/>
        <w:widowControl w:val="0"/>
        <w:kinsoku/>
        <w:wordWrap/>
        <w:overflowPunct/>
        <w:topLinePunct w:val="0"/>
        <w:bidi w:val="0"/>
        <w:snapToGrid/>
        <w:spacing w:line="560" w:lineRule="exact"/>
        <w:rPr>
          <w:rFonts w:hint="eastAsia"/>
          <w:lang w:val="en-US" w:eastAsia="zh-CN"/>
        </w:rPr>
      </w:pPr>
    </w:p>
    <w:p w14:paraId="5C7E0398">
      <w:pPr>
        <w:pStyle w:val="4"/>
        <w:keepNext w:val="0"/>
        <w:keepLines w:val="0"/>
        <w:pageBreakBefore w:val="0"/>
        <w:widowControl w:val="0"/>
        <w:kinsoku/>
        <w:wordWrap/>
        <w:overflowPunct/>
        <w:topLinePunct w:val="0"/>
        <w:bidi w:val="0"/>
        <w:snapToGrid/>
        <w:spacing w:line="560" w:lineRule="exact"/>
        <w:rPr>
          <w:rFonts w:hint="eastAsia"/>
          <w:lang w:val="en-US" w:eastAsia="zh-CN"/>
        </w:rPr>
      </w:pPr>
    </w:p>
    <w:p w14:paraId="6A7FAF59">
      <w:pPr>
        <w:keepNext w:val="0"/>
        <w:keepLines w:val="0"/>
        <w:pageBreakBefore w:val="0"/>
        <w:widowControl w:val="0"/>
        <w:kinsoku/>
        <w:wordWrap/>
        <w:overflowPunct/>
        <w:topLinePunct w:val="0"/>
        <w:bidi w:val="0"/>
        <w:snapToGrid/>
        <w:spacing w:line="560" w:lineRule="exact"/>
        <w:rPr>
          <w:rFonts w:hint="eastAsia"/>
          <w:lang w:val="en-US" w:eastAsia="zh-CN"/>
        </w:rPr>
      </w:pPr>
    </w:p>
    <w:p w14:paraId="6F539B0D">
      <w:pPr>
        <w:pStyle w:val="4"/>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default"/>
          <w:lang w:val="en" w:eastAsia="zh-CN"/>
        </w:rPr>
      </w:pPr>
    </w:p>
    <w:p w14:paraId="69A07380">
      <w:pPr>
        <w:keepNext w:val="0"/>
        <w:keepLines w:val="0"/>
        <w:pageBreakBefore w:val="0"/>
        <w:widowControl w:val="0"/>
        <w:kinsoku/>
        <w:wordWrap/>
        <w:overflowPunct/>
        <w:topLinePunct w:val="0"/>
        <w:bidi w:val="0"/>
        <w:snapToGrid/>
        <w:spacing w:line="560" w:lineRule="exact"/>
        <w:rPr>
          <w:rFonts w:hint="eastAsia"/>
          <w:lang w:val="en-US" w:eastAsia="zh-CN"/>
        </w:rPr>
      </w:pPr>
    </w:p>
    <w:tbl>
      <w:tblPr>
        <w:tblStyle w:val="17"/>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9060"/>
      </w:tblGrid>
      <w:tr w14:paraId="68F1404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10" w:hRule="atLeast"/>
        </w:trPr>
        <w:tc>
          <w:tcPr>
            <w:tcW w:w="9060" w:type="dxa"/>
            <w:noWrap w:val="0"/>
            <w:vAlign w:val="center"/>
          </w:tcPr>
          <w:p w14:paraId="1DD5BB8F">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0" w:firstLineChars="0"/>
              <w:textAlignment w:val="auto"/>
              <w:rPr>
                <w:rFonts w:eastAsia="仿宋_GB2312"/>
                <w:color w:val="000000"/>
                <w:sz w:val="28"/>
                <w:szCs w:val="28"/>
              </w:rPr>
            </w:pPr>
            <w:r>
              <w:rPr>
                <w:rFonts w:hint="default" w:ascii="Times New Roman" w:hAnsi="Times New Roman" w:eastAsia="仿宋_GB2312" w:cs="Times New Roman"/>
                <w:color w:val="000000"/>
                <w:sz w:val="28"/>
                <w:szCs w:val="28"/>
              </w:rPr>
              <w:t xml:space="preserve">广西壮族自治区科学技术厅办公室     </w:t>
            </w:r>
            <w:r>
              <w:rPr>
                <w:rFonts w:hint="eastAsia"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w:t>
            </w:r>
            <w:r>
              <w:rPr>
                <w:rFonts w:hint="eastAsia"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202</w:t>
            </w:r>
            <w:r>
              <w:rPr>
                <w:rFonts w:hint="eastAsia" w:ascii="Times New Roman" w:hAnsi="Times New Roman" w:eastAsia="仿宋_GB2312" w:cs="Times New Roman"/>
                <w:color w:val="000000"/>
                <w:sz w:val="28"/>
                <w:szCs w:val="28"/>
                <w:lang w:val="en-US" w:eastAsia="zh-CN"/>
              </w:rPr>
              <w:t>5</w:t>
            </w:r>
            <w:r>
              <w:rPr>
                <w:rFonts w:hint="default" w:ascii="Times New Roman" w:hAnsi="Times New Roman" w:eastAsia="仿宋_GB2312" w:cs="Times New Roman"/>
                <w:color w:val="000000"/>
                <w:sz w:val="28"/>
                <w:szCs w:val="28"/>
              </w:rPr>
              <w:t>年</w:t>
            </w:r>
            <w:r>
              <w:rPr>
                <w:rFonts w:hint="default" w:ascii="Times New Roman" w:cs="Times New Roman"/>
                <w:color w:val="000000"/>
                <w:sz w:val="28"/>
                <w:szCs w:val="28"/>
                <w:lang w:val="en" w:eastAsia="zh-CN"/>
              </w:rPr>
              <w:t>12</w:t>
            </w:r>
            <w:r>
              <w:rPr>
                <w:rFonts w:hint="default" w:ascii="Times New Roman" w:hAnsi="Times New Roman" w:eastAsia="仿宋_GB2312" w:cs="Times New Roman"/>
                <w:color w:val="000000"/>
                <w:sz w:val="28"/>
                <w:szCs w:val="28"/>
              </w:rPr>
              <w:t>月</w:t>
            </w:r>
            <w:r>
              <w:rPr>
                <w:rFonts w:hint="default" w:ascii="Times New Roman" w:cs="Times New Roman"/>
                <w:color w:val="000000"/>
                <w:sz w:val="28"/>
                <w:szCs w:val="28"/>
                <w:lang w:val="en" w:eastAsia="zh-CN"/>
              </w:rPr>
              <w:t>22</w:t>
            </w:r>
            <w:r>
              <w:rPr>
                <w:rFonts w:hint="default" w:ascii="Times New Roman" w:hAnsi="Times New Roman" w:eastAsia="仿宋_GB2312" w:cs="Times New Roman"/>
                <w:color w:val="000000"/>
                <w:sz w:val="28"/>
                <w:szCs w:val="28"/>
              </w:rPr>
              <w:t>日印发</w:t>
            </w:r>
          </w:p>
        </w:tc>
      </w:tr>
    </w:tbl>
    <w:p w14:paraId="552C798A">
      <w:pPr>
        <w:keepNext w:val="0"/>
        <w:keepLines w:val="0"/>
        <w:pageBreakBefore w:val="0"/>
        <w:widowControl w:val="0"/>
        <w:kinsoku/>
        <w:wordWrap/>
        <w:overflowPunct/>
        <w:topLinePunct w:val="0"/>
        <w:autoSpaceDE/>
        <w:autoSpaceDN/>
        <w:bidi w:val="0"/>
        <w:adjustRightInd/>
        <w:snapToGrid/>
        <w:spacing w:line="100" w:lineRule="exact"/>
        <w:textAlignment w:val="auto"/>
      </w:pPr>
      <w:r>
        <w:rPr>
          <w:rFonts w:hint="default"/>
          <w:lang w:val="en" w:eastAsia="zh-CN"/>
        </w:rPr>
        <w:drawing>
          <wp:anchor distT="0" distB="0" distL="114300" distR="114300" simplePos="0" relativeHeight="251660288" behindDoc="0" locked="0" layoutInCell="1" allowOverlap="1">
            <wp:simplePos x="0" y="0"/>
            <wp:positionH relativeFrom="column">
              <wp:posOffset>3841750</wp:posOffset>
            </wp:positionH>
            <wp:positionV relativeFrom="paragraph">
              <wp:posOffset>111760</wp:posOffset>
            </wp:positionV>
            <wp:extent cx="1790700" cy="476250"/>
            <wp:effectExtent l="0" t="0" r="7620" b="11430"/>
            <wp:wrapSquare wrapText="bothSides"/>
            <wp:docPr id="2" name="图片 3"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19"/>
                    <pic:cNvPicPr>
                      <a:picLocks noChangeAspect="1"/>
                    </pic:cNvPicPr>
                  </pic:nvPicPr>
                  <pic:blipFill>
                    <a:blip r:embed="rId8"/>
                    <a:stretch>
                      <a:fillRect/>
                    </a:stretch>
                  </pic:blipFill>
                  <pic:spPr>
                    <a:xfrm>
                      <a:off x="0" y="0"/>
                      <a:ext cx="1790700" cy="476250"/>
                    </a:xfrm>
                    <a:prstGeom prst="rect">
                      <a:avLst/>
                    </a:prstGeom>
                    <a:noFill/>
                    <a:ln>
                      <a:noFill/>
                    </a:ln>
                  </pic:spPr>
                </pic:pic>
              </a:graphicData>
            </a:graphic>
          </wp:anchor>
        </w:drawing>
      </w:r>
    </w:p>
    <w:sectPr>
      <w:headerReference r:id="rId4" w:type="first"/>
      <w:footerReference r:id="rId6" w:type="first"/>
      <w:headerReference r:id="rId3" w:type="default"/>
      <w:footerReference r:id="rId5" w:type="default"/>
      <w:pgSz w:w="11906" w:h="16838"/>
      <w:pgMar w:top="2098" w:right="1531" w:bottom="1417" w:left="1531" w:header="851" w:footer="1417" w:gutter="0"/>
      <w:paperSrc/>
      <w:pgNumType w:fmt="decimal"/>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方正黑体_GBK">
    <w:altName w:val="微软雅黑"/>
    <w:panose1 w:val="02000000000000000000"/>
    <w:charset w:val="86"/>
    <w:family w:val="script"/>
    <w:pitch w:val="default"/>
    <w:sig w:usb0="00000001" w:usb1="08000000" w:usb2="00000000" w:usb3="00000000" w:csb0="00040000"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CG Times">
    <w:altName w:val="Segoe Print"/>
    <w:panose1 w:val="00000000000000000000"/>
    <w:charset w:val="00"/>
    <w:family w:val="roman"/>
    <w:pitch w:val="default"/>
    <w:sig w:usb0="00000000" w:usb1="00000000" w:usb2="00000000" w:usb3="00000000" w:csb0="00000093" w:csb1="00000000"/>
  </w:font>
  <w:font w:name="方正仿宋简体">
    <w:altName w:val="微软雅黑"/>
    <w:panose1 w:val="03000509000000000000"/>
    <w:charset w:val="86"/>
    <w:family w:val="script"/>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altName w:val="微软雅黑"/>
    <w:panose1 w:val="03000509000000000000"/>
    <w:charset w:val="86"/>
    <w:family w:val="script"/>
    <w:pitch w:val="default"/>
    <w:sig w:usb0="00000001" w:usb1="080E0000" w:usb2="00000000" w:usb3="00000000" w:csb0="00040000" w:csb1="00000000"/>
  </w:font>
  <w:font w:name="CESI仿宋-GB2312">
    <w:altName w:val="仿宋"/>
    <w:panose1 w:val="02000500000000000000"/>
    <w:charset w:val="86"/>
    <w:family w:val="auto"/>
    <w:pitch w:val="default"/>
    <w:sig w:usb0="800002AF" w:usb1="084F6CF8" w:usb2="00000010" w:usb3="00000000" w:csb0="0004000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5F8C4">
    <w:pPr>
      <w:pStyle w:val="13"/>
      <w:keepNext w:val="0"/>
      <w:keepLines w:val="0"/>
      <w:pageBreakBefore w:val="0"/>
      <w:widowControl w:val="0"/>
      <w:kinsoku/>
      <w:wordWrap/>
      <w:overflowPunct/>
      <w:topLinePunct w:val="0"/>
      <w:autoSpaceDE/>
      <w:autoSpaceDN/>
      <w:bidi w:val="0"/>
      <w:adjustRightInd/>
      <w:snapToGrid w:val="0"/>
      <w:spacing w:line="240" w:lineRule="exact"/>
      <w:jc w:val="both"/>
      <w:textAlignment w:val="auto"/>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04470"/>
              <wp:effectExtent l="0" t="0" r="0" b="0"/>
              <wp:wrapNone/>
              <wp:docPr id="3" name="Text Box 5"/>
              <wp:cNvGraphicFramePr/>
              <a:graphic xmlns:a="http://schemas.openxmlformats.org/drawingml/2006/main">
                <a:graphicData uri="http://schemas.microsoft.com/office/word/2010/wordprocessingShape">
                  <wps:wsp>
                    <wps:cNvSpPr txBox="1"/>
                    <wps:spPr>
                      <a:xfrm>
                        <a:off x="0" y="0"/>
                        <a:ext cx="622935" cy="204470"/>
                      </a:xfrm>
                      <a:prstGeom prst="rect">
                        <a:avLst/>
                      </a:prstGeom>
                      <a:noFill/>
                      <a:ln>
                        <a:noFill/>
                      </a:ln>
                      <a:effectLst/>
                    </wps:spPr>
                    <wps:txbx>
                      <w:txbxContent>
                        <w:p w14:paraId="26EE07C0">
                          <w:pPr>
                            <w:pStyle w:val="13"/>
                            <w:rPr>
                              <w:rFonts w:hint="eastAsia" w:ascii="宋体" w:hAnsi="宋体" w:cs="宋体"/>
                              <w:sz w:val="28"/>
                              <w:szCs w:val="28"/>
                            </w:rPr>
                          </w:pPr>
                          <w:r>
                            <w:rPr>
                              <w:rFonts w:hint="eastAsia" w:ascii="宋体" w:hAnsi="宋体" w:cs="宋体"/>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33</w:t>
                          </w:r>
                          <w:r>
                            <w:rPr>
                              <w:rFonts w:hint="default" w:ascii="Times New Roman" w:hAnsi="Times New Roman" w:cs="Times New Roman"/>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1">
                      <a:spAutoFit/>
                    </wps:bodyPr>
                  </wps:wsp>
                </a:graphicData>
              </a:graphic>
            </wp:anchor>
          </w:drawing>
        </mc:Choice>
        <mc:Fallback>
          <w:pict>
            <v:shape id="Text Box 5" o:spid="_x0000_s1026" o:spt="202" type="#_x0000_t202" style="position:absolute;left:0pt;margin-top:0pt;height:16.1pt;width:49.05pt;mso-position-horizontal:outside;mso-position-horizontal-relative:margin;mso-wrap-style:none;z-index:251659264;mso-width-relative:page;mso-height-relative:page;" filled="f" stroked="f" coordsize="21600,21600" o:gfxdata="UEsDBAoAAAAAAIdO4kAAAAAAAAAAAAAAAAAEAAAAZHJzL1BLAwQUAAAACACHTuJASVg8jNEAAAAD&#10;AQAADwAAAGRycy9kb3ducmV2LnhtbE2PQUvEMBCF74L/IYzgzU1bQWttuocFL95cRdhbtpltismk&#10;JNlu++8dvehl4PEe733TbhfvxIwxjYEUlJsCBFIfzEiDgo/3l7saRMqajHaBUMGKCbbd9VWrGxMu&#10;9IbzPg+CSyg1WoHNeWqkTL1Fr9MmTEjsnUL0OrOMgzRRX7jcO1kVxYP0eiResHrCncX+a3/2Ch6X&#10;z4BTwh0eTnMf7bjW7nVV6vamLJ5BZFzyXxh+8BkdOmY6hjOZJJwCfiT/Xvae6hLEUcF9VYHsWvmf&#10;vfsGUEsDBBQAAAAIAIdO4kBhmhlw2gEAAMkDAAAOAAAAZHJzL2Uyb0RvYy54bWytU02P0zAQvSPx&#10;H6y506TZDyBqugKqRUgIkHb5Aa7jNJZsj2W7TcqvZ+wkXVgue+CSjGfGb+a9GW/uRqPZSfqg0Daw&#10;XpXApBXYKnto4Ofj/Zt3wELktuUarWzgLAPcbV+/2gyulhX2qFvpGYHYUA+ugT5GVxdFEL00PKzQ&#10;SUvBDr3hkY7+ULSeD4RudFGV5W0xoG+dRyFDIO9uCsKM6F8CiF2nhNyhOBpp44TqpeaRKIVeuQDb&#10;3G3XSRG/d12QkekGiGnMXypC9j59i+2G1wfPXa/E3AJ/SQvPOBmuLBW9QO145Ozo1T9QRgmPAbu4&#10;EmiKiUhWhFisy2faPPTcycyFpA7uInr4f7Di2+mHZ6pt4AqY5YYG/ijHyD7iyG6SOoMLNSU9OEqL&#10;I7lpZxZ/IGciPXbepD/RYRQnbc8XbROYIOdtVb2/ugEmKFSV19dvs/bF02XnQ/ws0bBkNOBpdFlR&#10;fvoaIjVCqUtKqmXxXmmdx6ftXw5KnDwyz3++nXhM/SYrjvtxJrfH9kzc6EVQ1R79L2AD7UMDltYf&#10;mP5iSe60OovhF2O/GNwKuthABDaZn+K0Ykfn1aEn3HWmEtyHY6S+M53UxlSbuKUDTTiznLcxrdCf&#10;55z19AK3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JWDyM0QAAAAMBAAAPAAAAAAAAAAEAIAAA&#10;ACIAAABkcnMvZG93bnJldi54bWxQSwECFAAUAAAACACHTuJAYZoZcNoBAADJAwAADgAAAAAAAAAB&#10;ACAAAAAgAQAAZHJzL2Uyb0RvYy54bWxQSwUGAAAAAAYABgBZAQAAbAUAAAAA&#10;">
              <v:fill on="f" focussize="0,0"/>
              <v:stroke on="f"/>
              <v:imagedata o:title=""/>
              <o:lock v:ext="edit" aspectratio="f"/>
              <v:textbox inset="0mm,0mm,0mm,0mm" style="mso-fit-shape-to-text:t;">
                <w:txbxContent>
                  <w:p w14:paraId="26EE07C0">
                    <w:pPr>
                      <w:pStyle w:val="13"/>
                      <w:rPr>
                        <w:rFonts w:hint="eastAsia" w:ascii="宋体" w:hAnsi="宋体" w:cs="宋体"/>
                        <w:sz w:val="28"/>
                        <w:szCs w:val="28"/>
                      </w:rPr>
                    </w:pPr>
                    <w:r>
                      <w:rPr>
                        <w:rFonts w:hint="eastAsia" w:ascii="宋体" w:hAnsi="宋体" w:cs="宋体"/>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33</w:t>
                    </w:r>
                    <w:r>
                      <w:rPr>
                        <w:rFonts w:hint="default" w:ascii="Times New Roman" w:hAnsi="Times New Roman" w:cs="Times New Roman"/>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34A39">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10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4EF0E70">
                          <w:pPr>
                            <w:pStyle w:val="1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32</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32"/>
                              <w:szCs w:val="32"/>
                            </w:rPr>
                            <w:t xml:space="preserve"> —</w:t>
                          </w:r>
                        </w:p>
                      </w:txbxContent>
                    </wps:txbx>
                    <wps:bodyPr vert="horz" wrap="none" lIns="0" tIns="0" rIns="0" bIns="0" anchor="t" anchorCtr="0" upright="0">
                      <a:spAutoFit/>
                    </wps:bodyPr>
                  </wps:wsp>
                </a:graphicData>
              </a:graphic>
            </wp:anchor>
          </w:drawing>
        </mc:Choice>
        <mc:Fallback>
          <w:pict>
            <v:shape id="文本框 105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Fj79+YBAADPAwAADgAAAGRycy9lMm9Eb2MueG1srVPNjtMwEL4j8Q6W&#10;7zRpEaiqmq6AahESAqSFB3Adp7HkP824TcoDwBtw4sKd5+pz7NhJurB72cNekvHM+Jv5vhmvr3pr&#10;2FEBau8qPp+VnCknfa3dvuLfvl6/WHKGUbhaGO9UxU8K+dXm+bN1F1Zq4VtvagWMQByuulDxNsaw&#10;KgqUrbICZz4oR8HGgxWRjrAvahAdoVtTLMryddF5qAN4qRDJux2CfESExwD6ptFSbb08WOXigArK&#10;iEiUsNUB+SZ32zRKxs9NgyoyU3FiGvOXipC9S99isxarPYjQajm2IB7Twj1OVmhHRS9QWxEFO4B+&#10;AGW1BI++iTPpbTEQyYoQi3l5T5ubVgSVuZDUGC6i49PByk/HL8B0XXEauxOWBn7+9fP8++/5zw82&#10;L1+9TAp1AVeUeBMoNfZvfU97M/mRnIl434BNf6LEKE76ni76qj4ymS4tF8tlSSFJselA+MXd9QAY&#10;3ytvWTIqDjTArKs4fsQ4pE4pqZrz19qYPETj/nMQ5uBReQvG24nJ0HGyYr/rR3o7X5+IHb0Lqtp6&#10;+M5ZR1tRcUePgDPzwZHoaYEmAyZjNxnCSbpY8cjZYL6Lw6IdAuh9m1cvtYjhzSFS35lOamOoTTKk&#10;A805CzLuZFqkf8856+4dbm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BBY+/fmAQAAzwMA&#10;AA4AAAAAAAAAAQAgAAAAHgEAAGRycy9lMm9Eb2MueG1sUEsFBgAAAAAGAAYAWQEAAHYFAAAAAA==&#10;">
              <v:fill on="f" focussize="0,0"/>
              <v:stroke on="f"/>
              <v:imagedata o:title=""/>
              <o:lock v:ext="edit" aspectratio="f"/>
              <v:textbox inset="0mm,0mm,0mm,0mm" style="mso-fit-shape-to-text:t;">
                <w:txbxContent>
                  <w:p w14:paraId="64EF0E70">
                    <w:pPr>
                      <w:pStyle w:val="1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32</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4262C">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D365C">
    <w:pPr>
      <w:pStyle w:val="14"/>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hyphenationZone w:val="360"/>
  <w:drawingGridHorizontalSpacing w:val="210"/>
  <w:drawingGridVerticalSpacing w:val="158"/>
  <w:displayHorizontalDrawingGridEvery w:val="1"/>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F6923"/>
    <w:rsid w:val="000002F1"/>
    <w:rsid w:val="00000F55"/>
    <w:rsid w:val="000045D6"/>
    <w:rsid w:val="00020D2A"/>
    <w:rsid w:val="00024006"/>
    <w:rsid w:val="000310D0"/>
    <w:rsid w:val="000332C3"/>
    <w:rsid w:val="000543BF"/>
    <w:rsid w:val="00056C43"/>
    <w:rsid w:val="00064356"/>
    <w:rsid w:val="000650BC"/>
    <w:rsid w:val="00074AA6"/>
    <w:rsid w:val="00075405"/>
    <w:rsid w:val="0007604C"/>
    <w:rsid w:val="00080ABC"/>
    <w:rsid w:val="00082B48"/>
    <w:rsid w:val="000848DC"/>
    <w:rsid w:val="00086F61"/>
    <w:rsid w:val="00090177"/>
    <w:rsid w:val="000958FB"/>
    <w:rsid w:val="00095A3D"/>
    <w:rsid w:val="000A2E76"/>
    <w:rsid w:val="000B6F89"/>
    <w:rsid w:val="000C12DE"/>
    <w:rsid w:val="000C1AE3"/>
    <w:rsid w:val="000D4071"/>
    <w:rsid w:val="000E4BB4"/>
    <w:rsid w:val="000F3210"/>
    <w:rsid w:val="000F369E"/>
    <w:rsid w:val="000F38E3"/>
    <w:rsid w:val="000F518C"/>
    <w:rsid w:val="000F6F50"/>
    <w:rsid w:val="000F7248"/>
    <w:rsid w:val="001011E4"/>
    <w:rsid w:val="001014C1"/>
    <w:rsid w:val="0011417A"/>
    <w:rsid w:val="001179BC"/>
    <w:rsid w:val="00122223"/>
    <w:rsid w:val="00124233"/>
    <w:rsid w:val="00143345"/>
    <w:rsid w:val="0014506C"/>
    <w:rsid w:val="001528C3"/>
    <w:rsid w:val="00157938"/>
    <w:rsid w:val="00157C4D"/>
    <w:rsid w:val="0016161B"/>
    <w:rsid w:val="0017337B"/>
    <w:rsid w:val="00173CC8"/>
    <w:rsid w:val="00183C60"/>
    <w:rsid w:val="00183E30"/>
    <w:rsid w:val="001910CE"/>
    <w:rsid w:val="00194269"/>
    <w:rsid w:val="001A3E4C"/>
    <w:rsid w:val="001A5CB6"/>
    <w:rsid w:val="001B2E7C"/>
    <w:rsid w:val="001B49F0"/>
    <w:rsid w:val="001C7F46"/>
    <w:rsid w:val="001D390D"/>
    <w:rsid w:val="001E6799"/>
    <w:rsid w:val="0021055E"/>
    <w:rsid w:val="002177BE"/>
    <w:rsid w:val="00221285"/>
    <w:rsid w:val="00224E91"/>
    <w:rsid w:val="00242EB2"/>
    <w:rsid w:val="0024545E"/>
    <w:rsid w:val="00251261"/>
    <w:rsid w:val="002513F4"/>
    <w:rsid w:val="002539DB"/>
    <w:rsid w:val="002546D9"/>
    <w:rsid w:val="0025551C"/>
    <w:rsid w:val="002718DF"/>
    <w:rsid w:val="00287AAE"/>
    <w:rsid w:val="00294BD7"/>
    <w:rsid w:val="002951A6"/>
    <w:rsid w:val="002975AC"/>
    <w:rsid w:val="002A3792"/>
    <w:rsid w:val="002C7CAD"/>
    <w:rsid w:val="002D02E5"/>
    <w:rsid w:val="002D1462"/>
    <w:rsid w:val="002E197D"/>
    <w:rsid w:val="002E22FF"/>
    <w:rsid w:val="00301927"/>
    <w:rsid w:val="00301B62"/>
    <w:rsid w:val="00310AA9"/>
    <w:rsid w:val="003172AC"/>
    <w:rsid w:val="0032056E"/>
    <w:rsid w:val="00326A0C"/>
    <w:rsid w:val="00340EAD"/>
    <w:rsid w:val="00355CA7"/>
    <w:rsid w:val="00366729"/>
    <w:rsid w:val="00375591"/>
    <w:rsid w:val="003758E4"/>
    <w:rsid w:val="00385E7E"/>
    <w:rsid w:val="00392B63"/>
    <w:rsid w:val="0039657C"/>
    <w:rsid w:val="00396CAE"/>
    <w:rsid w:val="003B364F"/>
    <w:rsid w:val="003C48E0"/>
    <w:rsid w:val="003C6B62"/>
    <w:rsid w:val="003D7A4F"/>
    <w:rsid w:val="003E2531"/>
    <w:rsid w:val="003E420D"/>
    <w:rsid w:val="003E5397"/>
    <w:rsid w:val="003F1CF8"/>
    <w:rsid w:val="003F1E2C"/>
    <w:rsid w:val="003F2513"/>
    <w:rsid w:val="003F66C8"/>
    <w:rsid w:val="00411A4B"/>
    <w:rsid w:val="00412DBE"/>
    <w:rsid w:val="00420312"/>
    <w:rsid w:val="00432939"/>
    <w:rsid w:val="00435EB9"/>
    <w:rsid w:val="00436309"/>
    <w:rsid w:val="00451939"/>
    <w:rsid w:val="0045446C"/>
    <w:rsid w:val="0046084D"/>
    <w:rsid w:val="00460B46"/>
    <w:rsid w:val="00461956"/>
    <w:rsid w:val="004652B3"/>
    <w:rsid w:val="00467301"/>
    <w:rsid w:val="00470EEC"/>
    <w:rsid w:val="00475153"/>
    <w:rsid w:val="00480D67"/>
    <w:rsid w:val="0048462D"/>
    <w:rsid w:val="00485383"/>
    <w:rsid w:val="00492057"/>
    <w:rsid w:val="00493B51"/>
    <w:rsid w:val="004B3D2A"/>
    <w:rsid w:val="004C449C"/>
    <w:rsid w:val="004C59C9"/>
    <w:rsid w:val="004D13BC"/>
    <w:rsid w:val="004D6EE5"/>
    <w:rsid w:val="004D72CB"/>
    <w:rsid w:val="004F0CAE"/>
    <w:rsid w:val="004F155E"/>
    <w:rsid w:val="00514691"/>
    <w:rsid w:val="005315A4"/>
    <w:rsid w:val="00543354"/>
    <w:rsid w:val="005530FE"/>
    <w:rsid w:val="00571856"/>
    <w:rsid w:val="005728CF"/>
    <w:rsid w:val="00576564"/>
    <w:rsid w:val="005802FA"/>
    <w:rsid w:val="00585CDF"/>
    <w:rsid w:val="0059366F"/>
    <w:rsid w:val="005A05FD"/>
    <w:rsid w:val="005A4022"/>
    <w:rsid w:val="005A45E7"/>
    <w:rsid w:val="005B5143"/>
    <w:rsid w:val="005C2387"/>
    <w:rsid w:val="005C550A"/>
    <w:rsid w:val="005D02FF"/>
    <w:rsid w:val="005D1EF7"/>
    <w:rsid w:val="005D3C02"/>
    <w:rsid w:val="005D5F9B"/>
    <w:rsid w:val="005E6BD3"/>
    <w:rsid w:val="005E7B75"/>
    <w:rsid w:val="005F0A3B"/>
    <w:rsid w:val="005F2501"/>
    <w:rsid w:val="005F2B35"/>
    <w:rsid w:val="00601A7A"/>
    <w:rsid w:val="006337F8"/>
    <w:rsid w:val="00646C4C"/>
    <w:rsid w:val="00647244"/>
    <w:rsid w:val="0066006F"/>
    <w:rsid w:val="00672C88"/>
    <w:rsid w:val="00673E4F"/>
    <w:rsid w:val="00692AB5"/>
    <w:rsid w:val="006937AE"/>
    <w:rsid w:val="006A11B1"/>
    <w:rsid w:val="006B1924"/>
    <w:rsid w:val="006D055A"/>
    <w:rsid w:val="006D70E0"/>
    <w:rsid w:val="006E68D3"/>
    <w:rsid w:val="00700D11"/>
    <w:rsid w:val="00715187"/>
    <w:rsid w:val="007236AF"/>
    <w:rsid w:val="00727900"/>
    <w:rsid w:val="00731295"/>
    <w:rsid w:val="007319E5"/>
    <w:rsid w:val="00732A3B"/>
    <w:rsid w:val="00736C57"/>
    <w:rsid w:val="00766A29"/>
    <w:rsid w:val="00780B22"/>
    <w:rsid w:val="00782B80"/>
    <w:rsid w:val="007900F7"/>
    <w:rsid w:val="007B578A"/>
    <w:rsid w:val="007B6E81"/>
    <w:rsid w:val="007B776C"/>
    <w:rsid w:val="007C330F"/>
    <w:rsid w:val="007C3DF2"/>
    <w:rsid w:val="007C7D17"/>
    <w:rsid w:val="007D5F53"/>
    <w:rsid w:val="007E5050"/>
    <w:rsid w:val="007E6699"/>
    <w:rsid w:val="008008A3"/>
    <w:rsid w:val="008011F2"/>
    <w:rsid w:val="00802E58"/>
    <w:rsid w:val="00807D66"/>
    <w:rsid w:val="008206C8"/>
    <w:rsid w:val="00824133"/>
    <w:rsid w:val="00824F7E"/>
    <w:rsid w:val="00827E39"/>
    <w:rsid w:val="00831804"/>
    <w:rsid w:val="00833F4B"/>
    <w:rsid w:val="00841148"/>
    <w:rsid w:val="00843766"/>
    <w:rsid w:val="00851578"/>
    <w:rsid w:val="00852B03"/>
    <w:rsid w:val="00871C90"/>
    <w:rsid w:val="00874932"/>
    <w:rsid w:val="0088764E"/>
    <w:rsid w:val="00894586"/>
    <w:rsid w:val="008B2639"/>
    <w:rsid w:val="008D4478"/>
    <w:rsid w:val="008E3D5E"/>
    <w:rsid w:val="008F3D02"/>
    <w:rsid w:val="008F6383"/>
    <w:rsid w:val="0090136C"/>
    <w:rsid w:val="00902B6F"/>
    <w:rsid w:val="00914BC9"/>
    <w:rsid w:val="0091512E"/>
    <w:rsid w:val="00921B71"/>
    <w:rsid w:val="009223CE"/>
    <w:rsid w:val="00924D4D"/>
    <w:rsid w:val="009274E2"/>
    <w:rsid w:val="00933C59"/>
    <w:rsid w:val="009411B9"/>
    <w:rsid w:val="0095073F"/>
    <w:rsid w:val="00957787"/>
    <w:rsid w:val="00957A9B"/>
    <w:rsid w:val="00964E62"/>
    <w:rsid w:val="009664B7"/>
    <w:rsid w:val="00971771"/>
    <w:rsid w:val="00981278"/>
    <w:rsid w:val="00990A61"/>
    <w:rsid w:val="00991840"/>
    <w:rsid w:val="00995E40"/>
    <w:rsid w:val="009A36EE"/>
    <w:rsid w:val="009A48ED"/>
    <w:rsid w:val="009B0742"/>
    <w:rsid w:val="009C5486"/>
    <w:rsid w:val="009D1A9E"/>
    <w:rsid w:val="009E086D"/>
    <w:rsid w:val="009E64BF"/>
    <w:rsid w:val="009F062D"/>
    <w:rsid w:val="009F1D81"/>
    <w:rsid w:val="009F38DA"/>
    <w:rsid w:val="009F7CAE"/>
    <w:rsid w:val="00A06A48"/>
    <w:rsid w:val="00A16656"/>
    <w:rsid w:val="00A21708"/>
    <w:rsid w:val="00A21EA2"/>
    <w:rsid w:val="00A22EA0"/>
    <w:rsid w:val="00A241EA"/>
    <w:rsid w:val="00A301F6"/>
    <w:rsid w:val="00A3236C"/>
    <w:rsid w:val="00A32D51"/>
    <w:rsid w:val="00A43BBB"/>
    <w:rsid w:val="00A469D1"/>
    <w:rsid w:val="00A4793B"/>
    <w:rsid w:val="00A50934"/>
    <w:rsid w:val="00A52EAA"/>
    <w:rsid w:val="00A55C92"/>
    <w:rsid w:val="00A56B53"/>
    <w:rsid w:val="00A56E5E"/>
    <w:rsid w:val="00A57520"/>
    <w:rsid w:val="00A62B2B"/>
    <w:rsid w:val="00A640D7"/>
    <w:rsid w:val="00A7698E"/>
    <w:rsid w:val="00A77A7C"/>
    <w:rsid w:val="00A922C5"/>
    <w:rsid w:val="00AA049C"/>
    <w:rsid w:val="00AB5361"/>
    <w:rsid w:val="00AC134C"/>
    <w:rsid w:val="00AC3DF7"/>
    <w:rsid w:val="00AC51D8"/>
    <w:rsid w:val="00AD4EEA"/>
    <w:rsid w:val="00AE0369"/>
    <w:rsid w:val="00AE4F06"/>
    <w:rsid w:val="00AE71C8"/>
    <w:rsid w:val="00AF0A05"/>
    <w:rsid w:val="00AF0B3E"/>
    <w:rsid w:val="00AF2244"/>
    <w:rsid w:val="00AF58CA"/>
    <w:rsid w:val="00AF5DE0"/>
    <w:rsid w:val="00B000BD"/>
    <w:rsid w:val="00B0207B"/>
    <w:rsid w:val="00B1275E"/>
    <w:rsid w:val="00B2484C"/>
    <w:rsid w:val="00B31F85"/>
    <w:rsid w:val="00B52205"/>
    <w:rsid w:val="00B6339F"/>
    <w:rsid w:val="00BA13CB"/>
    <w:rsid w:val="00BA4307"/>
    <w:rsid w:val="00BA52F7"/>
    <w:rsid w:val="00BB2FC6"/>
    <w:rsid w:val="00BC3BA6"/>
    <w:rsid w:val="00BD007D"/>
    <w:rsid w:val="00BD5664"/>
    <w:rsid w:val="00BD6D49"/>
    <w:rsid w:val="00BE2F0D"/>
    <w:rsid w:val="00BE532B"/>
    <w:rsid w:val="00BE797D"/>
    <w:rsid w:val="00BF1BD3"/>
    <w:rsid w:val="00BF33B8"/>
    <w:rsid w:val="00BF7728"/>
    <w:rsid w:val="00C06A55"/>
    <w:rsid w:val="00C1267B"/>
    <w:rsid w:val="00C22375"/>
    <w:rsid w:val="00C27326"/>
    <w:rsid w:val="00C2773E"/>
    <w:rsid w:val="00C32C34"/>
    <w:rsid w:val="00C355E8"/>
    <w:rsid w:val="00C44C95"/>
    <w:rsid w:val="00C4713B"/>
    <w:rsid w:val="00C50D26"/>
    <w:rsid w:val="00C52E2C"/>
    <w:rsid w:val="00C66A72"/>
    <w:rsid w:val="00C73C2A"/>
    <w:rsid w:val="00C75C33"/>
    <w:rsid w:val="00C76983"/>
    <w:rsid w:val="00C77FD8"/>
    <w:rsid w:val="00C80434"/>
    <w:rsid w:val="00C81658"/>
    <w:rsid w:val="00C85FE5"/>
    <w:rsid w:val="00C9192E"/>
    <w:rsid w:val="00C94256"/>
    <w:rsid w:val="00C95912"/>
    <w:rsid w:val="00C95C3C"/>
    <w:rsid w:val="00CA353A"/>
    <w:rsid w:val="00CA6196"/>
    <w:rsid w:val="00CC0100"/>
    <w:rsid w:val="00CC68AD"/>
    <w:rsid w:val="00CD4A58"/>
    <w:rsid w:val="00CE505D"/>
    <w:rsid w:val="00D16474"/>
    <w:rsid w:val="00D26E0D"/>
    <w:rsid w:val="00D3394E"/>
    <w:rsid w:val="00D46522"/>
    <w:rsid w:val="00D50D8A"/>
    <w:rsid w:val="00D60630"/>
    <w:rsid w:val="00D61433"/>
    <w:rsid w:val="00D62BFB"/>
    <w:rsid w:val="00D638BA"/>
    <w:rsid w:val="00D80D98"/>
    <w:rsid w:val="00DA58B3"/>
    <w:rsid w:val="00DC5977"/>
    <w:rsid w:val="00DD5BF7"/>
    <w:rsid w:val="00DE6CDC"/>
    <w:rsid w:val="00DF60A8"/>
    <w:rsid w:val="00E0750D"/>
    <w:rsid w:val="00E15FCA"/>
    <w:rsid w:val="00E16CFC"/>
    <w:rsid w:val="00E17C4D"/>
    <w:rsid w:val="00E21F7A"/>
    <w:rsid w:val="00E32D80"/>
    <w:rsid w:val="00E33C7F"/>
    <w:rsid w:val="00E34AF9"/>
    <w:rsid w:val="00E40241"/>
    <w:rsid w:val="00E4784D"/>
    <w:rsid w:val="00E66342"/>
    <w:rsid w:val="00E67D9B"/>
    <w:rsid w:val="00E724A0"/>
    <w:rsid w:val="00E76190"/>
    <w:rsid w:val="00E87771"/>
    <w:rsid w:val="00E9289F"/>
    <w:rsid w:val="00E95B2E"/>
    <w:rsid w:val="00E9621D"/>
    <w:rsid w:val="00EA24BA"/>
    <w:rsid w:val="00EC2EB8"/>
    <w:rsid w:val="00ED05A5"/>
    <w:rsid w:val="00EE269B"/>
    <w:rsid w:val="00EF4C03"/>
    <w:rsid w:val="00F028DA"/>
    <w:rsid w:val="00F03046"/>
    <w:rsid w:val="00F07C85"/>
    <w:rsid w:val="00F233D0"/>
    <w:rsid w:val="00F23782"/>
    <w:rsid w:val="00F3111F"/>
    <w:rsid w:val="00F31E23"/>
    <w:rsid w:val="00F33BCE"/>
    <w:rsid w:val="00F4571B"/>
    <w:rsid w:val="00F60DB5"/>
    <w:rsid w:val="00F62D3A"/>
    <w:rsid w:val="00F71396"/>
    <w:rsid w:val="00FA3C60"/>
    <w:rsid w:val="00FB0EA7"/>
    <w:rsid w:val="00FC6160"/>
    <w:rsid w:val="00FD12DB"/>
    <w:rsid w:val="00FD1FFE"/>
    <w:rsid w:val="00FD5E71"/>
    <w:rsid w:val="00FE46B3"/>
    <w:rsid w:val="00FF0E72"/>
    <w:rsid w:val="00FF2808"/>
    <w:rsid w:val="00FF3AC2"/>
    <w:rsid w:val="00FF3C7A"/>
    <w:rsid w:val="010630D0"/>
    <w:rsid w:val="034F6973"/>
    <w:rsid w:val="05A76B78"/>
    <w:rsid w:val="05CE6EB1"/>
    <w:rsid w:val="06982F19"/>
    <w:rsid w:val="087F6923"/>
    <w:rsid w:val="0B616901"/>
    <w:rsid w:val="0B7D2EB8"/>
    <w:rsid w:val="0D445412"/>
    <w:rsid w:val="0DD643C0"/>
    <w:rsid w:val="0EAA760A"/>
    <w:rsid w:val="10CE6433"/>
    <w:rsid w:val="16295DD9"/>
    <w:rsid w:val="25565D1A"/>
    <w:rsid w:val="265B2F41"/>
    <w:rsid w:val="27E239F2"/>
    <w:rsid w:val="280F74E7"/>
    <w:rsid w:val="2BC00920"/>
    <w:rsid w:val="2BE01BD6"/>
    <w:rsid w:val="30B4648D"/>
    <w:rsid w:val="31E36869"/>
    <w:rsid w:val="335F56CE"/>
    <w:rsid w:val="355A3E1C"/>
    <w:rsid w:val="365A443E"/>
    <w:rsid w:val="373B525E"/>
    <w:rsid w:val="37FD921B"/>
    <w:rsid w:val="38FB5317"/>
    <w:rsid w:val="39B76556"/>
    <w:rsid w:val="3ACBA423"/>
    <w:rsid w:val="3B378168"/>
    <w:rsid w:val="3C730A48"/>
    <w:rsid w:val="3D9FC9C7"/>
    <w:rsid w:val="3E1EE3FF"/>
    <w:rsid w:val="3F814D97"/>
    <w:rsid w:val="409A21BD"/>
    <w:rsid w:val="40C44895"/>
    <w:rsid w:val="44685444"/>
    <w:rsid w:val="448F25B4"/>
    <w:rsid w:val="48E72DF5"/>
    <w:rsid w:val="49051EC1"/>
    <w:rsid w:val="49BF6941"/>
    <w:rsid w:val="4AEB42B2"/>
    <w:rsid w:val="4B0A3EDB"/>
    <w:rsid w:val="4BAEC5B8"/>
    <w:rsid w:val="4CDF84F7"/>
    <w:rsid w:val="4D981343"/>
    <w:rsid w:val="4D9AFE69"/>
    <w:rsid w:val="4E80705D"/>
    <w:rsid w:val="4F9F7D77"/>
    <w:rsid w:val="526BFAD4"/>
    <w:rsid w:val="55625F0C"/>
    <w:rsid w:val="55F51A69"/>
    <w:rsid w:val="56B153C8"/>
    <w:rsid w:val="5AF35FEF"/>
    <w:rsid w:val="5BBB78A6"/>
    <w:rsid w:val="5BDF3788"/>
    <w:rsid w:val="5CA5570E"/>
    <w:rsid w:val="5CC44C22"/>
    <w:rsid w:val="5D1E7563"/>
    <w:rsid w:val="5E7F32B2"/>
    <w:rsid w:val="6097591A"/>
    <w:rsid w:val="63317BAB"/>
    <w:rsid w:val="642971E3"/>
    <w:rsid w:val="65081EF0"/>
    <w:rsid w:val="66C9548A"/>
    <w:rsid w:val="66DC5137"/>
    <w:rsid w:val="68CB0E27"/>
    <w:rsid w:val="68EF1AEA"/>
    <w:rsid w:val="6B1479D8"/>
    <w:rsid w:val="6B276B11"/>
    <w:rsid w:val="6BEFCD41"/>
    <w:rsid w:val="6DE91969"/>
    <w:rsid w:val="6EE567C2"/>
    <w:rsid w:val="6FBD5DC6"/>
    <w:rsid w:val="700E0E59"/>
    <w:rsid w:val="708664A7"/>
    <w:rsid w:val="71AC61BE"/>
    <w:rsid w:val="71ED0839"/>
    <w:rsid w:val="72BFA433"/>
    <w:rsid w:val="73CC3568"/>
    <w:rsid w:val="73F232D6"/>
    <w:rsid w:val="746D3BA9"/>
    <w:rsid w:val="75477E01"/>
    <w:rsid w:val="76EFBFE8"/>
    <w:rsid w:val="771D4F71"/>
    <w:rsid w:val="771F3315"/>
    <w:rsid w:val="77E9B8AF"/>
    <w:rsid w:val="7804098D"/>
    <w:rsid w:val="7A5B709F"/>
    <w:rsid w:val="7B0423A9"/>
    <w:rsid w:val="7B672258"/>
    <w:rsid w:val="7B853083"/>
    <w:rsid w:val="7BCC0671"/>
    <w:rsid w:val="7D766EB8"/>
    <w:rsid w:val="7DDB6E1F"/>
    <w:rsid w:val="7E195214"/>
    <w:rsid w:val="7E51485D"/>
    <w:rsid w:val="7EE718D5"/>
    <w:rsid w:val="7EFF0E86"/>
    <w:rsid w:val="7EFFAB07"/>
    <w:rsid w:val="7F594A06"/>
    <w:rsid w:val="7F7FB280"/>
    <w:rsid w:val="7F9F8756"/>
    <w:rsid w:val="7FBFC0C3"/>
    <w:rsid w:val="7FDCEE19"/>
    <w:rsid w:val="7FFB6C78"/>
    <w:rsid w:val="7FFD8599"/>
    <w:rsid w:val="97FE47F4"/>
    <w:rsid w:val="9FFAFB5D"/>
    <w:rsid w:val="A5BBA65B"/>
    <w:rsid w:val="AC9F28CF"/>
    <w:rsid w:val="AEFF6705"/>
    <w:rsid w:val="AFDD2337"/>
    <w:rsid w:val="B7550E35"/>
    <w:rsid w:val="BCFE33B5"/>
    <w:rsid w:val="BDD42B31"/>
    <w:rsid w:val="BDFD4134"/>
    <w:rsid w:val="BE7FEB03"/>
    <w:rsid w:val="BF7B0C10"/>
    <w:rsid w:val="BF9C748E"/>
    <w:rsid w:val="CBFF75BF"/>
    <w:rsid w:val="CCDB3AC2"/>
    <w:rsid w:val="CF778927"/>
    <w:rsid w:val="D5E7005E"/>
    <w:rsid w:val="D8F7CD20"/>
    <w:rsid w:val="DFDBF448"/>
    <w:rsid w:val="DFEE23BC"/>
    <w:rsid w:val="DFFF8725"/>
    <w:rsid w:val="E3DF7FC2"/>
    <w:rsid w:val="E5BBE460"/>
    <w:rsid w:val="E7AB668E"/>
    <w:rsid w:val="E9F38397"/>
    <w:rsid w:val="EDFFA3D1"/>
    <w:rsid w:val="EEFC6B3D"/>
    <w:rsid w:val="EFCFDEDE"/>
    <w:rsid w:val="EFF5F5C6"/>
    <w:rsid w:val="F3F6A645"/>
    <w:rsid w:val="F76AA324"/>
    <w:rsid w:val="F8B58E7C"/>
    <w:rsid w:val="FBEBEF67"/>
    <w:rsid w:val="FF3F8DFA"/>
    <w:rsid w:val="FFCE1F13"/>
    <w:rsid w:val="FFD3ADA4"/>
    <w:rsid w:val="FFEFA8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qFormat="1" w:unhideWhenUsed="0" w:uiPriority="0" w:semiHidden="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99"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keepNext/>
      <w:keepLines/>
      <w:spacing w:beforeLines="0" w:afterLines="0" w:line="576" w:lineRule="auto"/>
      <w:ind w:firstLine="640" w:firstLineChars="200"/>
      <w:outlineLvl w:val="0"/>
    </w:pPr>
    <w:rPr>
      <w:rFonts w:ascii="黑体" w:hAnsi="黑体" w:eastAsia="黑体" w:cs="黑体"/>
      <w:bCs/>
      <w:kern w:val="44"/>
      <w:sz w:val="32"/>
      <w:szCs w:val="32"/>
    </w:rPr>
  </w:style>
  <w:style w:type="paragraph" w:styleId="6">
    <w:name w:val="heading 2"/>
    <w:basedOn w:val="1"/>
    <w:next w:val="1"/>
    <w:qFormat/>
    <w:uiPriority w:val="0"/>
    <w:pPr>
      <w:keepNext/>
      <w:keepLines/>
      <w:spacing w:beforeLines="0" w:afterLines="0" w:line="413" w:lineRule="auto"/>
      <w:ind w:firstLine="643" w:firstLineChars="200"/>
      <w:outlineLvl w:val="1"/>
    </w:pPr>
    <w:rPr>
      <w:rFonts w:ascii="楷体_GB2312" w:hAnsi="楷体_GB2312" w:eastAsia="楷体_GB2312" w:cs="楷体_GB2312"/>
      <w:b/>
      <w:sz w:val="32"/>
    </w:rPr>
  </w:style>
  <w:style w:type="paragraph" w:styleId="7">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19">
    <w:name w:val="Default Paragraph Font"/>
    <w:unhideWhenUsed/>
    <w:qFormat/>
    <w:uiPriority w:val="1"/>
  </w:style>
  <w:style w:type="table" w:default="1" w:styleId="17">
    <w:name w:val="Normal Table"/>
    <w:unhideWhenUsed/>
    <w:qFormat/>
    <w:uiPriority w:val="99"/>
    <w:tblPr>
      <w:tblStyle w:val="17"/>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纯文本1"/>
    <w:basedOn w:val="1"/>
    <w:qFormat/>
    <w:uiPriority w:val="0"/>
    <w:pPr>
      <w:textAlignment w:val="baseline"/>
    </w:pPr>
    <w:rPr>
      <w:rFonts w:ascii="宋体" w:hAnsi="Courier New" w:eastAsia="宋体" w:cs="Times New Roman"/>
    </w:rPr>
  </w:style>
  <w:style w:type="paragraph" w:styleId="4">
    <w:name w:val="index 6"/>
    <w:basedOn w:val="1"/>
    <w:next w:val="1"/>
    <w:qFormat/>
    <w:uiPriority w:val="0"/>
    <w:pPr>
      <w:ind w:left="2100"/>
    </w:pPr>
    <w:rPr>
      <w:rFonts w:ascii="Times New Roman" w:hAnsi="Times New Roman" w:eastAsia="宋体" w:cs="Times New Roman"/>
    </w:rPr>
  </w:style>
  <w:style w:type="paragraph" w:styleId="8">
    <w:name w:val="Normal Indent"/>
    <w:basedOn w:val="1"/>
    <w:next w:val="1"/>
    <w:qFormat/>
    <w:uiPriority w:val="99"/>
    <w:pPr>
      <w:ind w:firstLine="420" w:firstLineChars="200"/>
    </w:pPr>
    <w:rPr>
      <w:rFonts w:cs="Calibri"/>
      <w:szCs w:val="21"/>
    </w:rPr>
  </w:style>
  <w:style w:type="paragraph" w:styleId="9">
    <w:name w:val="Body Text"/>
    <w:basedOn w:val="1"/>
    <w:next w:val="10"/>
    <w:qFormat/>
    <w:uiPriority w:val="0"/>
    <w:pPr>
      <w:spacing w:after="120" w:afterLines="0" w:afterAutospacing="0"/>
    </w:pPr>
  </w:style>
  <w:style w:type="paragraph" w:styleId="10">
    <w:name w:val="Title"/>
    <w:basedOn w:val="1"/>
    <w:next w:val="1"/>
    <w:qFormat/>
    <w:uiPriority w:val="0"/>
    <w:pPr>
      <w:widowControl/>
      <w:spacing w:line="590" w:lineRule="exact"/>
      <w:jc w:val="center"/>
      <w:outlineLvl w:val="0"/>
    </w:pPr>
    <w:rPr>
      <w:rFonts w:ascii="Cambria" w:hAnsi="Cambria" w:eastAsia="方正黑体_GBK" w:cs="宋体"/>
      <w:kern w:val="0"/>
      <w:sz w:val="32"/>
      <w:szCs w:val="32"/>
    </w:rPr>
  </w:style>
  <w:style w:type="paragraph" w:styleId="11">
    <w:name w:val="Date"/>
    <w:basedOn w:val="1"/>
    <w:next w:val="1"/>
    <w:link w:val="22"/>
    <w:unhideWhenUsed/>
    <w:qFormat/>
    <w:uiPriority w:val="0"/>
    <w:pPr>
      <w:ind w:left="100" w:leftChars="2500"/>
    </w:pPr>
  </w:style>
  <w:style w:type="paragraph" w:styleId="12">
    <w:name w:val="Balloon Text"/>
    <w:basedOn w:val="1"/>
    <w:link w:val="23"/>
    <w:qFormat/>
    <w:uiPriority w:val="0"/>
    <w:rPr>
      <w:sz w:val="18"/>
      <w:szCs w:val="18"/>
    </w:rPr>
  </w:style>
  <w:style w:type="paragraph" w:styleId="13">
    <w:name w:val="footer"/>
    <w:basedOn w:val="1"/>
    <w:link w:val="24"/>
    <w:qFormat/>
    <w:uiPriority w:val="99"/>
    <w:pPr>
      <w:tabs>
        <w:tab w:val="center" w:pos="4153"/>
        <w:tab w:val="right" w:pos="8306"/>
      </w:tabs>
      <w:snapToGrid w:val="0"/>
      <w:jc w:val="left"/>
    </w:pPr>
    <w:rPr>
      <w:sz w:val="18"/>
      <w:szCs w:val="18"/>
    </w:rPr>
  </w:style>
  <w:style w:type="paragraph" w:styleId="14">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15">
    <w:name w:val="HTML Preformatted"/>
    <w:basedOn w:val="1"/>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8">
    <w:name w:val="Table Grid"/>
    <w:basedOn w:val="17"/>
    <w:qFormat/>
    <w:uiPriority w:val="59"/>
    <w:tblPr>
      <w:tblStyle w:val="1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page number"/>
    <w:qFormat/>
    <w:uiPriority w:val="0"/>
  </w:style>
  <w:style w:type="character" w:customStyle="1" w:styleId="22">
    <w:name w:val="日期 Char"/>
    <w:link w:val="11"/>
    <w:semiHidden/>
    <w:qFormat/>
    <w:uiPriority w:val="0"/>
    <w:rPr>
      <w:kern w:val="2"/>
      <w:sz w:val="21"/>
      <w:szCs w:val="22"/>
    </w:rPr>
  </w:style>
  <w:style w:type="character" w:customStyle="1" w:styleId="23">
    <w:name w:val="批注框文本 Char"/>
    <w:link w:val="12"/>
    <w:qFormat/>
    <w:uiPriority w:val="0"/>
    <w:rPr>
      <w:kern w:val="2"/>
      <w:sz w:val="18"/>
      <w:szCs w:val="18"/>
    </w:rPr>
  </w:style>
  <w:style w:type="character" w:customStyle="1" w:styleId="24">
    <w:name w:val="页脚 Char"/>
    <w:link w:val="13"/>
    <w:qFormat/>
    <w:uiPriority w:val="99"/>
    <w:rPr>
      <w:kern w:val="2"/>
      <w:sz w:val="18"/>
      <w:szCs w:val="18"/>
    </w:rPr>
  </w:style>
  <w:style w:type="character" w:customStyle="1" w:styleId="25">
    <w:name w:val="页眉 Char"/>
    <w:link w:val="14"/>
    <w:qFormat/>
    <w:uiPriority w:val="99"/>
    <w:rPr>
      <w:kern w:val="2"/>
      <w:sz w:val="18"/>
      <w:szCs w:val="18"/>
    </w:rPr>
  </w:style>
  <w:style w:type="paragraph" w:customStyle="1" w:styleId="26">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27">
    <w:name w:val="正文1"/>
    <w:qFormat/>
    <w:uiPriority w:val="0"/>
    <w:pPr>
      <w:jc w:val="both"/>
    </w:pPr>
    <w:rPr>
      <w:rFonts w:ascii="Calibri" w:hAnsi="Calibri" w:eastAsia="宋体" w:cs="宋体"/>
      <w:kern w:val="2"/>
      <w:sz w:val="21"/>
      <w:szCs w:val="21"/>
      <w:lang w:val="en-US" w:eastAsia="zh-CN" w:bidi="ar-SA"/>
    </w:rPr>
  </w:style>
  <w:style w:type="paragraph" w:styleId="28">
    <w:name w:val="List Paragraph"/>
    <w:basedOn w:val="1"/>
    <w:qFormat/>
    <w:uiPriority w:val="99"/>
    <w:pPr>
      <w:ind w:firstLine="420" w:firstLineChars="200"/>
    </w:pPr>
  </w:style>
  <w:style w:type="paragraph" w:customStyle="1" w:styleId="29">
    <w:name w:val="正文内容"/>
    <w:basedOn w:val="1"/>
    <w:qFormat/>
    <w:uiPriority w:val="0"/>
    <w:pPr>
      <w:keepNext w:val="0"/>
      <w:keepLines w:val="0"/>
      <w:widowControl/>
      <w:suppressLineNumbers w:val="0"/>
      <w:spacing w:before="0" w:beforeAutospacing="0" w:after="0" w:afterAutospacing="0" w:line="560" w:lineRule="exact"/>
      <w:ind w:left="0" w:right="0" w:firstLine="200"/>
      <w:jc w:val="both"/>
    </w:pPr>
    <w:rPr>
      <w:rFonts w:hint="default" w:ascii="Times New Roman" w:hAnsi="Times New Roman" w:eastAsia="宋体" w:cs="Times New Roman"/>
      <w:kern w:val="2"/>
      <w:sz w:val="21"/>
      <w:szCs w:val="22"/>
      <w:lang w:val="en-US" w:eastAsia="zh-CN" w:bidi="ar"/>
    </w:rPr>
  </w:style>
  <w:style w:type="paragraph" w:customStyle="1" w:styleId="30">
    <w:name w:val="et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C000"/>
      <w:spacing w:before="100" w:beforeAutospacing="1" w:after="100" w:afterAutospacing="1"/>
      <w:jc w:val="center"/>
    </w:pPr>
    <w:rPr>
      <w:rFonts w:ascii="宋体" w:hAnsi="宋体" w:eastAsia="宋体" w:cs="宋体"/>
      <w:kern w:val="0"/>
      <w:sz w:val="24"/>
      <w:szCs w:val="24"/>
    </w:rPr>
  </w:style>
  <w:style w:type="paragraph" w:customStyle="1" w:styleId="31">
    <w:name w:val="et2"/>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32">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3">
    <w:name w:val="et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4"/>
      <w:szCs w:val="24"/>
    </w:rPr>
  </w:style>
  <w:style w:type="paragraph" w:customStyle="1" w:styleId="34">
    <w:name w:val="et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C7CE"/>
      <w:spacing w:before="100" w:beforeAutospacing="1" w:after="100" w:afterAutospacing="1"/>
      <w:jc w:val="center"/>
    </w:pPr>
    <w:rPr>
      <w:rFonts w:ascii="宋体" w:hAnsi="宋体" w:eastAsia="宋体" w:cs="宋体"/>
      <w:color w:val="9C0006"/>
      <w:kern w:val="0"/>
      <w:sz w:val="24"/>
      <w:szCs w:val="24"/>
    </w:rPr>
  </w:style>
  <w:style w:type="paragraph" w:customStyle="1" w:styleId="35">
    <w:name w:val="et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szCs w:val="24"/>
    </w:rPr>
  </w:style>
  <w:style w:type="paragraph" w:customStyle="1" w:styleId="36">
    <w:name w:val="et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szCs w:val="24"/>
    </w:rPr>
  </w:style>
  <w:style w:type="character" w:customStyle="1" w:styleId="37">
    <w:name w:val="font11"/>
    <w:basedOn w:val="19"/>
    <w:qFormat/>
    <w:uiPriority w:val="0"/>
    <w:rPr>
      <w:rFonts w:ascii="仿宋_GB2312" w:eastAsia="仿宋_GB2312" w:cs="仿宋_GB2312"/>
      <w:color w:val="000000"/>
      <w:sz w:val="26"/>
      <w:szCs w:val="26"/>
      <w:u w:val="none"/>
    </w:rPr>
  </w:style>
  <w:style w:type="character" w:customStyle="1" w:styleId="38">
    <w:name w:val="font31"/>
    <w:basedOn w:val="19"/>
    <w:qFormat/>
    <w:uiPriority w:val="0"/>
    <w:rPr>
      <w:rFonts w:hint="default" w:ascii="Times New Roman" w:hAnsi="Times New Roman" w:cs="Times New Roman"/>
      <w:color w:val="000000"/>
      <w:sz w:val="26"/>
      <w:szCs w:val="26"/>
      <w:u w:val="none"/>
    </w:rPr>
  </w:style>
  <w:style w:type="character" w:customStyle="1" w:styleId="39">
    <w:name w:val="font01"/>
    <w:basedOn w:val="19"/>
    <w:qFormat/>
    <w:uiPriority w:val="0"/>
    <w:rPr>
      <w:rFonts w:ascii="Calibri" w:hAnsi="Calibri" w:cs="Calibri"/>
      <w:color w:val="000000"/>
      <w:sz w:val="26"/>
      <w:szCs w:val="26"/>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Gxsti</Company>
  <Pages>8</Pages>
  <Words>1868</Words>
  <Characters>1886</Characters>
  <Lines>25</Lines>
  <Paragraphs>7</Paragraphs>
  <TotalTime>19.3333333333333</TotalTime>
  <ScaleCrop>false</ScaleCrop>
  <LinksUpToDate>false</LinksUpToDate>
  <CharactersWithSpaces>1916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2023-01-20T19:12:00Z</dcterms:created>
  <dc:creator>梁晖</dc:creator>
  <cp:lastModifiedBy>墨迹夏子</cp:lastModifiedBy>
  <cp:lastPrinted>2025-12-22T19:05:46Z</cp:lastPrinted>
  <dcterms:modified xsi:type="dcterms:W3CDTF">2025-12-23T10:36:56Z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F204562A45D1457EBCF7812EE71A12DA_13</vt:lpwstr>
  </property>
  <property fmtid="{D5CDD505-2E9C-101B-9397-08002B2CF9AE}" pid="4" name="KSOTemplateDocerSaveRecord">
    <vt:lpwstr>eyJoZGlkIjoiYzY5ZDFkYjAwZjNhYTM1NDBlZTczZjFiNGMyNzYxN2IiLCJ1c2VySWQiOiIzNjAwMjk3NDgifQ==</vt:lpwstr>
  </property>
</Properties>
</file>