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70BD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val="en-US" w:eastAsia="zh-CN"/>
        </w:rPr>
      </w:pPr>
      <w:bookmarkStart w:id="0" w:name="_GoBack"/>
      <w:bookmarkEnd w:id="0"/>
      <w:r>
        <w:rPr>
          <w:rFonts w:hint="default" w:ascii="Times New Roman" w:hAnsi="Times New Roman" w:eastAsia="黑体" w:cs="Times New Roman"/>
          <w:b w:val="0"/>
          <w:bCs/>
          <w:color w:val="auto"/>
          <w:sz w:val="32"/>
          <w:szCs w:val="32"/>
          <w:lang w:eastAsia="zh-CN"/>
        </w:rPr>
        <w:t>附件</w:t>
      </w:r>
      <w:r>
        <w:rPr>
          <w:rFonts w:hint="default" w:ascii="Times New Roman" w:hAnsi="Times New Roman" w:eastAsia="黑体" w:cs="Times New Roman"/>
          <w:b w:val="0"/>
          <w:bCs/>
          <w:color w:val="auto"/>
          <w:sz w:val="32"/>
          <w:szCs w:val="32"/>
          <w:lang w:val="en-US" w:eastAsia="zh-CN"/>
        </w:rPr>
        <w:t>2</w:t>
      </w:r>
    </w:p>
    <w:p w14:paraId="2FE09C22">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val="en-US" w:eastAsia="zh-CN"/>
        </w:rPr>
      </w:pPr>
    </w:p>
    <w:p w14:paraId="47533C0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44"/>
          <w:szCs w:val="44"/>
          <w:lang w:val="en-US" w:eastAsia="zh-CN"/>
        </w:rPr>
      </w:pPr>
      <w:r>
        <w:rPr>
          <w:rFonts w:hint="default" w:ascii="Times New Roman" w:hAnsi="Times New Roman" w:eastAsia="方正小标宋简体" w:cs="Times New Roman"/>
          <w:b w:val="0"/>
          <w:bCs/>
          <w:color w:val="auto"/>
          <w:sz w:val="44"/>
          <w:szCs w:val="44"/>
          <w:lang w:val="en-US" w:eastAsia="zh-CN"/>
        </w:rPr>
        <w:t>广西专业技术领域类技术创新中心建设与运行管理办法（暂行）（征求意见稿）起草说明</w:t>
      </w:r>
    </w:p>
    <w:p w14:paraId="59C2686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color w:val="auto"/>
          <w:sz w:val="44"/>
          <w:szCs w:val="44"/>
          <w:lang w:val="en-US" w:eastAsia="zh-CN"/>
        </w:rPr>
      </w:pPr>
    </w:p>
    <w:p w14:paraId="2BF05A9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为规范和加强广西专业技术领域类技术创新中心建设、运行和管理，加快健全我区技术创新中心体系，自治区科技厅组织起草了《广西专业技术领域类技术创新中心建设与运行管理办法（暂行）（征求意见稿）》（以下简称《管理办法》），现将有关情况说明如下：</w:t>
      </w:r>
    </w:p>
    <w:p w14:paraId="3D87A8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起草背景</w:t>
      </w:r>
    </w:p>
    <w:p w14:paraId="25E6EC3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highlight w:val="none"/>
          <w:lang w:val="en-US" w:eastAsia="zh-CN" w:bidi="ar-SA"/>
        </w:rPr>
        <w:t>根据国家关于技术创新中心的建设规划，我区</w:t>
      </w:r>
      <w:r>
        <w:rPr>
          <w:rFonts w:hint="default" w:ascii="Times New Roman" w:hAnsi="Times New Roman" w:eastAsia="仿宋_GB2312" w:cs="Times New Roman"/>
          <w:sz w:val="32"/>
          <w:szCs w:val="32"/>
          <w:lang w:val="en-US" w:eastAsia="zh-CN"/>
        </w:rPr>
        <w:t>于“十四五”启动技术创新中心建设，并先后印发《广西技术创新中心建设实施方案（暂行）》（桂科高字〔2021〕90号）《广西科技创新平台优化整合方案》（桂科基字〔2022〕49号）等政策文件，转建了一批广西专业技术领域类技术创新中心，通过产学研用协同促进科技成果产业化，助力高水平创新型广西建设。为进一步健全我区广西技术创新中心体系，自治区科技厅在总结前期广西专业技术领域类技术创新中心转建工作经验的基础上，充分借鉴吸纳国家及外省先进经验，研究制订了《管理办法》。</w:t>
      </w:r>
    </w:p>
    <w:p w14:paraId="3B822F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color w:val="000000"/>
          <w:kern w:val="0"/>
          <w:sz w:val="32"/>
          <w:szCs w:val="32"/>
          <w:highlight w:val="none"/>
          <w:lang w:val="en-US" w:eastAsia="zh-CN" w:bidi="ar-SA"/>
        </w:rPr>
        <w:t>二、</w:t>
      </w:r>
      <w:r>
        <w:rPr>
          <w:rFonts w:hint="default" w:ascii="Times New Roman" w:hAnsi="Times New Roman" w:eastAsia="黑体" w:cs="Times New Roman"/>
          <w:kern w:val="2"/>
          <w:sz w:val="32"/>
          <w:szCs w:val="32"/>
          <w:lang w:val="en-US" w:eastAsia="zh-CN" w:bidi="ar-SA"/>
        </w:rPr>
        <w:t>主要内容</w:t>
      </w:r>
    </w:p>
    <w:p w14:paraId="3FA8D503">
      <w:pPr>
        <w:pStyle w:val="2"/>
        <w:keepNext w:val="0"/>
        <w:keepLines w:val="0"/>
        <w:pageBreakBefore w:val="0"/>
        <w:kinsoku/>
        <w:wordWrap/>
        <w:overflowPunct/>
        <w:topLinePunct w:val="0"/>
        <w:autoSpaceDE/>
        <w:autoSpaceDN/>
        <w:bidi w:val="0"/>
        <w:adjustRightInd/>
        <w:snapToGrid/>
        <w:spacing w:after="0" w:afterLines="0"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《管理办法》分为总则、职责、建设条件与程序、运行管理、绩效评估、支持措施、附则，共七章三十三条。</w:t>
      </w:r>
    </w:p>
    <w:p w14:paraId="7AB3136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60" w:lineRule="exact"/>
        <w:ind w:left="0" w:right="0" w:rightChars="0" w:firstLine="643" w:firstLineChars="200"/>
        <w:jc w:val="both"/>
        <w:textAlignment w:val="auto"/>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pPr>
      <w:r>
        <w:rPr>
          <w:rFonts w:hint="default" w:ascii="Times New Roman" w:hAnsi="Times New Roman" w:eastAsia="仿宋_GB2312" w:cs="Times New Roman"/>
          <w:b/>
          <w:bCs/>
          <w:color w:val="auto"/>
          <w:spacing w:val="0"/>
          <w:kern w:val="2"/>
          <w:sz w:val="32"/>
          <w:szCs w:val="32"/>
          <w:shd w:val="clear" w:color="auto" w:fill="FFFFFF"/>
          <w:lang w:val="en-US" w:eastAsia="zh-CN" w:bidi="ar"/>
        </w:rPr>
        <w:t xml:space="preserve">第一章  </w:t>
      </w:r>
      <w:r>
        <w:rPr>
          <w:rFonts w:hint="default" w:ascii="Times New Roman" w:hAnsi="Times New Roman" w:eastAsia="仿宋_GB2312" w:cs="Times New Roman"/>
          <w:b/>
          <w:bCs/>
          <w:color w:val="auto"/>
          <w:spacing w:val="0"/>
          <w:kern w:val="2"/>
          <w:sz w:val="32"/>
          <w:szCs w:val="32"/>
          <w:highlight w:val="none"/>
          <w:shd w:val="clear" w:color="auto" w:fill="FFFFFF"/>
          <w:lang w:val="en-US" w:eastAsia="zh-CN" w:bidi="ar"/>
        </w:rPr>
        <w:t>总则</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SA"/>
        </w:rPr>
        <w:t>共3项条款</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。介绍《管理办法》出台背景，明确广西专业技术领域类技术创新中心的定义</w:t>
      </w:r>
      <w:r>
        <w:rPr>
          <w:rFonts w:hint="eastAsia" w:ascii="Times New Roman" w:hAnsi="Times New Roman" w:eastAsia="仿宋_GB2312" w:cs="Times New Roman"/>
          <w:color w:val="auto"/>
          <w:spacing w:val="0"/>
          <w:kern w:val="2"/>
          <w:sz w:val="32"/>
          <w:szCs w:val="32"/>
          <w:highlight w:val="none"/>
          <w:shd w:val="clear" w:color="auto" w:fill="FFFFFF"/>
          <w:lang w:val="en-US" w:eastAsia="zh-CN" w:bidi="ar"/>
        </w:rPr>
        <w:t>和</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建设原则。</w:t>
      </w:r>
    </w:p>
    <w:p w14:paraId="460100F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60" w:lineRule="exact"/>
        <w:ind w:left="0" w:right="0" w:rightChars="0" w:firstLine="643" w:firstLineChars="200"/>
        <w:jc w:val="both"/>
        <w:textAlignment w:val="auto"/>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pPr>
      <w:r>
        <w:rPr>
          <w:rFonts w:hint="default" w:ascii="Times New Roman" w:hAnsi="Times New Roman" w:eastAsia="仿宋_GB2312" w:cs="Times New Roman"/>
          <w:b/>
          <w:bCs/>
          <w:color w:val="auto"/>
          <w:spacing w:val="0"/>
          <w:kern w:val="2"/>
          <w:sz w:val="32"/>
          <w:szCs w:val="32"/>
          <w:shd w:val="clear" w:color="auto" w:fill="FFFFFF"/>
          <w:lang w:val="en-US" w:eastAsia="zh-CN" w:bidi="ar"/>
        </w:rPr>
        <w:t xml:space="preserve">第二章  </w:t>
      </w:r>
      <w:r>
        <w:rPr>
          <w:rFonts w:hint="default" w:ascii="Times New Roman" w:hAnsi="Times New Roman" w:eastAsia="仿宋_GB2312" w:cs="Times New Roman"/>
          <w:b/>
          <w:bCs/>
          <w:color w:val="auto"/>
          <w:spacing w:val="0"/>
          <w:kern w:val="2"/>
          <w:sz w:val="32"/>
          <w:szCs w:val="32"/>
          <w:highlight w:val="none"/>
          <w:shd w:val="clear" w:color="auto" w:fill="FFFFFF"/>
          <w:lang w:val="en-US" w:eastAsia="zh-CN" w:bidi="ar"/>
        </w:rPr>
        <w:t>职责</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SA"/>
        </w:rPr>
        <w:t>共</w:t>
      </w:r>
      <w:r>
        <w:rPr>
          <w:rFonts w:hint="eastAsia" w:ascii="Times New Roman" w:hAnsi="Times New Roman" w:eastAsia="仿宋_GB2312" w:cs="Times New Roman"/>
          <w:color w:val="auto"/>
          <w:spacing w:val="0"/>
          <w:kern w:val="2"/>
          <w:sz w:val="32"/>
          <w:szCs w:val="32"/>
          <w:highlight w:val="none"/>
          <w:shd w:val="clear" w:color="auto" w:fill="FFFFFF"/>
          <w:lang w:val="en-US" w:eastAsia="zh-CN" w:bidi="ar-SA"/>
        </w:rPr>
        <w:t>4</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SA"/>
        </w:rPr>
        <w:t>项条款</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。明确综合管理部门、行业主管部门、牵头单位、共建单位</w:t>
      </w:r>
      <w:r>
        <w:rPr>
          <w:rFonts w:hint="eastAsia" w:ascii="Times New Roman" w:hAnsi="Times New Roman" w:eastAsia="仿宋_GB2312" w:cs="Times New Roman"/>
          <w:color w:val="auto"/>
          <w:spacing w:val="0"/>
          <w:kern w:val="2"/>
          <w:sz w:val="32"/>
          <w:szCs w:val="32"/>
          <w:highlight w:val="none"/>
          <w:shd w:val="clear" w:color="auto" w:fill="FFFFFF"/>
          <w:lang w:val="en-US" w:eastAsia="zh-CN" w:bidi="ar"/>
        </w:rPr>
        <w:t>的主体和职责要求</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w:t>
      </w:r>
    </w:p>
    <w:p w14:paraId="13306D64">
      <w:pPr>
        <w:pStyle w:val="3"/>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pPr>
      <w:r>
        <w:rPr>
          <w:rFonts w:hint="default" w:ascii="Times New Roman" w:hAnsi="Times New Roman" w:eastAsia="仿宋_GB2312" w:cs="Times New Roman"/>
          <w:b/>
          <w:bCs/>
          <w:color w:val="auto"/>
          <w:spacing w:val="0"/>
          <w:kern w:val="2"/>
          <w:sz w:val="32"/>
          <w:szCs w:val="32"/>
          <w:shd w:val="clear" w:color="auto" w:fill="FFFFFF"/>
          <w:lang w:val="en-US" w:eastAsia="zh-CN" w:bidi="ar"/>
        </w:rPr>
        <w:t>第三章  建设条件与程序，</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SA"/>
        </w:rPr>
        <w:t>共3项条款</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。说明广西专业技术领域类技术创新中心的</w:t>
      </w:r>
      <w:r>
        <w:rPr>
          <w:rFonts w:hint="eastAsia" w:ascii="Times New Roman" w:hAnsi="Times New Roman" w:eastAsia="仿宋_GB2312" w:cs="Times New Roman"/>
          <w:color w:val="auto"/>
          <w:spacing w:val="0"/>
          <w:kern w:val="2"/>
          <w:sz w:val="32"/>
          <w:szCs w:val="32"/>
          <w:highlight w:val="none"/>
          <w:shd w:val="clear" w:color="auto" w:fill="FFFFFF"/>
          <w:lang w:val="en-US" w:eastAsia="zh-CN" w:bidi="ar"/>
        </w:rPr>
        <w:t>建设领域</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、申报条件和建设流程。</w:t>
      </w:r>
    </w:p>
    <w:p w14:paraId="1C62200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60" w:lineRule="exact"/>
        <w:ind w:left="0" w:right="0" w:rightChars="0" w:firstLine="643" w:firstLineChars="200"/>
        <w:jc w:val="both"/>
        <w:textAlignment w:val="auto"/>
        <w:rPr>
          <w:rFonts w:hint="default" w:ascii="Times New Roman" w:hAnsi="Times New Roman" w:eastAsia="仿宋_GB2312" w:cs="Times New Roman"/>
          <w:i w:val="0"/>
          <w:iCs w:val="0"/>
          <w:caps w:val="0"/>
          <w:color w:val="000000"/>
          <w:spacing w:val="0"/>
          <w:kern w:val="0"/>
          <w:sz w:val="32"/>
          <w:szCs w:val="32"/>
          <w:highlight w:val="none"/>
          <w:lang w:val="en-US" w:eastAsia="zh-CN" w:bidi="ar"/>
        </w:rPr>
      </w:pPr>
      <w:r>
        <w:rPr>
          <w:rFonts w:hint="default" w:ascii="Times New Roman" w:hAnsi="Times New Roman" w:eastAsia="仿宋_GB2312" w:cs="Times New Roman"/>
          <w:b/>
          <w:bCs/>
          <w:color w:val="auto"/>
          <w:spacing w:val="0"/>
          <w:kern w:val="2"/>
          <w:sz w:val="32"/>
          <w:szCs w:val="32"/>
          <w:shd w:val="clear" w:color="auto" w:fill="FFFFFF"/>
          <w:lang w:val="en-US" w:eastAsia="zh-CN" w:bidi="ar"/>
        </w:rPr>
        <w:t>第四章  运行管理</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，共13项条款。明确广西专业技术领域类技术创新中心</w:t>
      </w:r>
      <w:r>
        <w:rPr>
          <w:rFonts w:hint="default" w:ascii="Times New Roman" w:hAnsi="Times New Roman" w:eastAsia="仿宋_GB2312" w:cs="Times New Roman"/>
          <w:i w:val="0"/>
          <w:iCs w:val="0"/>
          <w:caps w:val="0"/>
          <w:color w:val="000000"/>
          <w:spacing w:val="0"/>
          <w:kern w:val="0"/>
          <w:sz w:val="32"/>
          <w:szCs w:val="32"/>
          <w:highlight w:val="none"/>
          <w:lang w:val="en-US" w:eastAsia="zh-CN" w:bidi="ar"/>
        </w:rPr>
        <w:t>理事会、专家委员会、中心主任的职责和要求，说明人员聘用制度、</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分配激励机制、资金拓展渠道、开放合作机制、技术创新服务、安全生产制度、知识产权管理、年度报告制度、报批事项等内容。</w:t>
      </w:r>
    </w:p>
    <w:p w14:paraId="032AB85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60" w:lineRule="exact"/>
        <w:ind w:left="0" w:right="0" w:rightChars="0" w:firstLine="643"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bCs/>
          <w:color w:val="auto"/>
          <w:spacing w:val="0"/>
          <w:kern w:val="2"/>
          <w:sz w:val="32"/>
          <w:szCs w:val="32"/>
          <w:shd w:val="clear" w:color="auto" w:fill="FFFFFF"/>
          <w:lang w:val="en-US" w:eastAsia="zh-CN" w:bidi="ar"/>
        </w:rPr>
        <w:t>第五章  绩效评估</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SA"/>
        </w:rPr>
        <w:t>共5项条款</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。明确</w:t>
      </w:r>
      <w:r>
        <w:rPr>
          <w:rFonts w:hint="default" w:ascii="Times New Roman" w:hAnsi="Times New Roman" w:eastAsia="仿宋_GB2312" w:cs="Times New Roman"/>
          <w:i w:val="0"/>
          <w:iCs w:val="0"/>
          <w:caps w:val="0"/>
          <w:color w:val="auto"/>
          <w:spacing w:val="0"/>
          <w:kern w:val="0"/>
          <w:sz w:val="32"/>
          <w:szCs w:val="32"/>
          <w:lang w:val="en-US" w:eastAsia="zh-CN" w:bidi="ar"/>
        </w:rPr>
        <w:t>绩效评估的考核内容、考核方式、考核等级，规定</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广西专业技术领域类技术创新中心撤销</w:t>
      </w:r>
      <w:r>
        <w:rPr>
          <w:rFonts w:hint="eastAsia" w:ascii="Times New Roman" w:hAnsi="Times New Roman" w:eastAsia="仿宋_GB2312" w:cs="Times New Roman"/>
          <w:color w:val="auto"/>
          <w:spacing w:val="0"/>
          <w:kern w:val="2"/>
          <w:sz w:val="32"/>
          <w:szCs w:val="32"/>
          <w:highlight w:val="none"/>
          <w:shd w:val="clear" w:color="auto" w:fill="FFFFFF"/>
          <w:lang w:val="en-US" w:eastAsia="zh-CN" w:bidi="ar"/>
        </w:rPr>
        <w:t>条件</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，追责要求等。</w:t>
      </w:r>
    </w:p>
    <w:p w14:paraId="4347736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60" w:lineRule="exact"/>
        <w:ind w:left="0" w:right="0" w:rightChars="0" w:firstLine="643" w:firstLineChars="200"/>
        <w:jc w:val="both"/>
        <w:textAlignment w:val="auto"/>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pPr>
      <w:r>
        <w:rPr>
          <w:rFonts w:hint="default" w:ascii="Times New Roman" w:hAnsi="Times New Roman" w:eastAsia="仿宋_GB2312" w:cs="Times New Roman"/>
          <w:b/>
          <w:bCs/>
          <w:color w:val="auto"/>
          <w:spacing w:val="0"/>
          <w:kern w:val="2"/>
          <w:sz w:val="32"/>
          <w:szCs w:val="32"/>
          <w:shd w:val="clear" w:color="auto" w:fill="FFFFFF"/>
          <w:lang w:val="en-US" w:eastAsia="zh-CN" w:bidi="ar"/>
        </w:rPr>
        <w:t>第六章  支持措施</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SA"/>
        </w:rPr>
        <w:t>共2项条款</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w:t>
      </w:r>
      <w:r>
        <w:rPr>
          <w:rFonts w:hint="eastAsia" w:ascii="Times New Roman" w:hAnsi="Times New Roman" w:eastAsia="仿宋_GB2312" w:cs="Times New Roman"/>
          <w:color w:val="auto"/>
          <w:spacing w:val="0"/>
          <w:kern w:val="2"/>
          <w:sz w:val="32"/>
          <w:szCs w:val="32"/>
          <w:highlight w:val="none"/>
          <w:shd w:val="clear" w:color="auto" w:fill="FFFFFF"/>
          <w:lang w:val="en-US" w:eastAsia="zh-CN" w:bidi="ar"/>
        </w:rPr>
        <w:t>说明</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广西专业技术领域类技术创新中心在科技项目、平台建设、科技金融、政策优惠等方面的支持举措，鼓励各主体加大支持，多元投入。</w:t>
      </w:r>
    </w:p>
    <w:p w14:paraId="1C201A3A">
      <w:pPr>
        <w:pStyle w:val="3"/>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color w:val="auto"/>
          <w:spacing w:val="0"/>
          <w:kern w:val="2"/>
          <w:sz w:val="32"/>
          <w:szCs w:val="32"/>
          <w:shd w:val="clear" w:color="auto" w:fill="FFFFFF"/>
          <w:lang w:val="en-US" w:eastAsia="zh-CN" w:bidi="ar"/>
        </w:rPr>
        <w:t>第七章  附则</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SA"/>
        </w:rPr>
        <w:t>共3项条款</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。明确自治区科技厅对《管理办法》的最终解释权。</w:t>
      </w:r>
      <w:r>
        <w:rPr>
          <w:rFonts w:hint="eastAsia" w:ascii="Times New Roman" w:hAnsi="Times New Roman" w:eastAsia="仿宋_GB2312" w:cs="Times New Roman"/>
          <w:color w:val="auto"/>
          <w:spacing w:val="0"/>
          <w:kern w:val="2"/>
          <w:sz w:val="32"/>
          <w:szCs w:val="32"/>
          <w:highlight w:val="none"/>
          <w:shd w:val="clear" w:color="auto" w:fill="FFFFFF"/>
          <w:lang w:val="en-US" w:eastAsia="zh-CN" w:bidi="ar"/>
        </w:rPr>
        <w:t>明确</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广西综合领域类技术创新中心参照本办法进行管理。</w:t>
      </w:r>
      <w:r>
        <w:rPr>
          <w:rFonts w:hint="eastAsia" w:ascii="Times New Roman" w:hAnsi="Times New Roman" w:eastAsia="仿宋_GB2312" w:cs="Times New Roman"/>
          <w:color w:val="auto"/>
          <w:spacing w:val="0"/>
          <w:kern w:val="2"/>
          <w:sz w:val="32"/>
          <w:szCs w:val="32"/>
          <w:highlight w:val="none"/>
          <w:shd w:val="clear" w:color="auto" w:fill="FFFFFF"/>
          <w:lang w:val="en-US" w:eastAsia="zh-CN" w:bidi="ar"/>
        </w:rPr>
        <w:t>明确</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《管理办法》的有效期。</w:t>
      </w:r>
    </w:p>
    <w:p w14:paraId="46D648FE">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三、参考依据</w:t>
      </w:r>
    </w:p>
    <w:p w14:paraId="4C117B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1.《关于印发国家技术创新中心建设工作指引的通知》（国科发创〔2017〕353号）</w:t>
      </w:r>
    </w:p>
    <w:p w14:paraId="27683A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2.《关于推进国家技术创新中心建设的总体方案（暂行）》（国科发区〔2020〕70号）</w:t>
      </w:r>
    </w:p>
    <w:p w14:paraId="785421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3.《国家技术创新中心建设运行管理办法（暂行）》（国科发区〔2021〕17号）</w:t>
      </w:r>
    </w:p>
    <w:p w14:paraId="775FE0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4.《广西科技创新平台优化整合方案》（桂科基字〔2022〕49号）</w:t>
      </w:r>
    </w:p>
    <w:sectPr>
      <w:footerReference r:id="rId3" w:type="default"/>
      <w:pgSz w:w="11906" w:h="16838"/>
      <w:pgMar w:top="2098" w:right="1531" w:bottom="1417"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AEED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099857">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9099857">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ADFF41D"/>
    <w:rsid w:val="3B6BC123"/>
    <w:rsid w:val="3DAA7C8A"/>
    <w:rsid w:val="5B772869"/>
    <w:rsid w:val="6DCECC3B"/>
    <w:rsid w:val="7FEE46FF"/>
    <w:rsid w:val="7FFF3680"/>
    <w:rsid w:val="A73DF51C"/>
    <w:rsid w:val="DBEB2261"/>
    <w:rsid w:val="DBF7D72C"/>
    <w:rsid w:val="EADFF41D"/>
    <w:rsid w:val="FEFBD8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0"/>
    <w:pPr>
      <w:widowControl/>
      <w:spacing w:line="590" w:lineRule="exact"/>
      <w:jc w:val="center"/>
      <w:outlineLvl w:val="0"/>
    </w:pPr>
    <w:rPr>
      <w:rFonts w:ascii="Cambria" w:hAnsi="Cambria" w:eastAsia="方正黑体_GBK" w:cs="宋体"/>
      <w:kern w:val="0"/>
      <w:sz w:val="32"/>
      <w:szCs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5812</Words>
  <Characters>5923</Characters>
  <Lines>0</Lines>
  <Paragraphs>0</Paragraphs>
  <TotalTime>46.6666666666667</TotalTime>
  <ScaleCrop>false</ScaleCrop>
  <LinksUpToDate>false</LinksUpToDate>
  <CharactersWithSpaces>6022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2025-07-17T20:12:00Z</dcterms:created>
  <dc:creator>前沿处</dc:creator>
  <cp:lastModifiedBy>墨迹夏子</cp:lastModifiedBy>
  <cp:lastPrinted>2025-07-30T17:54:26Z</cp:lastPrinted>
  <dcterms:modified xsi:type="dcterms:W3CDTF">2025-07-30T10:23:34Z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6DF2366AD8A64C3DAFA58804EFE15BB0_13</vt:lpwstr>
  </property>
</Properties>
</file>