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67AD">
      <w:pPr>
        <w:shd w:val="clear" w:color="auto" w:fill="auto"/>
        <w:wordWrap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379B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起草说明</w:t>
      </w:r>
    </w:p>
    <w:p w14:paraId="28E91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</w:rPr>
      </w:pPr>
    </w:p>
    <w:p w14:paraId="7C219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为加快推动高水平创新型广西建设，充分发挥桂林市科教资源与产业基础优势，明确科创广西先行试验区（桂林）建设路径与保障措施，</w:t>
      </w:r>
      <w:r>
        <w:rPr>
          <w:rFonts w:ascii="Times New Roman" w:hAnsi="Times New Roman" w:eastAsia="仿宋_GB2312"/>
          <w:sz w:val="32"/>
          <w:szCs w:val="32"/>
          <w:lang w:val="en"/>
        </w:rPr>
        <w:t>自治区科技厅牵头编制</w:t>
      </w:r>
      <w:r>
        <w:rPr>
          <w:rFonts w:hint="eastAsia" w:ascii="Times New Roman" w:hAnsi="Times New Roman" w:eastAsia="仿宋_GB2312"/>
          <w:sz w:val="32"/>
          <w:szCs w:val="32"/>
          <w:lang w:val="en"/>
        </w:rPr>
        <w:t>《科创广西先行试验区（桂林）建设方案》（以下简称《方案》）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。</w:t>
      </w:r>
      <w:r>
        <w:rPr>
          <w:rFonts w:ascii="Times New Roman" w:hAnsi="Times New Roman" w:eastAsia="仿宋_GB2312"/>
          <w:sz w:val="32"/>
          <w:szCs w:val="32"/>
        </w:rPr>
        <w:t>现将</w:t>
      </w:r>
      <w:r>
        <w:rPr>
          <w:rFonts w:hint="eastAsia" w:ascii="Times New Roman" w:hAnsi="Times New Roman" w:eastAsia="仿宋_GB2312"/>
          <w:sz w:val="32"/>
          <w:szCs w:val="32"/>
        </w:rPr>
        <w:t>《方案》</w:t>
      </w:r>
      <w:r>
        <w:rPr>
          <w:rFonts w:ascii="Times New Roman" w:hAnsi="Times New Roman" w:eastAsia="仿宋_GB2312"/>
          <w:sz w:val="32"/>
          <w:szCs w:val="32"/>
        </w:rPr>
        <w:t>起草情况说明如下。</w:t>
      </w:r>
    </w:p>
    <w:p w14:paraId="6387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一、起草背景</w:t>
      </w:r>
    </w:p>
    <w:p w14:paraId="3203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当前，新一轮科技革命和产业变革深入发展，科技创新已成为推动区域高质量发展的核心驱动力。桂林市作为国家历史文化名城和重要科教基地，拥有较为丰富的高校、科研院所资源以及一定的产业基础，但也面临科技成果转化不够顺畅、创新链与产业链衔接不够紧密、高层次人才吸引力有待增强等挑战。为深入贯彻落实国家关于科技创新的战略部署和自治区党委、政府关于建设创新型广西的决策部署，有必要在桂林市布局建设科创先行试验区，通过体制机制创新、资源优化配置和政策先行先试，探索一条符合广西实际、具有桂林特色的创新发展路径，为全区科技创新和产业升级提供示范引领和有力支撑。</w:t>
      </w:r>
    </w:p>
    <w:p w14:paraId="5D84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方案》的制定，旨在明确科创广西先行试验区（桂林）建设的总体要求、重点任务和保障措施，系统部署各项先行先试举措，推动创新资源高效集聚、科技成果加速转化、科技企业蓬勃发展、创新生态持续优化，将桂林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打造成为科技创新与产业创新深度融合的新高地。</w:t>
      </w:r>
    </w:p>
    <w:p w14:paraId="32ED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二、起草依据</w:t>
      </w:r>
    </w:p>
    <w:p w14:paraId="1E79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/>
          <w:sz w:val="32"/>
          <w:szCs w:val="32"/>
          <w:lang w:val="en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（一）国家有关政策</w:t>
      </w:r>
    </w:p>
    <w:p w14:paraId="3A4A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1.《中华人民共和国国民经济和社会发展第十四个五年规划和2035年远景目标纲要》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 w14:paraId="154B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.《科技部等六部委印发〈长三角G60科创走廊建设方案〉的通知》（国科发区〔2021〕31号）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277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/>
          <w:sz w:val="32"/>
          <w:szCs w:val="32"/>
          <w:lang w:val="en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（二）自治区有关政策</w:t>
      </w:r>
    </w:p>
    <w:p w14:paraId="47B3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1.《广西壮族自治区国民经济和社会发展第十四个五年规划和2035年远景目标纲要》；</w:t>
      </w:r>
    </w:p>
    <w:p w14:paraId="109D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2.《广西科技成果转化三年行动方案（2025—2027年）》（桂政办发〔2025〕44号）；</w:t>
      </w:r>
    </w:p>
    <w:p w14:paraId="0D65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3.《关于进一步强化企业科技创新主体地位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培育壮大科技型企业的若干措施》（桂政办发〔2025〕42号）；</w:t>
      </w:r>
    </w:p>
    <w:p w14:paraId="642F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.《自治区党委办公厅 自治区政府办公厅印发〈关于支持桂林打造世界级旅游城市的意见〉的通知》（厅发〔2022〕29号）。</w:t>
      </w:r>
    </w:p>
    <w:p w14:paraId="23F9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/>
          <w:sz w:val="32"/>
          <w:szCs w:val="32"/>
          <w:lang w:val="en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（三）</w:t>
      </w:r>
      <w:r>
        <w:rPr>
          <w:rFonts w:ascii="Times New Roman" w:hAnsi="Times New Roman" w:eastAsia="楷体_GB2312"/>
          <w:b/>
          <w:bCs/>
          <w:sz w:val="32"/>
          <w:szCs w:val="32"/>
          <w:lang w:val="en"/>
        </w:rPr>
        <w:t>区外</w:t>
      </w:r>
      <w:r>
        <w:rPr>
          <w:rFonts w:ascii="Times New Roman" w:hAnsi="Times New Roman" w:eastAsia="楷体_GB2312"/>
          <w:b/>
          <w:bCs/>
          <w:sz w:val="32"/>
          <w:szCs w:val="32"/>
        </w:rPr>
        <w:t>有关政策</w:t>
      </w:r>
    </w:p>
    <w:p w14:paraId="1044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《晋创谷创新驱动平台建设三年行动计划（2024—2026年）》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晋</w:t>
      </w:r>
      <w:r>
        <w:rPr>
          <w:rFonts w:ascii="Times New Roman" w:hAnsi="Times New Roman" w:eastAsia="仿宋_GB2312"/>
          <w:sz w:val="32"/>
          <w:szCs w:val="32"/>
        </w:rPr>
        <w:t>发〔202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28</w:t>
      </w:r>
      <w:r>
        <w:rPr>
          <w:rFonts w:ascii="Times New Roman" w:hAnsi="Times New Roman" w:eastAsia="仿宋_GB2312"/>
          <w:sz w:val="32"/>
          <w:szCs w:val="32"/>
        </w:rPr>
        <w:t>号）；</w:t>
      </w:r>
    </w:p>
    <w:p w14:paraId="49FB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.《浙江省人民政府办公厅关于加强技术创新中心体系建设的实施意见》（浙政办发〔2021〕43号）；</w:t>
      </w:r>
    </w:p>
    <w:p w14:paraId="3E47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.《四川省人民政府办公厅关于健全科技成果转化机制的实施意见》（川办发〔2021〕47号）；</w:t>
      </w:r>
    </w:p>
    <w:p w14:paraId="6A6E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太原市贯彻落实</w:t>
      </w:r>
      <w:r>
        <w:rPr>
          <w:rFonts w:hint="eastAsia" w:ascii="仿宋_GB2312" w:eastAsia="仿宋_GB2312" w:cs="仿宋_GB2312"/>
          <w:sz w:val="32"/>
          <w:szCs w:val="32"/>
        </w:rPr>
        <w:t>〈</w:t>
      </w:r>
      <w:r>
        <w:rPr>
          <w:rFonts w:ascii="Times New Roman" w:hAnsi="Times New Roman" w:eastAsia="仿宋_GB2312"/>
          <w:sz w:val="32"/>
          <w:szCs w:val="32"/>
        </w:rPr>
        <w:t>晋创谷创新驱动平台建设三年行动计划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2026年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〉</w:t>
      </w:r>
      <w:r>
        <w:rPr>
          <w:rFonts w:ascii="Times New Roman" w:hAnsi="Times New Roman" w:eastAsia="仿宋_GB2312"/>
          <w:sz w:val="32"/>
          <w:szCs w:val="32"/>
        </w:rPr>
        <w:t>实施方案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ascii="Times New Roman" w:hAnsi="Times New Roman" w:eastAsia="仿宋_GB2312"/>
          <w:sz w:val="32"/>
          <w:szCs w:val="32"/>
        </w:rPr>
        <w:t>发〔202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号）。</w:t>
      </w:r>
    </w:p>
    <w:p w14:paraId="0DB3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文件框架及主要内容</w:t>
      </w:r>
    </w:p>
    <w:p w14:paraId="50A6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《方案》分</w:t>
      </w:r>
      <w:r>
        <w:rPr>
          <w:rFonts w:hint="eastAsia" w:ascii="仿宋_GB2312" w:eastAsia="仿宋_GB2312" w:cs="仿宋_GB2312"/>
          <w:sz w:val="32"/>
          <w:szCs w:val="32"/>
        </w:rPr>
        <w:t>为总体要求、重点任务、保障措施三部</w:t>
      </w:r>
      <w:r>
        <w:rPr>
          <w:rFonts w:ascii="Times New Roman" w:hAnsi="Times New Roman" w:eastAsia="仿宋_GB2312"/>
          <w:sz w:val="32"/>
          <w:szCs w:val="32"/>
        </w:rPr>
        <w:t>分，共设置5</w:t>
      </w:r>
      <w:r>
        <w:rPr>
          <w:rFonts w:hint="eastAsia" w:ascii="Times New Roman" w:hAnsi="Times New Roman" w:eastAsia="仿宋_GB2312"/>
          <w:sz w:val="32"/>
          <w:szCs w:val="32"/>
        </w:rPr>
        <w:t>大行动19</w:t>
      </w:r>
      <w:r>
        <w:rPr>
          <w:rFonts w:ascii="Times New Roman" w:hAnsi="Times New Roman" w:eastAsia="仿宋_GB2312"/>
          <w:sz w:val="32"/>
          <w:szCs w:val="32"/>
        </w:rPr>
        <w:t>项具体任务，形</w:t>
      </w:r>
      <w:r>
        <w:rPr>
          <w:rFonts w:hint="eastAsia" w:ascii="仿宋_GB2312" w:eastAsia="仿宋_GB2312" w:cs="仿宋_GB2312"/>
          <w:sz w:val="32"/>
          <w:szCs w:val="32"/>
        </w:rPr>
        <w:t>成“目标—路径—保障”的</w:t>
      </w:r>
      <w:r>
        <w:rPr>
          <w:rFonts w:ascii="Times New Roman" w:hAnsi="Times New Roman" w:eastAsia="仿宋_GB2312"/>
          <w:sz w:val="32"/>
          <w:szCs w:val="32"/>
        </w:rPr>
        <w:t>完整体系。</w:t>
      </w:r>
    </w:p>
    <w:p w14:paraId="2D7E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（一）总体要求</w:t>
      </w:r>
    </w:p>
    <w:p w14:paraId="7D55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提出建设的指导思想、战略路径和发展目标。强调以打造高能级科创园区为引领，以推动科技成果转化为主线，构</w:t>
      </w:r>
      <w:r>
        <w:rPr>
          <w:rFonts w:hint="eastAsia" w:ascii="仿宋_GB2312" w:eastAsia="仿宋_GB2312" w:cs="仿宋_GB2312"/>
          <w:sz w:val="32"/>
          <w:szCs w:val="32"/>
        </w:rPr>
        <w:t>建“北上广研发+广西集成+东盟应用”的科技创新路径，因地制宜</w:t>
      </w:r>
      <w:r>
        <w:rPr>
          <w:rFonts w:ascii="Times New Roman" w:hAnsi="Times New Roman" w:eastAsia="仿宋_GB2312"/>
          <w:sz w:val="32"/>
          <w:szCs w:val="32"/>
        </w:rPr>
        <w:t>发展新质生产力。明确了到2030年在创新能力、产业成效、创新生态等方面的具体量化目标。</w:t>
      </w:r>
    </w:p>
    <w:p w14:paraId="74AE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（二）重点任务</w:t>
      </w:r>
    </w:p>
    <w:p w14:paraId="7992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围</w:t>
      </w:r>
      <w:r>
        <w:rPr>
          <w:rFonts w:hint="eastAsia" w:ascii="仿宋_GB2312" w:eastAsia="仿宋_GB2312" w:cs="仿宋_GB2312"/>
          <w:sz w:val="32"/>
          <w:szCs w:val="32"/>
        </w:rPr>
        <w:t>绕五大先行突破行动</w:t>
      </w:r>
      <w:r>
        <w:rPr>
          <w:rFonts w:ascii="Times New Roman" w:hAnsi="Times New Roman" w:eastAsia="仿宋_GB2312"/>
          <w:sz w:val="32"/>
          <w:szCs w:val="32"/>
        </w:rPr>
        <w:t>部署了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项具体</w:t>
      </w:r>
      <w:r>
        <w:rPr>
          <w:rFonts w:hint="eastAsia" w:ascii="Times New Roman" w:hAnsi="Times New Roman" w:eastAsia="仿宋_GB2312"/>
          <w:sz w:val="32"/>
          <w:szCs w:val="32"/>
        </w:rPr>
        <w:t>任务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82E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实施高能级科创园区建设先行突破行动。</w:t>
      </w:r>
      <w:r>
        <w:rPr>
          <w:rFonts w:ascii="Times New Roman" w:hAnsi="Times New Roman" w:eastAsia="仿宋_GB2312"/>
          <w:sz w:val="32"/>
          <w:szCs w:val="32"/>
        </w:rPr>
        <w:t>优</w:t>
      </w:r>
      <w:r>
        <w:rPr>
          <w:rFonts w:hint="eastAsia" w:ascii="仿宋_GB2312" w:eastAsia="仿宋_GB2312" w:cs="仿宋_GB2312"/>
          <w:sz w:val="32"/>
          <w:szCs w:val="32"/>
        </w:rPr>
        <w:t>化“核心引领、协同赋能”的科创园区布局，增强园区创新发展动能，统筹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多种形式</w:t>
      </w:r>
      <w:r>
        <w:rPr>
          <w:rFonts w:hint="eastAsia" w:ascii="仿宋_GB2312" w:eastAsia="仿宋_GB2312" w:cs="仿宋_GB2312"/>
          <w:sz w:val="32"/>
          <w:szCs w:val="32"/>
        </w:rPr>
        <w:t>资金</w:t>
      </w:r>
      <w:r>
        <w:rPr>
          <w:rFonts w:ascii="Times New Roman" w:hAnsi="Times New Roman" w:eastAsia="仿宋_GB2312"/>
          <w:sz w:val="32"/>
          <w:szCs w:val="32"/>
        </w:rPr>
        <w:t>，构建全链条孵化体系等。</w:t>
      </w:r>
    </w:p>
    <w:p w14:paraId="3249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实施科技成果转化集聚先行突破行动。</w:t>
      </w:r>
      <w:r>
        <w:rPr>
          <w:rFonts w:hint="eastAsia" w:ascii="Times New Roman" w:hAnsi="Times New Roman" w:eastAsia="仿宋_GB2312"/>
          <w:sz w:val="32"/>
          <w:szCs w:val="32"/>
        </w:rPr>
        <w:t>打造人工智能应用示范高地、</w:t>
      </w:r>
      <w:r>
        <w:rPr>
          <w:rFonts w:ascii="Times New Roman" w:hAnsi="Times New Roman" w:eastAsia="仿宋_GB2312"/>
          <w:sz w:val="32"/>
          <w:szCs w:val="32"/>
        </w:rPr>
        <w:t>布局跨域科创飞地、</w:t>
      </w:r>
      <w:r>
        <w:rPr>
          <w:rFonts w:hint="eastAsia" w:ascii="仿宋_GB2312" w:eastAsia="仿宋_GB2312" w:cs="仿宋_GB2312"/>
          <w:bCs/>
          <w:sz w:val="32"/>
          <w:szCs w:val="32"/>
        </w:rPr>
        <w:t>聚焦</w:t>
      </w:r>
      <w:r>
        <w:rPr>
          <w:rFonts w:ascii="Times New Roman" w:hAnsi="Times New Roman" w:eastAsia="仿宋_GB2312"/>
          <w:sz w:val="32"/>
          <w:szCs w:val="32"/>
        </w:rPr>
        <w:t>优质成果集聚转化、</w:t>
      </w:r>
      <w:r>
        <w:rPr>
          <w:rFonts w:hint="eastAsia" w:ascii="Times New Roman" w:hAnsi="Times New Roman" w:eastAsia="仿宋_GB2312"/>
          <w:sz w:val="32"/>
          <w:szCs w:val="32"/>
        </w:rPr>
        <w:t>释放“央字号”院所创新势能</w:t>
      </w:r>
      <w:r>
        <w:rPr>
          <w:rFonts w:ascii="Times New Roman" w:hAnsi="Times New Roman" w:eastAsia="仿宋_GB2312"/>
          <w:sz w:val="32"/>
          <w:szCs w:val="32"/>
        </w:rPr>
        <w:t>、建</w:t>
      </w:r>
      <w:r>
        <w:rPr>
          <w:rFonts w:hint="eastAsia" w:ascii="仿宋_GB2312" w:eastAsia="仿宋_GB2312" w:cs="仿宋_GB2312"/>
          <w:sz w:val="32"/>
          <w:szCs w:val="32"/>
        </w:rPr>
        <w:t>设“校友归巢”创业生态、建设校企合作“创新港”、</w:t>
      </w:r>
      <w:r>
        <w:rPr>
          <w:rFonts w:hint="eastAsia" w:ascii="Times New Roman" w:hAnsi="Times New Roman" w:eastAsia="仿宋_GB2312"/>
          <w:sz w:val="32"/>
          <w:szCs w:val="32"/>
        </w:rPr>
        <w:t>深化面向东盟科技合作</w:t>
      </w:r>
      <w:r>
        <w:rPr>
          <w:rFonts w:ascii="Times New Roman" w:hAnsi="Times New Roman" w:eastAsia="仿宋_GB2312"/>
          <w:sz w:val="32"/>
          <w:szCs w:val="32"/>
        </w:rPr>
        <w:t>等。</w:t>
      </w:r>
    </w:p>
    <w:p w14:paraId="5F053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实施壮大科技企业先行突破行动。</w:t>
      </w:r>
      <w:r>
        <w:rPr>
          <w:rFonts w:ascii="Times New Roman" w:hAnsi="Times New Roman" w:eastAsia="仿宋_GB2312"/>
          <w:sz w:val="32"/>
          <w:szCs w:val="32"/>
        </w:rPr>
        <w:t>强化企业创新主体地位、培育企业新增长曲线、强化科技金融支撑等。</w:t>
      </w:r>
    </w:p>
    <w:p w14:paraId="25D1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实施开放创新平台建设先行突破行动。</w:t>
      </w:r>
      <w:r>
        <w:rPr>
          <w:rFonts w:ascii="Times New Roman" w:hAnsi="Times New Roman" w:eastAsia="仿宋_GB2312"/>
          <w:sz w:val="32"/>
          <w:szCs w:val="32"/>
        </w:rPr>
        <w:t>建设概念验证中心、提升中试平台服务能力、培育新型研发机构等。</w:t>
      </w:r>
    </w:p>
    <w:p w14:paraId="1CFE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>实施科技体制机制改革先行突破行动。</w:t>
      </w:r>
      <w:r>
        <w:rPr>
          <w:rFonts w:ascii="Times New Roman" w:hAnsi="Times New Roman" w:eastAsia="仿宋_GB2312"/>
          <w:sz w:val="32"/>
          <w:szCs w:val="32"/>
        </w:rPr>
        <w:t>深化科技成果转化机制改革、推进教育科技人才一体化改革、建设桂林科技服务集团、建立健全容错免责机制等。</w:t>
      </w:r>
    </w:p>
    <w:p w14:paraId="1F817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（三）保障措施</w:t>
      </w:r>
    </w:p>
    <w:p w14:paraId="618B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建立试验区建设统筹协调机制，协调解决试验区建设的重大问题。强化资金保障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形成“自治区统筹、部门联动、桂林落实、社会参与”的工作格局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337DF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bookmarkEnd w:id="0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CB168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B9B88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B9B88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27AB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98C49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sUSUOEBAADBAwAADgAAAGRycy9lMm9Eb2MueG1srVPNjtMwEL4j8Q6W&#10;7zRpJ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VfcOaEpYGff3w///x9/vWN&#10;zcur10mhLsCKEu8CpWL/xve0N5MfyJmI90206U+UGMVJ39NFX9Ujk+nScrFclhSSFJsOhF88XA8R&#10;8J3yliWj4pEGmHUVxw+AQ+qUkqo5f6uNyUM07h8HYSZPkXofekwW9rt+JLTz9Yn40EugOq2PXznr&#10;aA8q7mjtOTPvHcmcVmYy4mTsJkM4SRcrjpwN5lscVusQot63edlSUxBuDkidZgKpjaH22B1NNksw&#10;bmFanb/POevh5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CxRJQ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98C49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8D420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B798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816546F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7FB8D47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5FFEE41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4</Pages>
  <Words>7523</Words>
  <Characters>7770</Characters>
  <Lines>25</Lines>
  <Paragraphs>7</Paragraphs>
  <TotalTime>9.33333333333333</TotalTime>
  <ScaleCrop>false</ScaleCrop>
  <LinksUpToDate>false</LinksUpToDate>
  <CharactersWithSpaces>7822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2023-01-22T11:12:00Z</dcterms:created>
  <dc:creator>梁晖</dc:creator>
  <cp:lastModifiedBy>墨迹夏子</cp:lastModifiedBy>
  <cp:lastPrinted>2024-04-08T02:48:54Z</cp:lastPrinted>
  <dcterms:modified xsi:type="dcterms:W3CDTF">2025-12-02T11:03:34Z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576968EEBEE44DA1AFEA43FBB5FAC3AB_13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