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F5322">
      <w:pPr>
        <w:keepNext w:val="0"/>
        <w:keepLines w:val="0"/>
        <w:pageBreakBefore w:val="0"/>
        <w:widowControl w:val="0"/>
        <w:kinsoku/>
        <w:wordWrap/>
        <w:topLinePunct w:val="0"/>
        <w:bidi w:val="0"/>
        <w:spacing w:line="560" w:lineRule="exact"/>
        <w:ind w:left="0" w:leftChars="0" w:firstLine="0" w:firstLineChars="0"/>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16440A84">
      <w:pPr>
        <w:pStyle w:val="2"/>
        <w:keepNext w:val="0"/>
        <w:keepLines w:val="0"/>
        <w:pageBreakBefore w:val="0"/>
        <w:widowControl w:val="0"/>
        <w:kinsoku/>
        <w:wordWrap/>
        <w:topLinePunct w:val="0"/>
        <w:bidi w:val="0"/>
        <w:spacing w:line="560" w:lineRule="exact"/>
        <w:ind w:left="0" w:leftChars="0"/>
        <w:rPr>
          <w:rFonts w:hint="eastAsia"/>
          <w:lang w:val="en-US" w:eastAsia="zh-CN"/>
        </w:rPr>
      </w:pPr>
    </w:p>
    <w:p w14:paraId="4BB22192">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0" w:firstLineChars="0"/>
        <w:jc w:val="center"/>
        <w:textAlignment w:val="baseline"/>
        <w:rPr>
          <w:rFonts w:hint="default" w:ascii="Times New Roman" w:hAnsi="Times New Roman" w:eastAsia="方正小标宋简体" w:cs="Times New Roman"/>
          <w:b w:val="0"/>
          <w:bCs w:val="0"/>
          <w:color w:val="auto"/>
          <w:sz w:val="44"/>
          <w:szCs w:val="44"/>
          <w:highlight w:val="none"/>
          <w:lang w:val="en-US" w:eastAsia="zh-CN"/>
        </w:rPr>
      </w:pPr>
      <w:r>
        <w:rPr>
          <w:rFonts w:hint="eastAsia" w:eastAsia="方正小标宋简体" w:cs="Times New Roman"/>
          <w:b w:val="0"/>
          <w:bCs w:val="0"/>
          <w:color w:val="auto"/>
          <w:sz w:val="44"/>
          <w:szCs w:val="44"/>
          <w:highlight w:val="none"/>
          <w:lang w:val="en-US" w:eastAsia="zh-CN"/>
        </w:rPr>
        <w:t>广西壮族自治区科学技术厅关于</w:t>
      </w:r>
      <w:r>
        <w:rPr>
          <w:rFonts w:hint="default" w:ascii="Times New Roman" w:hAnsi="Times New Roman" w:eastAsia="方正小标宋简体" w:cs="Times New Roman"/>
          <w:b w:val="0"/>
          <w:bCs w:val="0"/>
          <w:color w:val="auto"/>
          <w:sz w:val="44"/>
          <w:szCs w:val="44"/>
          <w:highlight w:val="none"/>
          <w:lang w:val="en-US" w:eastAsia="zh-CN"/>
        </w:rPr>
        <w:t>实施面向</w:t>
      </w:r>
    </w:p>
    <w:p w14:paraId="0A51DD6C">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0" w:firstLineChars="0"/>
        <w:jc w:val="center"/>
        <w:textAlignment w:val="baseline"/>
        <w:rPr>
          <w:rFonts w:hint="eastAsia"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lang w:val="en-US" w:eastAsia="zh-CN"/>
        </w:rPr>
        <w:t>东盟人工智能</w:t>
      </w:r>
      <w:r>
        <w:rPr>
          <w:rFonts w:hint="eastAsia" w:eastAsia="方正小标宋简体" w:cs="Times New Roman"/>
          <w:b w:val="0"/>
          <w:bCs w:val="0"/>
          <w:color w:val="auto"/>
          <w:sz w:val="44"/>
          <w:szCs w:val="44"/>
          <w:highlight w:val="none"/>
          <w:lang w:val="en-US" w:eastAsia="zh-CN"/>
        </w:rPr>
        <w:t>“跨境揭榜挂帅”</w:t>
      </w:r>
    </w:p>
    <w:p w14:paraId="71E0C635">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0" w:firstLineChars="0"/>
        <w:jc w:val="center"/>
        <w:textAlignment w:val="baseline"/>
        <w:rPr>
          <w:rFonts w:hint="default" w:ascii="Times New Roman" w:hAnsi="Times New Roman" w:cs="Times New Roman"/>
          <w:color w:val="auto"/>
          <w:highlight w:val="none"/>
        </w:rPr>
      </w:pPr>
      <w:r>
        <w:rPr>
          <w:rFonts w:hint="default" w:ascii="Times New Roman" w:hAnsi="Times New Roman" w:eastAsia="方正小标宋简体" w:cs="Times New Roman"/>
          <w:b w:val="0"/>
          <w:bCs w:val="0"/>
          <w:color w:val="auto"/>
          <w:sz w:val="44"/>
          <w:szCs w:val="44"/>
          <w:highlight w:val="none"/>
          <w:lang w:val="en-US" w:eastAsia="zh-CN"/>
        </w:rPr>
        <w:t>工作指引</w:t>
      </w:r>
      <w:r>
        <w:rPr>
          <w:rFonts w:hint="eastAsia" w:ascii="Times New Roman" w:hAnsi="Times New Roman" w:eastAsia="方正小标宋简体" w:cs="Times New Roman"/>
          <w:b w:val="0"/>
          <w:bCs w:val="0"/>
          <w:color w:val="auto"/>
          <w:sz w:val="44"/>
          <w:szCs w:val="44"/>
          <w:highlight w:val="none"/>
          <w:lang w:val="en-US" w:eastAsia="zh-CN"/>
        </w:rPr>
        <w:t>（征求意见稿）</w:t>
      </w:r>
    </w:p>
    <w:p w14:paraId="690A6836">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0" w:firstLineChars="0"/>
        <w:jc w:val="both"/>
        <w:textAlignment w:val="baseline"/>
        <w:rPr>
          <w:rFonts w:hint="default" w:ascii="Times New Roman" w:hAnsi="Times New Roman" w:cs="Times New Roman"/>
          <w:color w:val="auto"/>
          <w:highlight w:val="none"/>
        </w:rPr>
      </w:pPr>
    </w:p>
    <w:p w14:paraId="5880C0C5">
      <w:pPr>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总则</w:t>
      </w:r>
    </w:p>
    <w:p w14:paraId="76B1503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jc w:val="both"/>
        <w:textAlignment w:val="baseline"/>
        <w:rPr>
          <w:rFonts w:hint="eastAsia" w:ascii="仿宋_GB2312" w:hAnsi="仿宋_GB2312" w:eastAsia="仿宋_GB2312" w:cs="仿宋_GB2312"/>
          <w:color w:val="auto"/>
          <w:sz w:val="32"/>
          <w:szCs w:val="32"/>
          <w:highlight w:val="none"/>
          <w:lang w:val="en-US" w:eastAsia="zh-CN"/>
        </w:rPr>
      </w:pPr>
    </w:p>
    <w:p w14:paraId="59585671">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第一条</w:t>
      </w: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val="en" w:eastAsia="zh-CN"/>
        </w:rPr>
        <w:t xml:space="preserve"> </w:t>
      </w:r>
      <w:r>
        <w:rPr>
          <w:rFonts w:hint="eastAsia" w:ascii="仿宋_GB2312" w:hAnsi="仿宋_GB2312" w:eastAsia="仿宋_GB2312" w:cs="仿宋_GB2312"/>
          <w:color w:val="auto"/>
          <w:sz w:val="32"/>
          <w:szCs w:val="32"/>
          <w:highlight w:val="none"/>
          <w:lang w:val="en-US" w:eastAsia="zh-CN"/>
        </w:rPr>
        <w:t>为深入贯彻落实自治区党委、自治区人民政府关于加快推动人工智能高质量发展的工作部署，围绕国家所需、广西所能、东盟所盼，聚焦广西人工智能技术出海与东盟应用场景深度融合，推动广西先进适用的人工智能技术在东盟国家精准落地，促进人工智能普惠共享，特制定本工作指引。</w:t>
      </w:r>
    </w:p>
    <w:p w14:paraId="5814B7E5">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第二条 </w:t>
      </w:r>
      <w:r>
        <w:rPr>
          <w:rFonts w:hint="default" w:ascii="仿宋_GB2312" w:hAnsi="仿宋_GB2312" w:eastAsia="仿宋_GB2312" w:cs="仿宋_GB2312"/>
          <w:color w:val="auto"/>
          <w:sz w:val="32"/>
          <w:szCs w:val="32"/>
          <w:highlight w:val="none"/>
          <w:lang w:val="en" w:eastAsia="zh-CN"/>
        </w:rPr>
        <w:t xml:space="preserve"> </w:t>
      </w:r>
      <w:r>
        <w:rPr>
          <w:rFonts w:hint="eastAsia" w:ascii="仿宋_GB2312" w:hAnsi="仿宋_GB2312" w:eastAsia="仿宋_GB2312" w:cs="仿宋_GB2312"/>
          <w:color w:val="auto"/>
          <w:sz w:val="32"/>
          <w:szCs w:val="32"/>
          <w:highlight w:val="none"/>
          <w:lang w:val="en-US" w:eastAsia="zh-CN"/>
        </w:rPr>
        <w:t>本工作指引所称“跨境揭榜挂帅”，是指在广西科技计划项目框架下，面向东盟人工智能领域合作设立的“东盟出题、广西发榜、合作揭榜”的新型项目组织机制。项目旨在通过中外双方共同开展联合研究、场景开发及人才培养，形成一批技术领先、适配东盟场景、具备规模化推广价值的人工智能技术解决方案，以科技创新赋能区域共同发展，服务中国—东盟命运共同体建设。</w:t>
      </w:r>
    </w:p>
    <w:p w14:paraId="32F88574">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第三条</w:t>
      </w:r>
      <w:r>
        <w:rPr>
          <w:rFonts w:hint="eastAsia" w:ascii="仿宋_GB2312" w:hAnsi="仿宋_GB2312" w:eastAsia="仿宋_GB2312" w:cs="仿宋_GB2312"/>
          <w:b w:val="0"/>
          <w:snapToGrid w:val="0"/>
          <w:color w:val="auto"/>
          <w:kern w:val="0"/>
          <w:sz w:val="32"/>
          <w:szCs w:val="32"/>
          <w:highlight w:val="none"/>
          <w:lang w:val="en-US" w:eastAsia="zh-CN" w:bidi="ar-SA"/>
        </w:rPr>
        <w:t xml:space="preserve"> </w:t>
      </w:r>
      <w:r>
        <w:rPr>
          <w:rFonts w:hint="default" w:ascii="仿宋_GB2312" w:hAnsi="仿宋_GB2312" w:eastAsia="仿宋_GB2312" w:cs="仿宋_GB2312"/>
          <w:b w:val="0"/>
          <w:snapToGrid w:val="0"/>
          <w:color w:val="auto"/>
          <w:kern w:val="0"/>
          <w:sz w:val="32"/>
          <w:szCs w:val="32"/>
          <w:highlight w:val="none"/>
          <w:lang w:val="en" w:eastAsia="zh-CN" w:bidi="ar-SA"/>
        </w:rPr>
        <w:t xml:space="preserve"> </w:t>
      </w:r>
      <w:r>
        <w:rPr>
          <w:rFonts w:hint="eastAsia" w:ascii="仿宋_GB2312" w:hAnsi="仿宋_GB2312" w:eastAsia="仿宋_GB2312" w:cs="仿宋_GB2312"/>
          <w:b w:val="0"/>
          <w:snapToGrid w:val="0"/>
          <w:color w:val="auto"/>
          <w:kern w:val="0"/>
          <w:sz w:val="32"/>
          <w:szCs w:val="32"/>
          <w:highlight w:val="none"/>
          <w:lang w:val="en-US" w:eastAsia="zh-CN" w:bidi="ar-SA"/>
        </w:rPr>
        <w:t>“跨境揭榜挂帅”的支持范围主要聚焦人工智能技术在东盟具体场景中的应用，包括但不限于人工智能技术在</w:t>
      </w:r>
      <w:r>
        <w:rPr>
          <w:rFonts w:hint="eastAsia" w:ascii="仿宋_GB2312" w:hAnsi="仿宋_GB2312" w:eastAsia="仿宋_GB2312" w:cs="仿宋_GB2312"/>
          <w:color w:val="auto"/>
          <w:sz w:val="32"/>
          <w:szCs w:val="32"/>
          <w:highlight w:val="none"/>
          <w:lang w:val="en-US" w:eastAsia="zh-CN"/>
        </w:rPr>
        <w:t>政务、农业、制造、交通、医疗、智慧城市、教育、旅游、金融、物流、新材料、新能源以及东盟各国重点关注并急需发展的应用领域。</w:t>
      </w:r>
    </w:p>
    <w:p w14:paraId="69261D82">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第四条</w:t>
      </w: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val="en" w:eastAsia="zh-CN"/>
        </w:rPr>
        <w:t xml:space="preserve"> </w:t>
      </w:r>
      <w:r>
        <w:rPr>
          <w:rFonts w:hint="eastAsia" w:ascii="仿宋_GB2312" w:hAnsi="仿宋_GB2312" w:eastAsia="仿宋_GB2312" w:cs="仿宋_GB2312"/>
          <w:color w:val="auto"/>
          <w:sz w:val="32"/>
          <w:szCs w:val="32"/>
          <w:highlight w:val="none"/>
          <w:lang w:val="en-US" w:eastAsia="zh-CN"/>
        </w:rPr>
        <w:t>“跨境揭榜挂帅”的项目主要支持区内研发能力强的科技型企业、高校、科研院所或与区外企事业单位组成的联合体，通过与东盟国家的政府、高校、科研院所、企业及相关机构建立合作关系，依托当地市场环境与政策条件，实现广西技术方案在东盟的实地验证与适应性优化，打造具有代表性的成功案例，为后续大规模推广应用奠定坚实基础，助力东盟国家的产业升级与可持续发展。</w:t>
      </w:r>
    </w:p>
    <w:p w14:paraId="52BADC68">
      <w:pPr>
        <w:pStyle w:val="2"/>
        <w:keepNext w:val="0"/>
        <w:keepLines w:val="0"/>
        <w:pageBreakBefore w:val="0"/>
        <w:widowControl w:val="0"/>
        <w:kinsoku/>
        <w:wordWrap/>
        <w:topLinePunct w:val="0"/>
        <w:bidi w:val="0"/>
        <w:spacing w:line="560" w:lineRule="exact"/>
        <w:ind w:left="0" w:leftChars="0"/>
        <w:rPr>
          <w:rFonts w:hint="eastAsia" w:ascii="仿宋_GB2312" w:hAnsi="仿宋_GB2312" w:eastAsia="仿宋_GB2312" w:cs="仿宋_GB2312"/>
          <w:sz w:val="32"/>
          <w:szCs w:val="32"/>
          <w:lang w:eastAsia="zh-CN"/>
        </w:rPr>
      </w:pPr>
    </w:p>
    <w:p w14:paraId="3BD4525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2880" w:firstLineChars="900"/>
        <w:jc w:val="both"/>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第二章 </w:t>
      </w:r>
      <w:r>
        <w:rPr>
          <w:rFonts w:hint="default" w:ascii="黑体" w:hAnsi="黑体" w:eastAsia="黑体" w:cs="黑体"/>
          <w:color w:val="auto"/>
          <w:sz w:val="32"/>
          <w:szCs w:val="32"/>
          <w:highlight w:val="none"/>
          <w:lang w:val="en" w:eastAsia="zh-CN"/>
        </w:rPr>
        <w:t xml:space="preserve"> </w:t>
      </w:r>
      <w:r>
        <w:rPr>
          <w:rFonts w:hint="eastAsia" w:ascii="黑体" w:hAnsi="黑体" w:eastAsia="黑体" w:cs="黑体"/>
          <w:color w:val="auto"/>
          <w:sz w:val="32"/>
          <w:szCs w:val="32"/>
          <w:highlight w:val="none"/>
          <w:lang w:val="en-US" w:eastAsia="zh-CN"/>
        </w:rPr>
        <w:t>条件要求</w:t>
      </w:r>
    </w:p>
    <w:p w14:paraId="42F488A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2880" w:firstLineChars="900"/>
        <w:jc w:val="both"/>
        <w:textAlignment w:val="baseline"/>
        <w:rPr>
          <w:rFonts w:hint="eastAsia" w:ascii="仿宋_GB2312" w:hAnsi="仿宋_GB2312" w:eastAsia="仿宋_GB2312" w:cs="仿宋_GB2312"/>
          <w:color w:val="auto"/>
          <w:sz w:val="32"/>
          <w:szCs w:val="32"/>
          <w:highlight w:val="none"/>
          <w:lang w:val="en-US" w:eastAsia="zh-CN"/>
        </w:rPr>
      </w:pPr>
    </w:p>
    <w:p w14:paraId="25BBB0B5">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第五条</w:t>
      </w: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val="en" w:eastAsia="zh-CN"/>
        </w:rPr>
        <w:t xml:space="preserve"> </w:t>
      </w:r>
      <w:r>
        <w:rPr>
          <w:rFonts w:hint="eastAsia" w:ascii="仿宋_GB2312" w:hAnsi="仿宋_GB2312" w:eastAsia="仿宋_GB2312" w:cs="仿宋_GB2312"/>
          <w:color w:val="auto"/>
          <w:sz w:val="32"/>
          <w:szCs w:val="32"/>
          <w:highlight w:val="none"/>
          <w:lang w:val="en-US" w:eastAsia="zh-CN"/>
        </w:rPr>
        <w:t>“揭榜挂帅”的实施主体包括需求方和揭榜方。</w:t>
      </w:r>
    </w:p>
    <w:p w14:paraId="464FD961">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（一）需求方须符合以下条件</w:t>
      </w:r>
      <w:r>
        <w:rPr>
          <w:rFonts w:hint="eastAsia" w:ascii="仿宋_GB2312" w:hAnsi="仿宋_GB2312" w:eastAsia="仿宋_GB2312" w:cs="仿宋_GB2312"/>
          <w:color w:val="auto"/>
          <w:sz w:val="32"/>
          <w:szCs w:val="32"/>
          <w:highlight w:val="none"/>
          <w:lang w:val="en-US" w:eastAsia="zh-CN"/>
        </w:rPr>
        <w:t>：</w:t>
      </w:r>
    </w:p>
    <w:p w14:paraId="341D4A3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eastAsia="仿宋_GB2312" w:cs="Times New Roman"/>
          <w:snapToGrid w:val="0"/>
          <w:color w:val="auto"/>
          <w:kern w:val="0"/>
          <w:sz w:val="32"/>
          <w:szCs w:val="32"/>
          <w:highlight w:val="none"/>
          <w:lang w:val="en-US" w:eastAsia="zh-CN" w:bidi="ar-SA"/>
        </w:rPr>
        <w:t>1.</w:t>
      </w:r>
      <w:r>
        <w:rPr>
          <w:rFonts w:hint="default" w:ascii="Times New Roman" w:hAnsi="Times New Roman" w:eastAsia="仿宋_GB2312" w:cs="Times New Roman"/>
          <w:snapToGrid w:val="0"/>
          <w:color w:val="auto"/>
          <w:kern w:val="0"/>
          <w:sz w:val="32"/>
          <w:szCs w:val="32"/>
          <w:highlight w:val="none"/>
          <w:lang w:val="en" w:eastAsia="zh-CN" w:bidi="ar-SA"/>
        </w:rPr>
        <w:t xml:space="preserve"> </w:t>
      </w:r>
      <w:r>
        <w:rPr>
          <w:rFonts w:hint="default" w:ascii="Times New Roman" w:hAnsi="Times New Roman" w:eastAsia="仿宋_GB2312" w:cs="Times New Roman"/>
          <w:snapToGrid w:val="0"/>
          <w:color w:val="auto"/>
          <w:kern w:val="0"/>
          <w:sz w:val="32"/>
          <w:szCs w:val="32"/>
          <w:highlight w:val="none"/>
          <w:lang w:val="en-US" w:eastAsia="zh-CN" w:bidi="ar-SA"/>
        </w:rPr>
        <w:t>需求方应为东盟国家合法注册1年以上的高校、科研院所、企业或政府相关部门，具备提供真实应用场景、试验环境、本地数据或配套资源的能力，具备产业化和转化应用条件。</w:t>
      </w:r>
    </w:p>
    <w:p w14:paraId="1C4033F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eastAsia="仿宋_GB2312" w:cs="Times New Roman"/>
          <w:snapToGrid w:val="0"/>
          <w:color w:val="auto"/>
          <w:kern w:val="0"/>
          <w:sz w:val="32"/>
          <w:szCs w:val="32"/>
          <w:highlight w:val="none"/>
          <w:lang w:val="en-US" w:eastAsia="zh-CN" w:bidi="ar-SA"/>
        </w:rPr>
        <w:t>2.</w:t>
      </w:r>
      <w:r>
        <w:rPr>
          <w:rFonts w:hint="default" w:ascii="Times New Roman" w:hAnsi="Times New Roman" w:eastAsia="仿宋_GB2312" w:cs="Times New Roman"/>
          <w:snapToGrid w:val="0"/>
          <w:color w:val="auto"/>
          <w:kern w:val="0"/>
          <w:sz w:val="32"/>
          <w:szCs w:val="32"/>
          <w:highlight w:val="none"/>
          <w:lang w:val="en" w:eastAsia="zh-CN" w:bidi="ar-SA"/>
        </w:rPr>
        <w:t xml:space="preserve"> </w:t>
      </w:r>
      <w:r>
        <w:rPr>
          <w:rFonts w:hint="default" w:ascii="Times New Roman" w:hAnsi="Times New Roman" w:eastAsia="仿宋_GB2312" w:cs="Times New Roman"/>
          <w:snapToGrid w:val="0"/>
          <w:color w:val="auto"/>
          <w:kern w:val="0"/>
          <w:sz w:val="32"/>
          <w:szCs w:val="32"/>
          <w:highlight w:val="none"/>
          <w:lang w:val="en-US" w:eastAsia="zh-CN" w:bidi="ar-SA"/>
        </w:rPr>
        <w:t>需求方应提供清晰的技术需求描述、预期目标及应用场景说明，并承诺在项目执行过程中提供必要的本地支持，包括但不限于资金、场地、数据、人力资源、政策协调等。</w:t>
      </w:r>
    </w:p>
    <w:p w14:paraId="3915695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bidi="ar-SA"/>
        </w:rPr>
        <w:t>3.</w:t>
      </w:r>
      <w:r>
        <w:rPr>
          <w:rFonts w:hint="default" w:ascii="Times New Roman" w:hAnsi="Times New Roman" w:eastAsia="仿宋_GB2312" w:cs="Times New Roman"/>
          <w:snapToGrid w:val="0"/>
          <w:color w:val="auto"/>
          <w:kern w:val="0"/>
          <w:sz w:val="32"/>
          <w:szCs w:val="32"/>
          <w:highlight w:val="none"/>
          <w:lang w:val="en" w:eastAsia="zh-CN" w:bidi="ar-SA"/>
        </w:rPr>
        <w:t xml:space="preserve"> </w:t>
      </w:r>
      <w:r>
        <w:rPr>
          <w:rFonts w:hint="default" w:ascii="Times New Roman" w:hAnsi="Times New Roman" w:eastAsia="仿宋_GB2312" w:cs="Times New Roman"/>
          <w:snapToGrid w:val="0"/>
          <w:color w:val="auto"/>
          <w:kern w:val="0"/>
          <w:sz w:val="32"/>
          <w:szCs w:val="32"/>
          <w:highlight w:val="none"/>
          <w:lang w:val="en-US" w:eastAsia="zh-CN" w:bidi="ar-SA"/>
        </w:rPr>
        <w:t>所提需求应基于东盟国家产业发展的实际需要，聚焦人工智能技术在有关领域的真实应用场景，具备明确的市场前景和社会效益。</w:t>
      </w:r>
    </w:p>
    <w:p w14:paraId="17EF6679">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 w:eastAsia="zh-CN"/>
        </w:rPr>
        <w:t xml:space="preserve"> </w:t>
      </w:r>
      <w:r>
        <w:rPr>
          <w:rFonts w:hint="default" w:ascii="Times New Roman" w:hAnsi="Times New Roman" w:eastAsia="仿宋_GB2312" w:cs="Times New Roman"/>
          <w:color w:val="auto"/>
          <w:sz w:val="32"/>
          <w:szCs w:val="32"/>
          <w:highlight w:val="none"/>
          <w:lang w:val="en-US" w:eastAsia="zh-CN"/>
        </w:rPr>
        <w:t>所提需求应聚焦东盟产业发展的关</w:t>
      </w:r>
      <w:r>
        <w:rPr>
          <w:rFonts w:hint="eastAsia" w:ascii="仿宋_GB2312" w:hAnsi="仿宋_GB2312" w:eastAsia="仿宋_GB2312" w:cs="仿宋_GB2312"/>
          <w:color w:val="auto"/>
          <w:sz w:val="32"/>
          <w:szCs w:val="32"/>
          <w:highlight w:val="none"/>
          <w:lang w:val="en-US" w:eastAsia="zh-CN"/>
        </w:rPr>
        <w:t>键技术、前沿技术、关键零部件、材料及工艺等，带动提升东盟国家相关产业的技术应用水平。</w:t>
      </w:r>
    </w:p>
    <w:p w14:paraId="32C9E170">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3" w:firstLineChars="200"/>
        <w:jc w:val="both"/>
        <w:textAlignment w:val="baseline"/>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（二）揭榜方须符合以下条件：</w:t>
      </w:r>
    </w:p>
    <w:p w14:paraId="5BF9D41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43"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bidi="ar-SA"/>
        </w:rPr>
        <w:t>1.</w:t>
      </w:r>
      <w:r>
        <w:rPr>
          <w:rFonts w:hint="default" w:ascii="Times New Roman" w:hAnsi="Times New Roman" w:eastAsia="仿宋_GB2312" w:cs="Times New Roman"/>
          <w:b/>
          <w:bCs/>
          <w:snapToGrid w:val="0"/>
          <w:color w:val="auto"/>
          <w:kern w:val="0"/>
          <w:sz w:val="32"/>
          <w:szCs w:val="32"/>
          <w:highlight w:val="none"/>
          <w:lang w:val="en" w:eastAsia="zh-CN" w:bidi="ar-SA"/>
        </w:rPr>
        <w:t xml:space="preserve"> </w:t>
      </w:r>
      <w:r>
        <w:rPr>
          <w:rFonts w:hint="default" w:ascii="Times New Roman" w:hAnsi="Times New Roman" w:eastAsia="仿宋_GB2312" w:cs="Times New Roman"/>
          <w:b/>
          <w:bCs/>
          <w:color w:val="auto"/>
          <w:sz w:val="32"/>
          <w:szCs w:val="32"/>
          <w:highlight w:val="none"/>
          <w:lang w:val="en-US" w:eastAsia="zh-CN"/>
        </w:rPr>
        <w:t>申报单位</w:t>
      </w:r>
      <w:r>
        <w:rPr>
          <w:rFonts w:hint="default" w:ascii="Times New Roman" w:hAnsi="Times New Roman" w:eastAsia="仿宋_GB2312" w:cs="Times New Roman"/>
          <w:color w:val="auto"/>
          <w:sz w:val="32"/>
          <w:szCs w:val="32"/>
          <w:highlight w:val="none"/>
          <w:lang w:val="en-US" w:eastAsia="zh-CN"/>
        </w:rPr>
        <w:t>：牵头揭榜方应是广西壮族自治区内注册1年以上具有独立法人资格（须提供营业执照复印件）、具备较强科技研发能力和条件、具有良好国际合作基础的企业、高校、科研院所。揭榜方可独立揭榜，也可根据技术研发实际情况联合区内外单位联合揭榜（须有企业作为牵头方或参与方），揭榜方总数不超过5家。</w:t>
      </w:r>
    </w:p>
    <w:p w14:paraId="0BEA40F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43"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bidi="ar-SA"/>
        </w:rPr>
        <w:t>2.</w:t>
      </w:r>
      <w:r>
        <w:rPr>
          <w:rFonts w:hint="default" w:ascii="Times New Roman" w:hAnsi="Times New Roman" w:eastAsia="仿宋_GB2312" w:cs="Times New Roman"/>
          <w:b/>
          <w:bCs/>
          <w:snapToGrid w:val="0"/>
          <w:color w:val="auto"/>
          <w:kern w:val="0"/>
          <w:sz w:val="32"/>
          <w:szCs w:val="32"/>
          <w:highlight w:val="none"/>
          <w:lang w:val="en" w:eastAsia="zh-CN" w:bidi="ar-SA"/>
        </w:rPr>
        <w:t xml:space="preserve"> </w:t>
      </w:r>
      <w:r>
        <w:rPr>
          <w:rFonts w:hint="default" w:ascii="Times New Roman" w:hAnsi="Times New Roman" w:eastAsia="仿宋_GB2312" w:cs="Times New Roman"/>
          <w:b/>
          <w:bCs/>
          <w:color w:val="auto"/>
          <w:sz w:val="32"/>
          <w:szCs w:val="32"/>
          <w:highlight w:val="none"/>
          <w:lang w:val="en-US" w:eastAsia="zh-CN"/>
        </w:rPr>
        <w:t>研发投入</w:t>
      </w:r>
      <w:r>
        <w:rPr>
          <w:rFonts w:hint="default" w:ascii="Times New Roman" w:hAnsi="Times New Roman" w:eastAsia="仿宋_GB2312" w:cs="Times New Roman"/>
          <w:color w:val="auto"/>
          <w:sz w:val="32"/>
          <w:szCs w:val="32"/>
          <w:highlight w:val="none"/>
          <w:lang w:val="en-US" w:eastAsia="zh-CN"/>
        </w:rPr>
        <w:t>：牵头或参与企业上一年研发经费投入占主营业务收入的比重不低于1%，须提供上年度财务审计报告作为证明材料。</w:t>
      </w:r>
    </w:p>
    <w:p w14:paraId="000BFA48">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43"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bidi="ar-SA"/>
        </w:rPr>
        <w:t>3.</w:t>
      </w:r>
      <w:r>
        <w:rPr>
          <w:rFonts w:hint="default" w:ascii="Times New Roman" w:hAnsi="Times New Roman" w:eastAsia="仿宋_GB2312" w:cs="Times New Roman"/>
          <w:b/>
          <w:bCs/>
          <w:snapToGrid w:val="0"/>
          <w:color w:val="auto"/>
          <w:kern w:val="0"/>
          <w:sz w:val="32"/>
          <w:szCs w:val="32"/>
          <w:highlight w:val="none"/>
          <w:lang w:val="en" w:eastAsia="zh-CN" w:bidi="ar-SA"/>
        </w:rPr>
        <w:t xml:space="preserve"> </w:t>
      </w:r>
      <w:r>
        <w:rPr>
          <w:rFonts w:hint="default" w:ascii="Times New Roman" w:hAnsi="Times New Roman" w:eastAsia="仿宋_GB2312" w:cs="Times New Roman"/>
          <w:b/>
          <w:bCs/>
          <w:color w:val="auto"/>
          <w:sz w:val="32"/>
          <w:szCs w:val="32"/>
          <w:highlight w:val="none"/>
          <w:lang w:val="en-US" w:eastAsia="zh-CN"/>
        </w:rPr>
        <w:t>团队能力</w:t>
      </w:r>
      <w:r>
        <w:rPr>
          <w:rFonts w:hint="default" w:ascii="Times New Roman" w:hAnsi="Times New Roman" w:eastAsia="仿宋_GB2312" w:cs="Times New Roman"/>
          <w:color w:val="auto"/>
          <w:sz w:val="32"/>
          <w:szCs w:val="32"/>
          <w:highlight w:val="none"/>
          <w:lang w:val="en-US" w:eastAsia="zh-CN"/>
        </w:rPr>
        <w:t>：拥有与榜单需求适配的专职研发与技术实施团队。项目负责人应具有较高的学术水平和较强的科研能力，在行业内具有较强影响力，能协助需求方完成技术应用落地实施。项目组成员中须至少包含1名熟练掌握英语或东盟国家语言、具备国际合作经验、可在东盟国家独立开展工作的成员。专职研发人员原则上不少于5人，并具备协助东盟需求方完成技术应用落地、本地化适配及后续培训支持的综合能力，须提供人员名单。</w:t>
      </w:r>
    </w:p>
    <w:p w14:paraId="038DF18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43"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bidi="ar-SA"/>
        </w:rPr>
        <w:t>4.</w:t>
      </w:r>
      <w:r>
        <w:rPr>
          <w:rFonts w:hint="default" w:ascii="Times New Roman" w:hAnsi="Times New Roman" w:eastAsia="仿宋_GB2312" w:cs="Times New Roman"/>
          <w:b/>
          <w:bCs/>
          <w:snapToGrid w:val="0"/>
          <w:color w:val="auto"/>
          <w:kern w:val="0"/>
          <w:sz w:val="32"/>
          <w:szCs w:val="32"/>
          <w:highlight w:val="none"/>
          <w:lang w:val="en" w:eastAsia="zh-CN" w:bidi="ar-SA"/>
        </w:rPr>
        <w:t xml:space="preserve"> </w:t>
      </w:r>
      <w:r>
        <w:rPr>
          <w:rFonts w:hint="default" w:ascii="Times New Roman" w:hAnsi="Times New Roman" w:eastAsia="仿宋_GB2312" w:cs="Times New Roman"/>
          <w:b/>
          <w:bCs/>
          <w:color w:val="auto"/>
          <w:sz w:val="32"/>
          <w:szCs w:val="32"/>
          <w:highlight w:val="none"/>
          <w:lang w:val="en-US" w:eastAsia="zh-CN"/>
        </w:rPr>
        <w:t>技术基础</w:t>
      </w:r>
      <w:r>
        <w:rPr>
          <w:rFonts w:hint="default" w:ascii="Times New Roman" w:hAnsi="Times New Roman" w:eastAsia="仿宋_GB2312" w:cs="Times New Roman"/>
          <w:color w:val="auto"/>
          <w:sz w:val="32"/>
          <w:szCs w:val="32"/>
          <w:highlight w:val="none"/>
          <w:lang w:val="en-US" w:eastAsia="zh-CN"/>
        </w:rPr>
        <w:t>：针对榜单需求，揭榜方应已拥有相关的技术积累和自主知识产权，具备较丰富的成果产业化经验、较强的市场化经营能力或跨境转化条件。须提供相应的自主知识产权证明（如专利、软著等）以及过往成果转化或市场化应用的成功案例证明材料。</w:t>
      </w:r>
    </w:p>
    <w:p w14:paraId="4DB560B7">
      <w:pPr>
        <w:pStyle w:val="5"/>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afterLines="0" w:line="560" w:lineRule="exact"/>
        <w:ind w:left="0" w:leftChars="0" w:firstLine="643"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5.</w:t>
      </w:r>
      <w:r>
        <w:rPr>
          <w:rFonts w:hint="default" w:ascii="Times New Roman" w:hAnsi="Times New Roman" w:eastAsia="仿宋_GB2312" w:cs="Times New Roman"/>
          <w:b/>
          <w:bCs/>
          <w:color w:val="auto"/>
          <w:sz w:val="32"/>
          <w:szCs w:val="32"/>
          <w:highlight w:val="none"/>
          <w:lang w:val="en" w:eastAsia="zh-CN"/>
        </w:rPr>
        <w:t xml:space="preserve"> </w:t>
      </w:r>
      <w:r>
        <w:rPr>
          <w:rFonts w:hint="default" w:ascii="Times New Roman" w:hAnsi="Times New Roman" w:eastAsia="仿宋_GB2312" w:cs="Times New Roman"/>
          <w:b/>
          <w:bCs/>
          <w:color w:val="auto"/>
          <w:sz w:val="32"/>
          <w:szCs w:val="32"/>
          <w:highlight w:val="none"/>
          <w:lang w:val="en-US" w:eastAsia="zh-CN"/>
        </w:rPr>
        <w:t>科研诚信</w:t>
      </w:r>
      <w:r>
        <w:rPr>
          <w:rFonts w:hint="default" w:ascii="Times New Roman" w:hAnsi="Times New Roman" w:eastAsia="仿宋_GB2312" w:cs="Times New Roman"/>
          <w:color w:val="auto"/>
          <w:sz w:val="32"/>
          <w:szCs w:val="32"/>
          <w:highlight w:val="none"/>
          <w:lang w:val="en-US" w:eastAsia="zh-CN"/>
        </w:rPr>
        <w:t>：揭榜方和项目负责人未发生科学技术活动违规行为、科研失信行为被取消、禁止一定期限相关资格且仍处执行期内，无重大违法行为。需提供科研诚信承诺书、公共信用信息报告等证明材料。</w:t>
      </w:r>
    </w:p>
    <w:p w14:paraId="006C3DB9">
      <w:pPr>
        <w:pStyle w:val="5"/>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afterLines="0" w:line="560" w:lineRule="exact"/>
        <w:ind w:left="0" w:leftChars="0" w:firstLine="643"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b/>
          <w:bCs/>
          <w:color w:val="auto"/>
          <w:sz w:val="32"/>
          <w:szCs w:val="32"/>
          <w:highlight w:val="none"/>
          <w:lang w:val="en" w:eastAsia="zh-CN"/>
        </w:rPr>
        <w:t xml:space="preserve"> </w:t>
      </w:r>
      <w:r>
        <w:rPr>
          <w:rFonts w:hint="default" w:ascii="Times New Roman" w:hAnsi="Times New Roman" w:eastAsia="仿宋_GB2312" w:cs="Times New Roman"/>
          <w:b/>
          <w:bCs/>
          <w:color w:val="auto"/>
          <w:sz w:val="32"/>
          <w:szCs w:val="32"/>
          <w:highlight w:val="none"/>
          <w:lang w:val="en-US" w:eastAsia="zh-CN"/>
        </w:rPr>
        <w:t>揭榜方案</w:t>
      </w:r>
      <w:r>
        <w:rPr>
          <w:rFonts w:hint="default" w:ascii="Times New Roman" w:hAnsi="Times New Roman" w:eastAsia="仿宋_GB2312" w:cs="Times New Roman"/>
          <w:color w:val="auto"/>
          <w:sz w:val="32"/>
          <w:szCs w:val="32"/>
          <w:highlight w:val="none"/>
          <w:lang w:val="en-US" w:eastAsia="zh-CN"/>
        </w:rPr>
        <w:t>：须提交可行性研究报告，主要包括技术发展现状及趋势、揭榜方研究基础、针对东盟目标市场的可行性分析、技术研发内容及技术路线、组织方式、技术创新点、实施周期及进度安排、预期经济效益、应用场景落地计划、资金预算及筹措、风险应对策略、东盟本地合作伙伴情况、明确的知识产权归属与权益分配方案等内容。</w:t>
      </w:r>
    </w:p>
    <w:p w14:paraId="69E109AC">
      <w:pPr>
        <w:pStyle w:val="5"/>
        <w:keepNext w:val="0"/>
        <w:keepLines w:val="0"/>
        <w:pageBreakBefore w:val="0"/>
        <w:widowControl w:val="0"/>
        <w:kinsoku/>
        <w:wordWrap/>
        <w:overflowPunct w:val="0"/>
        <w:topLinePunct w:val="0"/>
        <w:autoSpaceDE w:val="0"/>
        <w:autoSpaceDN w:val="0"/>
        <w:bidi w:val="0"/>
        <w:adjustRightInd w:val="0"/>
        <w:snapToGrid w:val="0"/>
        <w:spacing w:after="0" w:afterLines="0" w:line="560" w:lineRule="exact"/>
        <w:ind w:left="0" w:leftChars="0" w:firstLine="643"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7.</w:t>
      </w:r>
      <w:r>
        <w:rPr>
          <w:rFonts w:hint="default" w:ascii="Times New Roman" w:hAnsi="Times New Roman" w:eastAsia="仿宋_GB2312" w:cs="Times New Roman"/>
          <w:b/>
          <w:bCs/>
          <w:color w:val="auto"/>
          <w:sz w:val="32"/>
          <w:szCs w:val="32"/>
          <w:highlight w:val="none"/>
          <w:lang w:val="en" w:eastAsia="zh-CN"/>
        </w:rPr>
        <w:t xml:space="preserve"> </w:t>
      </w:r>
      <w:r>
        <w:rPr>
          <w:rFonts w:hint="default" w:ascii="Times New Roman" w:hAnsi="Times New Roman" w:eastAsia="仿宋_GB2312" w:cs="Times New Roman"/>
          <w:b/>
          <w:bCs/>
          <w:color w:val="auto"/>
          <w:sz w:val="32"/>
          <w:szCs w:val="32"/>
          <w:highlight w:val="none"/>
          <w:lang w:val="en-US" w:eastAsia="zh-CN"/>
        </w:rPr>
        <w:t>东盟合作基础与实施能力</w:t>
      </w:r>
      <w:r>
        <w:rPr>
          <w:rFonts w:hint="default" w:ascii="Times New Roman" w:hAnsi="Times New Roman" w:eastAsia="仿宋_GB2312" w:cs="Times New Roman"/>
          <w:color w:val="auto"/>
          <w:sz w:val="32"/>
          <w:szCs w:val="32"/>
          <w:highlight w:val="none"/>
          <w:lang w:val="en-US" w:eastAsia="zh-CN"/>
        </w:rPr>
        <w:t>：</w:t>
      </w:r>
    </w:p>
    <w:p w14:paraId="206CE936">
      <w:pPr>
        <w:pStyle w:val="5"/>
        <w:keepNext w:val="0"/>
        <w:keepLines w:val="0"/>
        <w:pageBreakBefore w:val="0"/>
        <w:widowControl w:val="0"/>
        <w:kinsoku/>
        <w:wordWrap/>
        <w:overflowPunct w:val="0"/>
        <w:topLinePunct w:val="0"/>
        <w:autoSpaceDE w:val="0"/>
        <w:autoSpaceDN w:val="0"/>
        <w:bidi w:val="0"/>
        <w:adjustRightInd w:val="0"/>
        <w:snapToGrid w:val="0"/>
        <w:spacing w:after="0" w:afterLines="0"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（1）优先支持已与东盟国家高校、科研机构或企业建立实质性合作关系的单位，须提供有效的合作协议、过往合作项目证明等材料。</w:t>
      </w:r>
    </w:p>
    <w:p w14:paraId="2880D374">
      <w:pPr>
        <w:pStyle w:val="5"/>
        <w:keepNext w:val="0"/>
        <w:keepLines w:val="0"/>
        <w:pageBreakBefore w:val="0"/>
        <w:widowControl w:val="0"/>
        <w:kinsoku/>
        <w:wordWrap/>
        <w:overflowPunct w:val="0"/>
        <w:topLinePunct w:val="0"/>
        <w:autoSpaceDE w:val="0"/>
        <w:autoSpaceDN w:val="0"/>
        <w:bidi w:val="0"/>
        <w:adjustRightInd w:val="0"/>
        <w:snapToGrid w:val="0"/>
        <w:spacing w:after="0" w:afterLines="0"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（2）优先支持已有技术或产品在东盟地区成功落地转化，并取得良好经济社会效益的单位，须提供相关案例证明。</w:t>
      </w:r>
    </w:p>
    <w:p w14:paraId="1D9A77F2">
      <w:pPr>
        <w:pStyle w:val="5"/>
        <w:keepNext w:val="0"/>
        <w:keepLines w:val="0"/>
        <w:pageBreakBefore w:val="0"/>
        <w:widowControl w:val="0"/>
        <w:kinsoku/>
        <w:wordWrap/>
        <w:overflowPunct w:val="0"/>
        <w:topLinePunct w:val="0"/>
        <w:autoSpaceDE w:val="0"/>
        <w:autoSpaceDN w:val="0"/>
        <w:bidi w:val="0"/>
        <w:adjustRightInd w:val="0"/>
        <w:snapToGrid w:val="0"/>
        <w:spacing w:after="0" w:afterLines="0"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（3）优先支持拥有本地化服务团队或合作伙伴、熟悉目标国政策法规与文化环境的单位。</w:t>
      </w:r>
    </w:p>
    <w:p w14:paraId="62CEEE1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60" w:lineRule="exact"/>
        <w:ind w:left="0" w:leftChars="0" w:firstLine="640" w:firstLineChars="200"/>
        <w:jc w:val="center"/>
        <w:textAlignment w:val="baseline"/>
        <w:outlineLvl w:val="0"/>
        <w:rPr>
          <w:rFonts w:hint="eastAsia" w:ascii="仿宋_GB2312" w:hAnsi="仿宋_GB2312" w:eastAsia="仿宋_GB2312" w:cs="仿宋_GB2312"/>
          <w:b w:val="0"/>
          <w:bCs/>
          <w:snapToGrid w:val="0"/>
          <w:color w:val="auto"/>
          <w:kern w:val="44"/>
          <w:sz w:val="32"/>
          <w:szCs w:val="32"/>
          <w:highlight w:val="none"/>
          <w:lang w:val="en-US" w:eastAsia="zh-CN" w:bidi="ar-SA"/>
        </w:rPr>
      </w:pPr>
    </w:p>
    <w:p w14:paraId="78872AF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60" w:lineRule="exact"/>
        <w:ind w:left="0" w:leftChars="0" w:firstLine="640" w:firstLineChars="200"/>
        <w:jc w:val="center"/>
        <w:textAlignment w:val="baseline"/>
        <w:outlineLvl w:val="0"/>
        <w:rPr>
          <w:rFonts w:hint="eastAsia" w:ascii="黑体" w:hAnsi="黑体" w:eastAsia="黑体" w:cs="黑体"/>
          <w:b w:val="0"/>
          <w:bCs/>
          <w:snapToGrid w:val="0"/>
          <w:color w:val="auto"/>
          <w:kern w:val="44"/>
          <w:sz w:val="32"/>
          <w:szCs w:val="32"/>
          <w:highlight w:val="none"/>
          <w:lang w:val="en-US" w:eastAsia="zh-CN" w:bidi="ar-SA"/>
        </w:rPr>
      </w:pPr>
      <w:r>
        <w:rPr>
          <w:rFonts w:hint="eastAsia" w:ascii="黑体" w:hAnsi="黑体" w:eastAsia="黑体" w:cs="黑体"/>
          <w:b w:val="0"/>
          <w:bCs/>
          <w:snapToGrid w:val="0"/>
          <w:color w:val="auto"/>
          <w:kern w:val="44"/>
          <w:sz w:val="32"/>
          <w:szCs w:val="32"/>
          <w:highlight w:val="none"/>
          <w:lang w:val="en-US" w:eastAsia="zh-CN" w:bidi="ar-SA"/>
        </w:rPr>
        <w:t xml:space="preserve">第三章 </w:t>
      </w:r>
      <w:r>
        <w:rPr>
          <w:rFonts w:hint="default" w:ascii="黑体" w:hAnsi="黑体" w:eastAsia="黑体" w:cs="黑体"/>
          <w:b w:val="0"/>
          <w:bCs/>
          <w:snapToGrid w:val="0"/>
          <w:color w:val="auto"/>
          <w:kern w:val="44"/>
          <w:sz w:val="32"/>
          <w:szCs w:val="32"/>
          <w:highlight w:val="none"/>
          <w:lang w:val="en" w:eastAsia="zh-CN" w:bidi="ar-SA"/>
        </w:rPr>
        <w:t xml:space="preserve"> </w:t>
      </w:r>
      <w:r>
        <w:rPr>
          <w:rFonts w:hint="eastAsia" w:ascii="黑体" w:hAnsi="黑体" w:eastAsia="黑体" w:cs="黑体"/>
          <w:b w:val="0"/>
          <w:bCs/>
          <w:snapToGrid w:val="0"/>
          <w:color w:val="auto"/>
          <w:kern w:val="44"/>
          <w:sz w:val="32"/>
          <w:szCs w:val="32"/>
          <w:highlight w:val="none"/>
          <w:lang w:val="en-US" w:eastAsia="zh-CN" w:bidi="ar-SA"/>
        </w:rPr>
        <w:t>合作模式</w:t>
      </w:r>
    </w:p>
    <w:p w14:paraId="59D595E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60" w:lineRule="exact"/>
        <w:ind w:left="0" w:leftChars="0" w:firstLine="643" w:firstLineChars="200"/>
        <w:jc w:val="center"/>
        <w:textAlignment w:val="baseline"/>
        <w:outlineLvl w:val="0"/>
        <w:rPr>
          <w:rFonts w:hint="eastAsia" w:ascii="仿宋_GB2312" w:hAnsi="仿宋_GB2312" w:eastAsia="仿宋_GB2312" w:cs="仿宋_GB2312"/>
          <w:b/>
          <w:snapToGrid w:val="0"/>
          <w:color w:val="auto"/>
          <w:kern w:val="44"/>
          <w:sz w:val="32"/>
          <w:szCs w:val="32"/>
          <w:highlight w:val="none"/>
          <w:lang w:val="en-US" w:eastAsia="zh-CN" w:bidi="ar-SA"/>
        </w:rPr>
      </w:pPr>
    </w:p>
    <w:p w14:paraId="0D473101">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第六条</w:t>
      </w:r>
      <w:r>
        <w:rPr>
          <w:rFonts w:hint="eastAsia" w:ascii="仿宋_GB2312" w:hAnsi="仿宋_GB2312" w:eastAsia="仿宋_GB2312" w:cs="仿宋_GB2312"/>
          <w:color w:val="auto"/>
          <w:sz w:val="32"/>
          <w:szCs w:val="32"/>
          <w:highlight w:val="none"/>
          <w:lang w:val="en-US" w:eastAsia="zh-CN"/>
        </w:rPr>
        <w:t xml:space="preserve">  揭榜方进入签约洽谈环节后，须与东盟需求方深入对接，基于平等互利、合作共赢原则，协商确定多种合作模式或组合模式，所有合作模式均要求东盟需求方提供明确的资源投</w:t>
      </w:r>
      <w:r>
        <w:rPr>
          <w:rFonts w:hint="default" w:ascii="Times New Roman" w:hAnsi="Times New Roman" w:eastAsia="仿宋_GB2312" w:cs="Times New Roman"/>
          <w:color w:val="auto"/>
          <w:sz w:val="32"/>
          <w:szCs w:val="32"/>
          <w:highlight w:val="none"/>
          <w:lang w:val="en-US" w:eastAsia="zh-CN"/>
        </w:rPr>
        <w:t>入，包括但不限于资金、场地、数据、人力资源、市场渠道、科研环境及配套资源等。</w:t>
      </w:r>
    </w:p>
    <w:p w14:paraId="603B0062">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（1）技术转移：指将成熟的技术成果从揭榜方转移至东盟需求方，东盟需求方需提供场地、数据等适配资源，助力技术快速落地并实现本地化应用。</w:t>
      </w:r>
    </w:p>
    <w:p w14:paraId="74A610D4">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（2）合作研发：双方基于共同技术目标投入各自的资源（技术、资金、人力）开展联合创新攻关，协同推进技术研发与成果共享。</w:t>
      </w:r>
    </w:p>
    <w:p w14:paraId="081B3D41">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（3）人员培训：通过培训授课、实操指导等方式将技术知识、技能和经验传递给东盟需求方，从而提升其吸收、操作和研发能力。</w:t>
      </w:r>
    </w:p>
    <w:p w14:paraId="12F95F8E">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（4）技术许可：供给方授权东盟需求方在约定范围、期限内使用特定技术，需求方需投入相关资源保障技术合规使用与落地转化。</w:t>
      </w:r>
    </w:p>
    <w:p w14:paraId="59F698F2">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（5）技术投资：以技术输出与资本注入相结合的方式开展合作，东盟需求方以资金、市场、销售渠道等作为投入，实现技术落地与商业价值共创。</w:t>
      </w:r>
    </w:p>
    <w:p w14:paraId="2D336E8F">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（6）其他：指除上述类型外，双方基于平等互利原则协商确定的个性化合作形式，</w:t>
      </w:r>
      <w:r>
        <w:rPr>
          <w:rFonts w:hint="eastAsia" w:ascii="仿宋_GB2312" w:hAnsi="仿宋_GB2312" w:eastAsia="仿宋_GB2312" w:cs="仿宋_GB2312"/>
          <w:color w:val="auto"/>
          <w:sz w:val="32"/>
          <w:szCs w:val="32"/>
          <w:highlight w:val="none"/>
          <w:lang w:val="en-US" w:eastAsia="zh-CN"/>
        </w:rPr>
        <w:t>需东盟需求方提供明确的资源投入以保障合作有效推进。</w:t>
      </w:r>
    </w:p>
    <w:p w14:paraId="004572EE">
      <w:pPr>
        <w:keepNext w:val="0"/>
        <w:keepLines w:val="0"/>
        <w:pageBreakBefore w:val="0"/>
        <w:widowControl w:val="0"/>
        <w:numPr>
          <w:ilvl w:val="0"/>
          <w:numId w:val="2"/>
        </w:numPr>
        <w:kinsoku/>
        <w:wordWrap/>
        <w:overflowPunct w:val="0"/>
        <w:topLinePunct w:val="0"/>
        <w:autoSpaceDE/>
        <w:autoSpaceDN/>
        <w:bidi w:val="0"/>
        <w:adjustRightInd w:val="0"/>
        <w:snapToGrid w:val="0"/>
        <w:spacing w:beforeAutospacing="0" w:afterAutospacing="0" w:line="560" w:lineRule="exact"/>
        <w:ind w:left="0" w:leftChars="0" w:firstLine="640" w:firstLineChars="200"/>
        <w:jc w:val="center"/>
        <w:textAlignment w:val="baseline"/>
        <w:outlineLvl w:val="0"/>
        <w:rPr>
          <w:rFonts w:hint="eastAsia" w:ascii="黑体" w:hAnsi="黑体" w:eastAsia="黑体" w:cs="黑体"/>
          <w:b w:val="0"/>
          <w:bCs/>
          <w:snapToGrid w:val="0"/>
          <w:color w:val="auto"/>
          <w:kern w:val="44"/>
          <w:sz w:val="32"/>
          <w:szCs w:val="32"/>
          <w:highlight w:val="none"/>
          <w:lang w:val="en-US" w:eastAsia="zh-CN" w:bidi="ar-SA"/>
        </w:rPr>
      </w:pPr>
      <w:r>
        <w:rPr>
          <w:rFonts w:hint="default" w:ascii="黑体" w:hAnsi="黑体" w:eastAsia="黑体" w:cs="黑体"/>
          <w:b w:val="0"/>
          <w:bCs/>
          <w:snapToGrid w:val="0"/>
          <w:color w:val="auto"/>
          <w:kern w:val="44"/>
          <w:sz w:val="32"/>
          <w:szCs w:val="32"/>
          <w:highlight w:val="none"/>
          <w:lang w:val="en" w:eastAsia="zh-CN" w:bidi="ar-SA"/>
        </w:rPr>
        <w:t xml:space="preserve"> </w:t>
      </w:r>
      <w:r>
        <w:rPr>
          <w:rFonts w:hint="eastAsia" w:ascii="黑体" w:hAnsi="黑体" w:eastAsia="黑体" w:cs="黑体"/>
          <w:b w:val="0"/>
          <w:bCs/>
          <w:snapToGrid w:val="0"/>
          <w:color w:val="auto"/>
          <w:kern w:val="44"/>
          <w:sz w:val="32"/>
          <w:szCs w:val="32"/>
          <w:highlight w:val="none"/>
          <w:lang w:val="en-US" w:eastAsia="zh-CN" w:bidi="ar-SA"/>
        </w:rPr>
        <w:t>工作流程</w:t>
      </w:r>
    </w:p>
    <w:p w14:paraId="0324069D">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60" w:lineRule="exact"/>
        <w:ind w:left="0" w:leftChars="0" w:firstLine="640" w:firstLineChars="200"/>
        <w:jc w:val="both"/>
        <w:textAlignment w:val="baseline"/>
        <w:outlineLvl w:val="0"/>
        <w:rPr>
          <w:rFonts w:hint="eastAsia" w:ascii="仿宋_GB2312" w:hAnsi="仿宋_GB2312" w:eastAsia="仿宋_GB2312" w:cs="仿宋_GB2312"/>
          <w:b w:val="0"/>
          <w:bCs/>
          <w:snapToGrid w:val="0"/>
          <w:color w:val="auto"/>
          <w:kern w:val="44"/>
          <w:sz w:val="32"/>
          <w:szCs w:val="32"/>
          <w:highlight w:val="none"/>
          <w:lang w:val="en-US" w:eastAsia="zh-CN" w:bidi="ar-SA"/>
        </w:rPr>
      </w:pPr>
    </w:p>
    <w:p w14:paraId="250CC86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default" w:ascii="Times New Roman" w:hAnsi="Times New Roman" w:eastAsia="仿宋_GB2312" w:cs="Times New Roman"/>
          <w:b w:val="0"/>
          <w:bCs/>
          <w:snapToGrid w:val="0"/>
          <w:color w:val="auto"/>
          <w:kern w:val="44"/>
          <w:sz w:val="32"/>
          <w:szCs w:val="32"/>
          <w:highlight w:val="none"/>
          <w:lang w:val="en-US" w:eastAsia="zh-CN" w:bidi="ar-SA"/>
        </w:rPr>
      </w:pPr>
      <w:r>
        <w:rPr>
          <w:rFonts w:hint="default" w:ascii="Times New Roman" w:hAnsi="Times New Roman" w:eastAsia="仿宋_GB2312" w:cs="Times New Roman"/>
          <w:b/>
          <w:bCs/>
          <w:color w:val="auto"/>
          <w:sz w:val="32"/>
          <w:szCs w:val="32"/>
          <w:highlight w:val="none"/>
          <w:lang w:val="en-US" w:eastAsia="zh-CN"/>
        </w:rPr>
        <w:t>第七条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 w:eastAsia="zh-CN"/>
        </w:rPr>
        <w:t xml:space="preserve"> </w:t>
      </w:r>
      <w:r>
        <w:rPr>
          <w:rFonts w:hint="default" w:ascii="Times New Roman" w:hAnsi="Times New Roman" w:eastAsia="仿宋_GB2312" w:cs="Times New Roman"/>
          <w:color w:val="auto"/>
          <w:sz w:val="32"/>
          <w:szCs w:val="32"/>
          <w:highlight w:val="none"/>
          <w:lang w:val="en-US" w:eastAsia="zh-CN"/>
        </w:rPr>
        <w:t>“跨境揭榜挂帅”主要有</w:t>
      </w:r>
      <w:r>
        <w:rPr>
          <w:rFonts w:hint="default" w:ascii="Times New Roman" w:hAnsi="Times New Roman" w:eastAsia="仿宋_GB2312" w:cs="Times New Roman"/>
          <w:snapToGrid w:val="0"/>
          <w:color w:val="auto"/>
          <w:kern w:val="0"/>
          <w:sz w:val="32"/>
          <w:szCs w:val="32"/>
          <w:highlight w:val="none"/>
          <w:lang w:val="en-US" w:eastAsia="zh-CN" w:bidi="ar-SA"/>
        </w:rPr>
        <w:t>定榜发榜、揭榜定帅、挂帅攻关、应用示范四个阶段。</w:t>
      </w:r>
    </w:p>
    <w:p w14:paraId="091BBE7B">
      <w:pPr>
        <w:keepNext w:val="0"/>
        <w:keepLines w:val="0"/>
        <w:pageBreakBefore w:val="0"/>
        <w:widowControl w:val="0"/>
        <w:numPr>
          <w:ilvl w:val="0"/>
          <w:numId w:val="3"/>
        </w:numPr>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eastAsia" w:ascii="楷体_GB2312" w:hAnsi="楷体_GB2312" w:eastAsia="楷体_GB2312" w:cs="楷体_GB2312"/>
          <w:b/>
          <w:bCs/>
          <w:snapToGrid w:val="0"/>
          <w:color w:val="auto"/>
          <w:kern w:val="0"/>
          <w:sz w:val="32"/>
          <w:szCs w:val="32"/>
          <w:highlight w:val="none"/>
          <w:lang w:val="en-US" w:eastAsia="zh-CN" w:bidi="ar-SA"/>
        </w:rPr>
      </w:pPr>
      <w:r>
        <w:rPr>
          <w:rFonts w:hint="eastAsia" w:ascii="楷体_GB2312" w:hAnsi="楷体_GB2312" w:eastAsia="楷体_GB2312" w:cs="楷体_GB2312"/>
          <w:b/>
          <w:bCs/>
          <w:snapToGrid w:val="0"/>
          <w:color w:val="auto"/>
          <w:kern w:val="0"/>
          <w:sz w:val="32"/>
          <w:szCs w:val="32"/>
          <w:highlight w:val="none"/>
          <w:lang w:val="en-US" w:eastAsia="zh-CN" w:bidi="ar-SA"/>
        </w:rPr>
        <w:t>定榜发榜</w:t>
      </w:r>
    </w:p>
    <w:p w14:paraId="344BA234">
      <w:pPr>
        <w:keepNext w:val="0"/>
        <w:keepLines w:val="0"/>
        <w:pageBreakBefore w:val="0"/>
        <w:widowControl w:val="0"/>
        <w:numPr>
          <w:ilvl w:val="0"/>
          <w:numId w:val="0"/>
        </w:numPr>
        <w:kinsoku/>
        <w:wordWrap/>
        <w:overflowPunct w:val="0"/>
        <w:topLinePunct w:val="0"/>
        <w:autoSpaceDE/>
        <w:autoSpaceDN/>
        <w:bidi w:val="0"/>
        <w:adjustRightInd/>
        <w:snapToGrid w:val="0"/>
        <w:spacing w:line="560" w:lineRule="exact"/>
        <w:ind w:left="0" w:leftChars="0" w:firstLine="643"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 w:eastAsia="zh-CN"/>
        </w:rPr>
        <w:t xml:space="preserve">1. </w:t>
      </w:r>
      <w:r>
        <w:rPr>
          <w:rFonts w:hint="default" w:ascii="Times New Roman" w:hAnsi="Times New Roman" w:eastAsia="仿宋_GB2312" w:cs="Times New Roman"/>
          <w:b/>
          <w:bCs/>
          <w:color w:val="auto"/>
          <w:sz w:val="32"/>
          <w:szCs w:val="32"/>
          <w:highlight w:val="none"/>
          <w:lang w:val="en-US" w:eastAsia="zh-CN"/>
        </w:rPr>
        <w:t>问需。</w:t>
      </w:r>
      <w:r>
        <w:rPr>
          <w:rFonts w:hint="default" w:ascii="Times New Roman" w:hAnsi="Times New Roman" w:eastAsia="仿宋_GB2312" w:cs="Times New Roman"/>
          <w:color w:val="auto"/>
          <w:sz w:val="32"/>
          <w:szCs w:val="32"/>
          <w:highlight w:val="none"/>
          <w:lang w:val="en-US" w:eastAsia="zh-CN"/>
        </w:rPr>
        <w:t>由自治区科技厅牵头，面向东盟有关政府部门、官方机构、头部企业、重点高校、科研院所、国际机构等公开征集技术需求，形成中国—东盟人工智能技术合作需求清单。</w:t>
      </w:r>
    </w:p>
    <w:p w14:paraId="1521749A">
      <w:pPr>
        <w:keepNext w:val="0"/>
        <w:keepLines w:val="0"/>
        <w:pageBreakBefore w:val="0"/>
        <w:widowControl w:val="0"/>
        <w:numPr>
          <w:ilvl w:val="0"/>
          <w:numId w:val="0"/>
        </w:numPr>
        <w:kinsoku/>
        <w:wordWrap/>
        <w:overflowPunct w:val="0"/>
        <w:topLinePunct w:val="0"/>
        <w:autoSpaceDE/>
        <w:autoSpaceDN/>
        <w:bidi w:val="0"/>
        <w:adjustRightInd/>
        <w:snapToGrid w:val="0"/>
        <w:spacing w:line="560" w:lineRule="exact"/>
        <w:ind w:left="0" w:leftChars="0" w:firstLine="643"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 w:eastAsia="zh-CN"/>
        </w:rPr>
        <w:t xml:space="preserve">2. </w:t>
      </w:r>
      <w:r>
        <w:rPr>
          <w:rFonts w:hint="default" w:ascii="Times New Roman" w:hAnsi="Times New Roman" w:eastAsia="仿宋_GB2312" w:cs="Times New Roman"/>
          <w:b/>
          <w:bCs/>
          <w:color w:val="auto"/>
          <w:sz w:val="32"/>
          <w:szCs w:val="32"/>
          <w:highlight w:val="none"/>
          <w:lang w:val="en-US" w:eastAsia="zh-CN"/>
        </w:rPr>
        <w:t>定榜。</w:t>
      </w:r>
      <w:r>
        <w:rPr>
          <w:rFonts w:hint="default" w:ascii="Times New Roman" w:hAnsi="Times New Roman" w:eastAsia="仿宋_GB2312" w:cs="Times New Roman"/>
          <w:color w:val="auto"/>
          <w:sz w:val="32"/>
          <w:szCs w:val="32"/>
          <w:highlight w:val="none"/>
          <w:lang w:val="en-US" w:eastAsia="zh-CN"/>
        </w:rPr>
        <w:t>由自治区科技厅牵头，委托项目管理机构组织专家评议，紧扣需求真实性、市场前瞻性、技术可行性、示范带动性及合作风险性（依照《中国禁止出口限制出口技术目录》）进行评估。在此基础上，择优遴选能助力广西企业技术出海、拓展东盟应用场景、具有较好市场前景、提升东盟能力并兼具良好经济与社会效益的需求项目，完善修改后编制形成榜单。</w:t>
      </w:r>
    </w:p>
    <w:p w14:paraId="37F385D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 w:eastAsia="zh-CN"/>
        </w:rPr>
        <w:t xml:space="preserve">3. </w:t>
      </w:r>
      <w:r>
        <w:rPr>
          <w:rFonts w:hint="default" w:ascii="Times New Roman" w:hAnsi="Times New Roman" w:eastAsia="仿宋_GB2312" w:cs="Times New Roman"/>
          <w:b/>
          <w:bCs/>
          <w:color w:val="auto"/>
          <w:sz w:val="32"/>
          <w:szCs w:val="32"/>
          <w:highlight w:val="none"/>
          <w:lang w:val="en-US" w:eastAsia="zh-CN"/>
        </w:rPr>
        <w:t>发榜。</w:t>
      </w:r>
      <w:r>
        <w:rPr>
          <w:rFonts w:hint="default" w:ascii="Times New Roman" w:hAnsi="Times New Roman" w:eastAsia="仿宋_GB2312" w:cs="Times New Roman"/>
          <w:color w:val="auto"/>
          <w:sz w:val="32"/>
          <w:szCs w:val="32"/>
          <w:highlight w:val="none"/>
          <w:lang w:val="en-US" w:eastAsia="zh-CN"/>
        </w:rPr>
        <w:t>由自治区科技厅牵头，在自治区科技厅官网发布《关于面向东盟人工智能“跨境揭榜挂帅”技术需求榜单的通知》，并在“广西科技管理信息平台”发布详细榜单。</w:t>
      </w:r>
    </w:p>
    <w:p w14:paraId="6096BAFE">
      <w:pPr>
        <w:keepNext w:val="0"/>
        <w:keepLines w:val="0"/>
        <w:pageBreakBefore w:val="0"/>
        <w:widowControl w:val="0"/>
        <w:numPr>
          <w:ilvl w:val="0"/>
          <w:numId w:val="3"/>
        </w:numPr>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揭榜定帅</w:t>
      </w:r>
    </w:p>
    <w:p w14:paraId="61CD7DDA">
      <w:pPr>
        <w:keepNext w:val="0"/>
        <w:keepLines w:val="0"/>
        <w:pageBreakBefore w:val="0"/>
        <w:widowControl w:val="0"/>
        <w:numPr>
          <w:ilvl w:val="0"/>
          <w:numId w:val="4"/>
        </w:numPr>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揭榜。</w:t>
      </w:r>
      <w:r>
        <w:rPr>
          <w:rFonts w:hint="default" w:ascii="Times New Roman" w:hAnsi="Times New Roman" w:eastAsia="仿宋_GB2312" w:cs="Times New Roman"/>
          <w:color w:val="auto"/>
          <w:sz w:val="32"/>
          <w:szCs w:val="32"/>
          <w:highlight w:val="none"/>
          <w:lang w:val="en-US" w:eastAsia="zh-CN"/>
        </w:rPr>
        <w:t>意向揭榜的单位须符合揭榜方条件，按照榜单要求制定揭榜方案，细化技术指标、经济指标、人才队伍培养指标、组织方式、工作进度、资金预算、应用计划等内容，编制提交揭榜申报书。</w:t>
      </w:r>
    </w:p>
    <w:p w14:paraId="40244B3A">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（1）单位申报。在“广西科技管理信息平台”系统上（网址：http://gkg.kjt.gxzf.gov.cn）进行申报，通过各设区市科技局、自治区行业主管部门推荐或依托单位自荐，向自治区科技厅申报。</w:t>
      </w:r>
    </w:p>
    <w:p w14:paraId="38CCF926">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初步审查。各设区市科技局或自治区行业主管部门推荐申报的，由推荐单位对申报单位的申报材料真实性、规范性及完整性、合法性进行审核，并对符合要求的申报单位提出推荐意见，与申报材料一并提交至“广西科技管理信息平台”。自治区科技厅委托项目管理机构对申报材料进行形式审查，符合要求的进入预评审环节。</w:t>
      </w:r>
    </w:p>
    <w:p w14:paraId="2A76BAE3">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预评审。形式审查结束后，由自治区科技厅牵头，委托项目管理机构在10个工作日内组织专家预评审。预评审围绕揭榜方资质、实施保障力、合作基础及项目风险与效益等方面展开综合评估。针对同一需求若存在多个揭榜方，通过预评审择优确定1家揭榜方；针对同一需求若仅有1家揭榜方，经形式审查后该揭榜方可直接进入签约环节。</w:t>
      </w:r>
    </w:p>
    <w:p w14:paraId="095A36FB">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洽谈签约。择优确定的揭榜方须在一个月内与需求方签订《合作协议》，并根据洽谈内容完善揭榜方案。《合作协议》须作为项目立项的必要附件，提交至自治区科技厅备案。《合作协议》中须明确双方权利、责任与利益及知识产权分配等内容。经费使用按照《广西科技计划项目经费管理办法》的有关规定执行。</w:t>
      </w:r>
    </w:p>
    <w:p w14:paraId="5FEC5829">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5.</w:t>
      </w:r>
      <w:r>
        <w:rPr>
          <w:rFonts w:hint="default" w:ascii="Times New Roman" w:hAnsi="Times New Roman" w:eastAsia="仿宋_GB2312" w:cs="Times New Roman"/>
          <w:b/>
          <w:bCs/>
          <w:color w:val="auto"/>
          <w:sz w:val="32"/>
          <w:szCs w:val="32"/>
          <w:highlight w:val="none"/>
          <w:lang w:val="en" w:eastAsia="zh-CN"/>
        </w:rPr>
        <w:t xml:space="preserve"> </w:t>
      </w:r>
      <w:r>
        <w:rPr>
          <w:rFonts w:hint="default" w:ascii="Times New Roman" w:hAnsi="Times New Roman" w:eastAsia="仿宋_GB2312" w:cs="Times New Roman"/>
          <w:b/>
          <w:bCs/>
          <w:color w:val="auto"/>
          <w:sz w:val="32"/>
          <w:szCs w:val="32"/>
          <w:highlight w:val="none"/>
          <w:lang w:val="en-US" w:eastAsia="zh-CN"/>
        </w:rPr>
        <w:t>定帅。</w:t>
      </w:r>
      <w:r>
        <w:rPr>
          <w:rFonts w:hint="default" w:ascii="Times New Roman" w:hAnsi="Times New Roman" w:eastAsia="仿宋_GB2312" w:cs="Times New Roman"/>
          <w:color w:val="auto"/>
          <w:sz w:val="32"/>
          <w:szCs w:val="32"/>
          <w:highlight w:val="none"/>
          <w:lang w:val="en-US" w:eastAsia="zh-CN"/>
        </w:rPr>
        <w:t>揭榜方与东盟需求方签约后，自治区科技厅按照规定，提出评审标准和要求，委托项目管理机构组织专家进行论证，论证未通过者，视为揭榜失败。</w:t>
      </w:r>
    </w:p>
    <w:p w14:paraId="062CCF47">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结果公示。自治区科技厅参考专家或专业机构评审意见，结合自治区党委、自治区人民政府重大战略需求、重点产业规划及中国—东盟科技合作导向，综合考虑项目可行性、揭榜单位履约能力与诚信状况等因素，提出拟认定名单，向社会公示5个工作日。社会各界对公示有异议的须以书面形式提出，自治区科技厅对异议信息进行核查和处理。</w:t>
      </w:r>
    </w:p>
    <w:p w14:paraId="10545960">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（2）结果公布。对公示无异议或异议不成立的申报单位，自治区科技厅以正式通知形式对外发布。</w:t>
      </w:r>
    </w:p>
    <w:p w14:paraId="640642F6">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b/>
          <w:bCs/>
          <w:color w:val="auto"/>
          <w:sz w:val="32"/>
          <w:szCs w:val="32"/>
          <w:highlight w:val="none"/>
          <w:lang w:val="en" w:eastAsia="zh-CN"/>
        </w:rPr>
        <w:t xml:space="preserve"> </w:t>
      </w:r>
      <w:r>
        <w:rPr>
          <w:rFonts w:hint="default" w:ascii="Times New Roman" w:hAnsi="Times New Roman" w:eastAsia="仿宋_GB2312" w:cs="Times New Roman"/>
          <w:b/>
          <w:bCs/>
          <w:color w:val="auto"/>
          <w:sz w:val="32"/>
          <w:szCs w:val="32"/>
          <w:highlight w:val="none"/>
          <w:lang w:val="en-US" w:eastAsia="zh-CN"/>
        </w:rPr>
        <w:t>立状。</w:t>
      </w:r>
      <w:r>
        <w:rPr>
          <w:rFonts w:hint="default" w:ascii="Times New Roman" w:hAnsi="Times New Roman" w:eastAsia="仿宋_GB2312" w:cs="Times New Roman"/>
          <w:color w:val="auto"/>
          <w:sz w:val="32"/>
          <w:szCs w:val="32"/>
          <w:highlight w:val="none"/>
          <w:lang w:val="en-US" w:eastAsia="zh-CN"/>
        </w:rPr>
        <w:t>项目立项实行“三方协议”机制。自治区科技厅、揭榜方及项目管理机构签订项目任务书，牵头揭榜方以在广西的独立法人单位，作为项目立状签约和实施的责任方。</w:t>
      </w:r>
    </w:p>
    <w:p w14:paraId="2AFCE2C4">
      <w:pPr>
        <w:keepNext w:val="0"/>
        <w:keepLines w:val="0"/>
        <w:pageBreakBefore w:val="0"/>
        <w:widowControl w:val="0"/>
        <w:numPr>
          <w:ilvl w:val="0"/>
          <w:numId w:val="3"/>
        </w:numPr>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挂帅攻关</w:t>
      </w:r>
    </w:p>
    <w:p w14:paraId="3BC4875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0" w:firstLineChars="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 xml:space="preserve">    7. </w:t>
      </w:r>
      <w:r>
        <w:rPr>
          <w:rFonts w:hint="default" w:ascii="Times New Roman" w:hAnsi="Times New Roman" w:eastAsia="仿宋_GB2312" w:cs="Times New Roman"/>
          <w:b/>
          <w:bCs/>
          <w:color w:val="auto"/>
          <w:sz w:val="32"/>
          <w:szCs w:val="32"/>
          <w:highlight w:val="none"/>
          <w:lang w:val="en-US" w:eastAsia="zh-CN"/>
        </w:rPr>
        <w:t>攻关。</w:t>
      </w:r>
      <w:r>
        <w:rPr>
          <w:rFonts w:hint="default" w:ascii="Times New Roman" w:hAnsi="Times New Roman" w:eastAsia="仿宋_GB2312" w:cs="Times New Roman"/>
          <w:color w:val="auto"/>
          <w:sz w:val="32"/>
          <w:szCs w:val="32"/>
          <w:highlight w:val="none"/>
          <w:lang w:val="en-US" w:eastAsia="zh-CN"/>
        </w:rPr>
        <w:t>揭榜方应组建跨境联合攻关团队，明确中方与东盟方的任务分工，建立定期沟通机制。揭榜方须对阶段性技术成果与知识产权进行有效管理，确保数据合规性及防范跨境协作风险，以保障项目顺利实施。</w:t>
      </w:r>
    </w:p>
    <w:p w14:paraId="1D1081C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 xml:space="preserve">    8. </w:t>
      </w:r>
      <w:r>
        <w:rPr>
          <w:rFonts w:hint="default" w:ascii="Times New Roman" w:hAnsi="Times New Roman" w:eastAsia="仿宋_GB2312" w:cs="Times New Roman"/>
          <w:b/>
          <w:bCs/>
          <w:color w:val="auto"/>
          <w:sz w:val="32"/>
          <w:szCs w:val="32"/>
          <w:highlight w:val="none"/>
          <w:lang w:val="en-US" w:eastAsia="zh-CN"/>
        </w:rPr>
        <w:t>问效。</w:t>
      </w:r>
      <w:r>
        <w:rPr>
          <w:rFonts w:hint="default" w:ascii="Times New Roman" w:hAnsi="Times New Roman" w:eastAsia="仿宋_GB2312" w:cs="Times New Roman"/>
          <w:color w:val="auto"/>
          <w:sz w:val="32"/>
          <w:szCs w:val="32"/>
          <w:highlight w:val="none"/>
          <w:lang w:val="en-US" w:eastAsia="zh-CN"/>
        </w:rPr>
        <w:t>项目实施周期为1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年，参照广西科技计划项目管理办法有关规定进行管理和绩效考核。揭榜方须定期报送进展，重大事项及时报备。自治区科技厅组织专家或委托第三方依据任务书约定，开展中期检查、阶段性资助经费拨付和项目绩效评价。</w:t>
      </w:r>
    </w:p>
    <w:p w14:paraId="1CCBB0C2">
      <w:pPr>
        <w:keepNext w:val="0"/>
        <w:keepLines w:val="0"/>
        <w:pageBreakBefore w:val="0"/>
        <w:widowControl w:val="0"/>
        <w:numPr>
          <w:ilvl w:val="0"/>
          <w:numId w:val="3"/>
        </w:numPr>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应用示范</w:t>
      </w:r>
    </w:p>
    <w:p w14:paraId="7B5FC21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eastAsia" w:ascii="黑体" w:hAnsi="黑体" w:eastAsia="黑体" w:cs="黑体"/>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 xml:space="preserve">9. </w:t>
      </w:r>
      <w:r>
        <w:rPr>
          <w:rFonts w:hint="default" w:ascii="Times New Roman" w:hAnsi="Times New Roman" w:eastAsia="仿宋_GB2312" w:cs="Times New Roman"/>
          <w:b/>
          <w:bCs/>
          <w:color w:val="auto"/>
          <w:sz w:val="32"/>
          <w:szCs w:val="32"/>
          <w:highlight w:val="none"/>
          <w:lang w:val="en-US" w:eastAsia="zh-CN"/>
        </w:rPr>
        <w:t>应用。</w:t>
      </w:r>
      <w:r>
        <w:rPr>
          <w:rFonts w:hint="default" w:ascii="Times New Roman" w:hAnsi="Times New Roman" w:eastAsia="仿宋_GB2312" w:cs="Times New Roman"/>
          <w:color w:val="auto"/>
          <w:sz w:val="32"/>
          <w:szCs w:val="32"/>
          <w:highlight w:val="none"/>
          <w:lang w:val="en-US" w:eastAsia="zh-CN"/>
        </w:rPr>
        <w:t>项目成果应在东盟国家开展实地应用示范，形成可复制、可推广的典型案例。示范过程中应注重本地化适配与优化，积累跨境合作经验。</w:t>
      </w:r>
    </w:p>
    <w:p w14:paraId="7EC015F6">
      <w:pPr>
        <w:keepNext w:val="0"/>
        <w:keepLines w:val="0"/>
        <w:pageBreakBefore w:val="0"/>
        <w:widowControl w:val="0"/>
        <w:numPr>
          <w:ilvl w:val="0"/>
          <w:numId w:val="2"/>
        </w:numPr>
        <w:kinsoku/>
        <w:wordWrap/>
        <w:overflowPunct w:val="0"/>
        <w:topLinePunct w:val="0"/>
        <w:autoSpaceDE/>
        <w:autoSpaceDN/>
        <w:bidi w:val="0"/>
        <w:adjustRightInd w:val="0"/>
        <w:snapToGrid w:val="0"/>
        <w:spacing w:beforeAutospacing="0" w:afterAutospacing="0" w:line="560" w:lineRule="exact"/>
        <w:ind w:left="0" w:leftChars="0" w:firstLine="643" w:firstLineChars="0"/>
        <w:jc w:val="center"/>
        <w:textAlignment w:val="baseline"/>
        <w:outlineLvl w:val="0"/>
        <w:rPr>
          <w:rFonts w:hint="eastAsia" w:ascii="黑体" w:hAnsi="黑体" w:eastAsia="黑体" w:cs="黑体"/>
          <w:b w:val="0"/>
          <w:bCs/>
          <w:snapToGrid w:val="0"/>
          <w:color w:val="auto"/>
          <w:kern w:val="44"/>
          <w:sz w:val="32"/>
          <w:szCs w:val="32"/>
          <w:highlight w:val="none"/>
          <w:lang w:val="en-US" w:eastAsia="zh-CN" w:bidi="ar-SA"/>
        </w:rPr>
      </w:pPr>
      <w:r>
        <w:rPr>
          <w:rFonts w:hint="eastAsia" w:ascii="黑体" w:hAnsi="黑体" w:eastAsia="黑体" w:cs="黑体"/>
          <w:b w:val="0"/>
          <w:bCs/>
          <w:snapToGrid w:val="0"/>
          <w:color w:val="auto"/>
          <w:kern w:val="44"/>
          <w:sz w:val="32"/>
          <w:szCs w:val="32"/>
          <w:highlight w:val="none"/>
          <w:lang w:val="en-US" w:eastAsia="zh-CN" w:bidi="ar-SA"/>
        </w:rPr>
        <w:t xml:space="preserve"> 服务保障</w:t>
      </w:r>
    </w:p>
    <w:p w14:paraId="03FBF63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jc w:val="both"/>
        <w:textAlignment w:val="baseline"/>
        <w:rPr>
          <w:rFonts w:hint="eastAsia" w:ascii="仿宋_GB2312" w:hAnsi="仿宋_GB2312" w:eastAsia="仿宋_GB2312" w:cs="仿宋_GB2312"/>
          <w:color w:val="auto"/>
          <w:sz w:val="32"/>
          <w:szCs w:val="32"/>
          <w:highlight w:val="none"/>
          <w:lang w:val="en-US" w:eastAsia="zh-CN"/>
        </w:rPr>
      </w:pPr>
    </w:p>
    <w:p w14:paraId="285B371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    第八条</w:t>
      </w:r>
      <w:r>
        <w:rPr>
          <w:rFonts w:hint="eastAsia" w:ascii="仿宋_GB2312" w:hAnsi="仿宋_GB2312" w:eastAsia="仿宋_GB2312" w:cs="仿宋_GB2312"/>
          <w:color w:val="auto"/>
          <w:sz w:val="32"/>
          <w:szCs w:val="32"/>
          <w:highlight w:val="none"/>
          <w:lang w:val="en-US" w:eastAsia="zh-CN"/>
        </w:rPr>
        <w:t xml:space="preserve">  自治区科技厅对“跨境揭榜挂帅”项目提供资金支持、科技服务、人才服务等政策支持，积极推动项目高效实施并产生良好的经济、社会和生态效益。</w:t>
      </w:r>
    </w:p>
    <w:p w14:paraId="0BF148C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（一）资金支持</w:t>
      </w:r>
    </w:p>
    <w:p w14:paraId="6ED07FF5">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项目支持采用前资助方式。自治区财政科技经费投入不超</w:t>
      </w:r>
      <w:r>
        <w:rPr>
          <w:rFonts w:hint="default" w:ascii="Times New Roman" w:hAnsi="Times New Roman" w:eastAsia="仿宋_GB2312" w:cs="Times New Roman"/>
          <w:color w:val="auto"/>
          <w:sz w:val="32"/>
          <w:szCs w:val="32"/>
          <w:highlight w:val="none"/>
          <w:lang w:val="en-US" w:eastAsia="zh-CN"/>
        </w:rPr>
        <w:t>过150</w:t>
      </w:r>
      <w:r>
        <w:rPr>
          <w:rFonts w:hint="eastAsia" w:ascii="仿宋_GB2312" w:hAnsi="仿宋_GB2312" w:eastAsia="仿宋_GB2312" w:cs="仿宋_GB2312"/>
          <w:color w:val="auto"/>
          <w:sz w:val="32"/>
          <w:szCs w:val="32"/>
          <w:highlight w:val="none"/>
          <w:lang w:val="en-US" w:eastAsia="zh-CN"/>
        </w:rPr>
        <w:t>万元，揭榜方须按不低于</w:t>
      </w:r>
      <w:r>
        <w:rPr>
          <w:rFonts w:hint="default" w:ascii="Times New Roman" w:hAnsi="Times New Roman" w:eastAsia="仿宋_GB2312" w:cs="Times New Roman"/>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val="en-US" w:eastAsia="zh-CN"/>
        </w:rPr>
        <w:t>的比例配套自筹经费，保障项目顺利实施。</w:t>
      </w:r>
    </w:p>
    <w:p w14:paraId="154D636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snapToGrid w:val="0"/>
          <w:color w:val="auto"/>
          <w:kern w:val="0"/>
          <w:sz w:val="32"/>
          <w:szCs w:val="32"/>
          <w:highlight w:val="none"/>
          <w:lang w:val="en-US" w:eastAsia="zh-CN" w:bidi="ar-SA"/>
        </w:rPr>
        <w:t>（二）</w:t>
      </w:r>
      <w:r>
        <w:rPr>
          <w:rFonts w:hint="eastAsia" w:ascii="楷体_GB2312" w:hAnsi="楷体_GB2312" w:eastAsia="楷体_GB2312" w:cs="楷体_GB2312"/>
          <w:b/>
          <w:bCs/>
          <w:color w:val="auto"/>
          <w:sz w:val="32"/>
          <w:szCs w:val="32"/>
          <w:highlight w:val="none"/>
          <w:lang w:val="en-US" w:eastAsia="zh-CN"/>
        </w:rPr>
        <w:t>科技服务</w:t>
      </w:r>
    </w:p>
    <w:p w14:paraId="5F9E30C0">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依托中国—东盟技术转移中心平台，为项目提供技术转移、科技咨询、科技金融、国际渠道资源等服务。</w:t>
      </w:r>
    </w:p>
    <w:p w14:paraId="7D08810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snapToGrid w:val="0"/>
          <w:color w:val="auto"/>
          <w:kern w:val="0"/>
          <w:sz w:val="32"/>
          <w:szCs w:val="32"/>
          <w:highlight w:val="none"/>
          <w:lang w:val="en-US" w:eastAsia="zh-CN" w:bidi="ar-SA"/>
        </w:rPr>
        <w:t>（三）</w:t>
      </w:r>
      <w:r>
        <w:rPr>
          <w:rFonts w:hint="eastAsia" w:ascii="楷体_GB2312" w:hAnsi="楷体_GB2312" w:eastAsia="楷体_GB2312" w:cs="楷体_GB2312"/>
          <w:b/>
          <w:bCs/>
          <w:color w:val="auto"/>
          <w:sz w:val="32"/>
          <w:szCs w:val="32"/>
          <w:highlight w:val="none"/>
          <w:lang w:val="en-US" w:eastAsia="zh-CN"/>
        </w:rPr>
        <w:t>人才服务</w:t>
      </w:r>
    </w:p>
    <w:p w14:paraId="4A14F309">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引进。</w:t>
      </w:r>
      <w:r>
        <w:rPr>
          <w:rFonts w:hint="default" w:ascii="Times New Roman" w:hAnsi="Times New Roman" w:eastAsia="仿宋_GB2312" w:cs="Times New Roman"/>
          <w:color w:val="auto"/>
          <w:sz w:val="32"/>
          <w:szCs w:val="32"/>
          <w:highlight w:val="none"/>
          <w:lang w:val="en-US" w:eastAsia="zh-CN"/>
        </w:rPr>
        <w:t>支持揭榜方通过“东盟杰出青年科学家入桂工作项目”等方式引进东盟国家高层次技术人才，提供签证便利、居留许可、子女教育等便利服务，以人才流动促进技术融通与民心相通。</w:t>
      </w:r>
    </w:p>
    <w:p w14:paraId="58040D82">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培训。</w:t>
      </w:r>
      <w:r>
        <w:rPr>
          <w:rFonts w:hint="default" w:ascii="Times New Roman" w:hAnsi="Times New Roman" w:eastAsia="仿宋_GB2312" w:cs="Times New Roman"/>
          <w:color w:val="auto"/>
          <w:sz w:val="32"/>
          <w:szCs w:val="32"/>
          <w:highlight w:val="none"/>
          <w:lang w:val="en-US" w:eastAsia="zh-CN"/>
        </w:rPr>
        <w:t>系统组织面向东盟合作方的专业技术培训与综合能力建设活动，通过知识共享、技能传递与经验交流，持续提升东盟本地团队的技术应用、系统运维及持续创新能力，夯实区域可持续发展的人才根基。</w:t>
      </w:r>
    </w:p>
    <w:p w14:paraId="2F89B960">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交流平台。</w:t>
      </w:r>
      <w:r>
        <w:rPr>
          <w:rFonts w:hint="default" w:ascii="Times New Roman" w:hAnsi="Times New Roman" w:eastAsia="仿宋_GB2312" w:cs="Times New Roman"/>
          <w:color w:val="auto"/>
          <w:sz w:val="32"/>
          <w:szCs w:val="32"/>
          <w:highlight w:val="none"/>
          <w:lang w:val="en-US" w:eastAsia="zh-CN"/>
        </w:rPr>
        <w:t>邀请参加面向东盟国际技术转移与创新合作大会、中国—东盟博览会先进技术展及中国—东盟技术对接会等科技创新品牌活动，推荐符合条件的项目参加中国—东盟创新创业大赛，推动中国与东盟国家创新资源高效对接与优质项目落</w:t>
      </w:r>
      <w:r>
        <w:rPr>
          <w:rFonts w:hint="eastAsia" w:ascii="仿宋_GB2312" w:hAnsi="仿宋_GB2312" w:eastAsia="仿宋_GB2312" w:cs="仿宋_GB2312"/>
          <w:color w:val="auto"/>
          <w:sz w:val="32"/>
          <w:szCs w:val="32"/>
          <w:highlight w:val="none"/>
          <w:lang w:val="en-US" w:eastAsia="zh-CN"/>
        </w:rPr>
        <w:t>地孵化。</w:t>
      </w:r>
    </w:p>
    <w:p w14:paraId="057E847C">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both"/>
        <w:textAlignment w:val="baseline"/>
        <w:rPr>
          <w:rFonts w:hint="eastAsia" w:ascii="仿宋_GB2312" w:hAnsi="仿宋_GB2312" w:eastAsia="仿宋_GB2312" w:cs="仿宋_GB2312"/>
          <w:color w:val="auto"/>
          <w:sz w:val="32"/>
          <w:szCs w:val="32"/>
          <w:highlight w:val="none"/>
          <w:lang w:val="en-US" w:eastAsia="zh-CN"/>
        </w:rPr>
      </w:pPr>
    </w:p>
    <w:p w14:paraId="019C6644">
      <w:pPr>
        <w:pStyle w:val="3"/>
        <w:keepNext w:val="0"/>
        <w:keepLines w:val="0"/>
        <w:pageBreakBefore w:val="0"/>
        <w:widowControl w:val="0"/>
        <w:numPr>
          <w:ilvl w:val="0"/>
          <w:numId w:val="2"/>
        </w:numPr>
        <w:kinsoku/>
        <w:wordWrap/>
        <w:overflowPunct w:val="0"/>
        <w:topLinePunct w:val="0"/>
        <w:autoSpaceDE/>
        <w:autoSpaceDN/>
        <w:bidi w:val="0"/>
        <w:adjustRightInd w:val="0"/>
        <w:snapToGrid w:val="0"/>
        <w:spacing w:beforeLines="0" w:afterLines="0" w:line="560" w:lineRule="exact"/>
        <w:ind w:left="0" w:leftChars="0" w:firstLine="643" w:firstLineChars="0"/>
        <w:jc w:val="center"/>
        <w:textAlignment w:val="baseline"/>
        <w:rPr>
          <w:rFonts w:hint="eastAsia" w:ascii="黑体" w:hAnsi="黑体" w:eastAsia="黑体" w:cs="黑体"/>
          <w:b w:val="0"/>
          <w:bCs/>
          <w:color w:val="auto"/>
          <w:sz w:val="32"/>
          <w:szCs w:val="32"/>
          <w:highlight w:val="none"/>
          <w:lang w:val="en-US" w:eastAsia="zh-CN"/>
        </w:rPr>
      </w:pPr>
      <w:r>
        <w:rPr>
          <w:rFonts w:hint="eastAsia" w:ascii="黑体" w:hAnsi="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lang w:val="en-US" w:eastAsia="zh-CN"/>
        </w:rPr>
        <w:t>监督管理</w:t>
      </w:r>
    </w:p>
    <w:p w14:paraId="4AF580B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jc w:val="both"/>
        <w:textAlignment w:val="baseline"/>
        <w:rPr>
          <w:rFonts w:hint="eastAsia" w:ascii="仿宋_GB2312" w:hAnsi="仿宋_GB2312" w:eastAsia="仿宋_GB2312" w:cs="仿宋_GB2312"/>
          <w:color w:val="auto"/>
          <w:sz w:val="32"/>
          <w:szCs w:val="32"/>
          <w:highlight w:val="none"/>
          <w:lang w:val="en-US" w:eastAsia="zh-CN"/>
        </w:rPr>
      </w:pPr>
    </w:p>
    <w:p w14:paraId="02D2A267">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第九条</w:t>
      </w:r>
      <w:r>
        <w:rPr>
          <w:rFonts w:hint="eastAsia" w:ascii="仿宋_GB2312" w:hAnsi="仿宋_GB2312" w:eastAsia="仿宋_GB2312" w:cs="仿宋_GB2312"/>
          <w:color w:val="auto"/>
          <w:sz w:val="32"/>
          <w:szCs w:val="32"/>
          <w:highlight w:val="none"/>
          <w:lang w:val="en-US" w:eastAsia="zh-CN"/>
        </w:rPr>
        <w:t xml:space="preserve">  需求方和揭榜方须按照国家相关法律法规，本着自愿、真实原则签订《合作协议》，且揭榜方与需求方不能为同一单位或其下属子公司，包含单方控制、共同控制与重大影响等关系，不存在股权关系和关联交易。双方须严格遵守中华人民共和国及东盟国家的法律法规及公序良俗，不得出于任何目的弄虚作假。</w:t>
      </w:r>
    </w:p>
    <w:p w14:paraId="602380B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第十条 </w:t>
      </w:r>
      <w:r>
        <w:rPr>
          <w:rFonts w:hint="eastAsia" w:ascii="仿宋_GB2312" w:hAnsi="仿宋_GB2312" w:eastAsia="仿宋_GB2312" w:cs="仿宋_GB2312"/>
          <w:color w:val="auto"/>
          <w:sz w:val="32"/>
          <w:szCs w:val="32"/>
          <w:highlight w:val="none"/>
          <w:lang w:val="en-US" w:eastAsia="zh-CN"/>
        </w:rPr>
        <w:t xml:space="preserve"> “跨境揭榜挂帅”项目任务书签订实施后，一般不作变动，特别是不能随意变更国家、实施场景或降低技术指标、实施效果等。</w:t>
      </w:r>
    </w:p>
    <w:p w14:paraId="711404D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第十一条</w:t>
      </w:r>
      <w:r>
        <w:rPr>
          <w:rFonts w:hint="eastAsia" w:ascii="仿宋_GB2312" w:hAnsi="仿宋_GB2312" w:eastAsia="仿宋_GB2312" w:cs="仿宋_GB2312"/>
          <w:color w:val="auto"/>
          <w:sz w:val="32"/>
          <w:szCs w:val="32"/>
          <w:highlight w:val="none"/>
          <w:lang w:val="en-US" w:eastAsia="zh-CN"/>
        </w:rPr>
        <w:t xml:space="preserve">  对于因不可抗力造成任务无法按期、按技术指标完成的情况，揭榜方须与需求方达成一致意见后，可申请延长期限，延长期限不得</w:t>
      </w:r>
      <w:r>
        <w:rPr>
          <w:rFonts w:hint="default" w:ascii="Times New Roman" w:hAnsi="Times New Roman" w:eastAsia="仿宋_GB2312" w:cs="Times New Roman"/>
          <w:color w:val="auto"/>
          <w:sz w:val="32"/>
          <w:szCs w:val="32"/>
          <w:highlight w:val="none"/>
          <w:lang w:val="en-US" w:eastAsia="zh-CN"/>
        </w:rPr>
        <w:t>超过1年</w:t>
      </w:r>
      <w:r>
        <w:rPr>
          <w:rFonts w:hint="eastAsia" w:ascii="仿宋_GB2312" w:hAnsi="仿宋_GB2312" w:eastAsia="仿宋_GB2312" w:cs="仿宋_GB2312"/>
          <w:color w:val="auto"/>
          <w:sz w:val="32"/>
          <w:szCs w:val="32"/>
          <w:highlight w:val="none"/>
          <w:lang w:val="en-US" w:eastAsia="zh-CN"/>
        </w:rPr>
        <w:t>，同一项目最多延</w:t>
      </w:r>
      <w:r>
        <w:rPr>
          <w:rFonts w:hint="default" w:ascii="Times New Roman" w:hAnsi="Times New Roman" w:eastAsia="仿宋_GB2312" w:cs="Times New Roman"/>
          <w:color w:val="auto"/>
          <w:sz w:val="32"/>
          <w:szCs w:val="32"/>
          <w:highlight w:val="none"/>
          <w:lang w:val="en-US" w:eastAsia="zh-CN"/>
        </w:rPr>
        <w:t>期1</w:t>
      </w:r>
      <w:r>
        <w:rPr>
          <w:rFonts w:hint="eastAsia" w:ascii="仿宋_GB2312" w:hAnsi="仿宋_GB2312" w:eastAsia="仿宋_GB2312" w:cs="仿宋_GB2312"/>
          <w:color w:val="auto"/>
          <w:sz w:val="32"/>
          <w:szCs w:val="32"/>
          <w:highlight w:val="none"/>
          <w:lang w:val="en-US" w:eastAsia="zh-CN"/>
        </w:rPr>
        <w:t>次。</w:t>
      </w:r>
    </w:p>
    <w:p w14:paraId="56363C0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3"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第十二条  </w:t>
      </w:r>
      <w:r>
        <w:rPr>
          <w:rFonts w:hint="eastAsia" w:ascii="仿宋_GB2312" w:hAnsi="仿宋_GB2312" w:eastAsia="仿宋_GB2312" w:cs="仿宋_GB2312"/>
          <w:color w:val="auto"/>
          <w:sz w:val="32"/>
          <w:szCs w:val="32"/>
          <w:highlight w:val="none"/>
          <w:lang w:val="en-US" w:eastAsia="zh-CN"/>
        </w:rPr>
        <w:t>对于弄虚作假或故意串通套取骗取财政资金等重大违法失信行为，自治区科技厅会同有关部门按照规定给予严肃处理。涉嫌违法违纪的，相关线索移送有关部门处理。除本指引有特殊规定外，跨境揭榜挂帅项目均按照广西科技计划项目及经费管理办法进行全过程管理。</w:t>
      </w:r>
    </w:p>
    <w:p w14:paraId="4BAA3B56">
      <w:pPr>
        <w:pStyle w:val="2"/>
        <w:keepNext w:val="0"/>
        <w:keepLines w:val="0"/>
        <w:pageBreakBefore w:val="0"/>
        <w:widowControl w:val="0"/>
        <w:kinsoku/>
        <w:wordWrap/>
        <w:topLinePunct w:val="0"/>
        <w:autoSpaceDE/>
        <w:autoSpaceDN/>
        <w:bidi w:val="0"/>
        <w:spacing w:line="560" w:lineRule="exact"/>
        <w:ind w:left="0" w:leftChars="0"/>
        <w:rPr>
          <w:rFonts w:hint="eastAsia"/>
          <w:lang w:val="en-US" w:eastAsia="zh-CN"/>
        </w:rPr>
      </w:pPr>
    </w:p>
    <w:p w14:paraId="30235898">
      <w:pPr>
        <w:keepNext w:val="0"/>
        <w:keepLines w:val="0"/>
        <w:pageBreakBefore w:val="0"/>
        <w:widowControl w:val="0"/>
        <w:numPr>
          <w:ilvl w:val="0"/>
          <w:numId w:val="2"/>
        </w:numPr>
        <w:kinsoku/>
        <w:wordWrap/>
        <w:overflowPunct w:val="0"/>
        <w:topLinePunct w:val="0"/>
        <w:autoSpaceDE/>
        <w:autoSpaceDN/>
        <w:bidi w:val="0"/>
        <w:adjustRightInd w:val="0"/>
        <w:snapToGrid w:val="0"/>
        <w:spacing w:line="560" w:lineRule="exact"/>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附则</w:t>
      </w:r>
    </w:p>
    <w:p w14:paraId="55E951A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jc w:val="both"/>
        <w:textAlignment w:val="baseline"/>
        <w:rPr>
          <w:rFonts w:hint="eastAsia" w:ascii="仿宋_GB2312" w:hAnsi="仿宋_GB2312" w:eastAsia="仿宋_GB2312" w:cs="仿宋_GB2312"/>
          <w:color w:val="auto"/>
          <w:sz w:val="32"/>
          <w:szCs w:val="32"/>
          <w:highlight w:val="none"/>
          <w:lang w:val="en-US" w:eastAsia="zh-CN"/>
        </w:rPr>
      </w:pPr>
    </w:p>
    <w:p w14:paraId="3D8752E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第十三条  </w:t>
      </w:r>
      <w:r>
        <w:rPr>
          <w:rFonts w:hint="default" w:ascii="Times New Roman" w:hAnsi="Times New Roman" w:eastAsia="仿宋_GB2312" w:cs="Times New Roman"/>
          <w:color w:val="auto"/>
          <w:sz w:val="32"/>
          <w:szCs w:val="32"/>
          <w:highlight w:val="none"/>
          <w:lang w:val="en-US" w:eastAsia="zh-CN"/>
        </w:rPr>
        <w:t>本指引由广西壮族自治区科学技术厅负责解释。</w:t>
      </w:r>
    </w:p>
    <w:p w14:paraId="221EB8A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第十四条  </w:t>
      </w:r>
      <w:r>
        <w:rPr>
          <w:rFonts w:hint="default" w:ascii="Times New Roman" w:hAnsi="Times New Roman" w:eastAsia="仿宋_GB2312" w:cs="Times New Roman"/>
          <w:color w:val="auto"/>
          <w:sz w:val="32"/>
          <w:szCs w:val="32"/>
          <w:highlight w:val="none"/>
          <w:lang w:val="en-US" w:eastAsia="zh-CN"/>
        </w:rPr>
        <w:t>本指引自印发之日起施行，有效期5年。</w:t>
      </w:r>
    </w:p>
    <w:p w14:paraId="7ECC434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p>
    <w:p w14:paraId="737FF169">
      <w:pPr>
        <w:keepNext w:val="0"/>
        <w:keepLines w:val="0"/>
        <w:pageBreakBefore w:val="0"/>
        <w:widowControl w:val="0"/>
        <w:kinsoku/>
        <w:wordWrap/>
        <w:topLinePunct w:val="0"/>
        <w:autoSpaceDE/>
        <w:autoSpaceDN/>
        <w:bidi w:val="0"/>
        <w:adjustRightInd w:val="0"/>
        <w:snapToGrid w:val="0"/>
        <w:spacing w:line="560" w:lineRule="exact"/>
        <w:ind w:left="0" w:leftChars="0"/>
        <w:textAlignment w:val="baseline"/>
        <w:rPr>
          <w:rFonts w:hint="default" w:ascii="Times New Roman" w:hAnsi="Times New Roman" w:eastAsia="仿宋_GB2312" w:cs="Times New Roman"/>
          <w:sz w:val="32"/>
          <w:szCs w:val="32"/>
        </w:rPr>
      </w:pPr>
    </w:p>
    <w:p w14:paraId="3DE60D0C">
      <w:pPr>
        <w:pStyle w:val="31"/>
        <w:keepNext w:val="0"/>
        <w:keepLines w:val="0"/>
        <w:pageBreakBefore w:val="0"/>
        <w:widowControl w:val="0"/>
        <w:kinsoku/>
        <w:wordWrap/>
        <w:topLinePunct w:val="0"/>
        <w:autoSpaceDE/>
        <w:autoSpaceDN/>
        <w:bidi w:val="0"/>
        <w:spacing w:line="560" w:lineRule="exact"/>
        <w:ind w:left="0" w:leftChars="0"/>
        <w:rPr>
          <w:rFonts w:hint="default" w:ascii="Times New Roman" w:hAnsi="Times New Roman" w:eastAsia="仿宋_GB2312" w:cs="Times New Roman"/>
          <w:color w:val="auto"/>
          <w:sz w:val="32"/>
          <w:szCs w:val="32"/>
          <w:highlight w:val="none"/>
          <w:lang w:val="en-US" w:eastAsia="zh-CN"/>
        </w:rPr>
      </w:pPr>
    </w:p>
    <w:p w14:paraId="705BAA17">
      <w:pPr>
        <w:keepNext w:val="0"/>
        <w:keepLines w:val="0"/>
        <w:pageBreakBefore w:val="0"/>
        <w:widowControl w:val="0"/>
        <w:kinsoku/>
        <w:wordWrap/>
        <w:topLinePunct w:val="0"/>
        <w:autoSpaceDE/>
        <w:autoSpaceDN/>
        <w:bidi w:val="0"/>
        <w:spacing w:line="560" w:lineRule="exact"/>
        <w:ind w:left="0" w:leftChars="0"/>
        <w:rPr>
          <w:rFonts w:hint="eastAsia" w:ascii="仿宋_GB2312" w:hAnsi="仿宋_GB2312" w:eastAsia="仿宋_GB2312" w:cs="仿宋_GB2312"/>
          <w:color w:val="auto"/>
          <w:sz w:val="32"/>
          <w:szCs w:val="32"/>
          <w:highlight w:val="none"/>
          <w:lang w:val="en-US" w:eastAsia="zh-CN"/>
        </w:rPr>
      </w:pPr>
    </w:p>
    <w:p w14:paraId="3698182F">
      <w:pPr>
        <w:pStyle w:val="30"/>
        <w:keepNext w:val="0"/>
        <w:keepLines w:val="0"/>
        <w:pageBreakBefore w:val="0"/>
        <w:widowControl w:val="0"/>
        <w:kinsoku/>
        <w:wordWrap/>
        <w:topLinePunct w:val="0"/>
        <w:autoSpaceDE/>
        <w:autoSpaceDN/>
        <w:bidi w:val="0"/>
        <w:spacing w:line="560" w:lineRule="exact"/>
        <w:ind w:left="0" w:leftChars="0"/>
        <w:rPr>
          <w:rFonts w:hint="eastAsia" w:ascii="仿宋_GB2312" w:hAnsi="仿宋_GB2312" w:eastAsia="仿宋_GB2312" w:cs="仿宋_GB2312"/>
          <w:color w:val="auto"/>
          <w:sz w:val="32"/>
          <w:szCs w:val="32"/>
          <w:highlight w:val="none"/>
          <w:lang w:val="en-US" w:eastAsia="zh-CN"/>
        </w:rPr>
      </w:pPr>
    </w:p>
    <w:p w14:paraId="198612AA">
      <w:pPr>
        <w:pStyle w:val="31"/>
        <w:keepNext w:val="0"/>
        <w:keepLines w:val="0"/>
        <w:pageBreakBefore w:val="0"/>
        <w:widowControl w:val="0"/>
        <w:kinsoku/>
        <w:wordWrap/>
        <w:topLinePunct w:val="0"/>
        <w:autoSpaceDE/>
        <w:autoSpaceDN/>
        <w:bidi w:val="0"/>
        <w:spacing w:line="560" w:lineRule="exact"/>
        <w:ind w:left="0" w:leftChars="0"/>
        <w:rPr>
          <w:rFonts w:hint="eastAsia" w:ascii="仿宋_GB2312" w:hAnsi="仿宋_GB2312" w:eastAsia="仿宋_GB2312" w:cs="仿宋_GB2312"/>
          <w:color w:val="auto"/>
          <w:sz w:val="32"/>
          <w:szCs w:val="32"/>
          <w:highlight w:val="none"/>
          <w:lang w:val="en-US" w:eastAsia="zh-CN"/>
        </w:rPr>
      </w:pPr>
    </w:p>
    <w:p w14:paraId="7364299F">
      <w:pPr>
        <w:pStyle w:val="2"/>
        <w:keepNext w:val="0"/>
        <w:keepLines w:val="0"/>
        <w:pageBreakBefore w:val="0"/>
        <w:widowControl w:val="0"/>
        <w:kinsoku/>
        <w:wordWrap/>
        <w:topLinePunct w:val="0"/>
        <w:autoSpaceDE/>
        <w:autoSpaceDN/>
        <w:bidi w:val="0"/>
        <w:spacing w:line="560" w:lineRule="exact"/>
        <w:ind w:left="0" w:leftChars="0" w:firstLine="0" w:firstLineChars="0"/>
        <w:rPr>
          <w:rFonts w:hint="eastAsia" w:ascii="仿宋_GB2312" w:hAnsi="仿宋_GB2312" w:eastAsia="仿宋_GB2312" w:cs="仿宋_GB2312"/>
          <w:color w:val="auto"/>
          <w:sz w:val="32"/>
          <w:szCs w:val="32"/>
          <w:highlight w:val="none"/>
          <w:lang w:val="en-US" w:eastAsia="zh-CN"/>
        </w:rPr>
      </w:pPr>
    </w:p>
    <w:p w14:paraId="55FACBA0">
      <w:pPr>
        <w:keepNext w:val="0"/>
        <w:keepLines w:val="0"/>
        <w:pageBreakBefore w:val="0"/>
        <w:widowControl w:val="0"/>
        <w:kinsoku/>
        <w:wordWrap/>
        <w:topLinePunct w:val="0"/>
        <w:autoSpaceDE/>
        <w:autoSpaceDN/>
        <w:bidi w:val="0"/>
        <w:spacing w:line="560" w:lineRule="exact"/>
        <w:ind w:left="0" w:leftChars="0"/>
        <w:rPr>
          <w:rFonts w:hint="eastAsia" w:ascii="仿宋_GB2312" w:hAnsi="仿宋_GB2312" w:eastAsia="仿宋_GB2312" w:cs="仿宋_GB2312"/>
          <w:color w:val="auto"/>
          <w:sz w:val="32"/>
          <w:szCs w:val="32"/>
          <w:highlight w:val="none"/>
          <w:lang w:val="en-US" w:eastAsia="zh-CN"/>
        </w:rPr>
      </w:pPr>
    </w:p>
    <w:p w14:paraId="4A845D4B">
      <w:pPr>
        <w:pStyle w:val="2"/>
        <w:keepNext w:val="0"/>
        <w:keepLines w:val="0"/>
        <w:pageBreakBefore w:val="0"/>
        <w:widowControl w:val="0"/>
        <w:kinsoku/>
        <w:wordWrap/>
        <w:topLinePunct w:val="0"/>
        <w:autoSpaceDE/>
        <w:autoSpaceDN/>
        <w:bidi w:val="0"/>
        <w:rPr>
          <w:rFonts w:hint="eastAsia" w:ascii="仿宋_GB2312" w:hAnsi="仿宋_GB2312" w:eastAsia="仿宋_GB2312" w:cs="仿宋_GB2312"/>
          <w:color w:val="auto"/>
          <w:sz w:val="32"/>
          <w:szCs w:val="32"/>
          <w:highlight w:val="none"/>
          <w:lang w:val="en-US" w:eastAsia="zh-CN"/>
        </w:rPr>
      </w:pPr>
    </w:p>
    <w:p w14:paraId="2AC68202">
      <w:pPr>
        <w:pStyle w:val="31"/>
        <w:keepNext w:val="0"/>
        <w:keepLines w:val="0"/>
        <w:pageBreakBefore w:val="0"/>
        <w:widowControl w:val="0"/>
        <w:kinsoku/>
        <w:wordWrap/>
        <w:topLinePunct w:val="0"/>
        <w:autoSpaceDE/>
        <w:autoSpaceDN/>
        <w:bidi w:val="0"/>
        <w:ind w:left="0" w:leftChars="0" w:firstLine="0" w:firstLineChars="0"/>
        <w:rPr>
          <w:rFonts w:hint="eastAsia" w:ascii="仿宋_GB2312" w:hAnsi="仿宋_GB2312" w:eastAsia="仿宋_GB2312" w:cs="仿宋_GB2312"/>
          <w:color w:val="auto"/>
          <w:sz w:val="32"/>
          <w:szCs w:val="32"/>
          <w:highlight w:val="none"/>
          <w:lang w:val="en-US" w:eastAsia="zh-CN"/>
        </w:rPr>
      </w:pPr>
    </w:p>
    <w:p w14:paraId="0A536423">
      <w:pPr>
        <w:keepNext w:val="0"/>
        <w:keepLines w:val="0"/>
        <w:pageBreakBefore w:val="0"/>
        <w:widowControl w:val="0"/>
        <w:numPr>
          <w:ilvl w:val="0"/>
          <w:numId w:val="0"/>
        </w:numPr>
        <w:kinsoku/>
        <w:wordWrap/>
        <w:overflowPunct/>
        <w:topLinePunct w:val="0"/>
        <w:autoSpaceDE/>
        <w:autoSpaceDN/>
        <w:bidi w:val="0"/>
        <w:adjustRightInd/>
        <w:snapToGrid/>
        <w:spacing w:line="100" w:lineRule="exact"/>
        <w:jc w:val="both"/>
        <w:textAlignment w:val="auto"/>
        <w:rPr>
          <w:rFonts w:hint="eastAsia" w:ascii="仿宋_GB2312" w:hAnsi="仿宋_GB2312" w:eastAsia="仿宋_GB2312" w:cs="仿宋_GB2312"/>
          <w:sz w:val="32"/>
          <w:szCs w:val="32"/>
        </w:rPr>
      </w:pPr>
    </w:p>
    <w:sectPr>
      <w:headerReference r:id="rId4" w:type="first"/>
      <w:footerReference r:id="rId6" w:type="first"/>
      <w:headerReference r:id="rId3" w:type="default"/>
      <w:footerReference r:id="rId5" w:type="default"/>
      <w:pgSz w:w="11906" w:h="16838"/>
      <w:pgMar w:top="2098" w:right="1531" w:bottom="1701" w:left="1531" w:header="851" w:footer="1417" w:gutter="0"/>
      <w:paperSrc/>
      <w:pgNumType w:fmt="decimal"/>
      <w:cols w:space="72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2000000000000000000"/>
    <w:charset w:val="86"/>
    <w:family w:val="script"/>
    <w:pitch w:val="default"/>
    <w:sig w:usb0="00000001" w:usb1="08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altName w:val="微软雅黑"/>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E25B">
    <w:pPr>
      <w:pStyle w:val="9"/>
      <w:spacing w:line="360" w:lineRule="exact"/>
      <w:jc w:val="both"/>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04470"/>
              <wp:effectExtent l="0" t="0" r="0" b="0"/>
              <wp:wrapNone/>
              <wp:docPr id="1" name="Text Box 5"/>
              <wp:cNvGraphicFramePr/>
              <a:graphic xmlns:a="http://schemas.openxmlformats.org/drawingml/2006/main">
                <a:graphicData uri="http://schemas.microsoft.com/office/word/2010/wordprocessingShape">
                  <wps:wsp>
                    <wps:cNvSpPr txBox="1"/>
                    <wps:spPr>
                      <a:xfrm>
                        <a:off x="0" y="0"/>
                        <a:ext cx="622935" cy="204470"/>
                      </a:xfrm>
                      <a:prstGeom prst="rect">
                        <a:avLst/>
                      </a:prstGeom>
                      <a:noFill/>
                      <a:ln>
                        <a:noFill/>
                      </a:ln>
                    </wps:spPr>
                    <wps:txbx>
                      <w:txbxContent>
                        <w:p w14:paraId="7660AD8D">
                          <w:pPr>
                            <w:pStyle w:val="9"/>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Text Box 5" o:spid="_x0000_s1026" o:spt="202" type="#_x0000_t202" style="position:absolute;left:0pt;margin-top:0pt;height:16.1pt;width:49.05pt;mso-position-horizontal:outside;mso-position-horizontal-relative:margin;mso-wrap-style:none;z-index:251659264;mso-width-relative:page;mso-height-relative:page;" filled="f" stroked="f" coordsize="21600,21600" o:gfxdata="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&#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WDyM0QAAAAMBAAAPAAAAAAAAAAEAIAAAACIAAABk&#10;cnMvZG93bnJldi54bWxQSwECFAAUAAAACACHTuJAs3Wnl9QBAAC7AwAADgAAAAAAAAABACAAAAAg&#10;AQAAZHJzL2Uyb0RvYy54bWxQSwUGAAAAAAYABgBZAQAAZgUAAAAA&#10;">
              <v:fill on="f" focussize="0,0"/>
              <v:stroke on="f"/>
              <v:imagedata o:title=""/>
              <o:lock v:ext="edit" aspectratio="f"/>
              <v:textbox inset="0mm,0mm,0mm,0mm" style="mso-fit-shape-to-text:t;">
                <w:txbxContent>
                  <w:p w14:paraId="7660AD8D">
                    <w:pPr>
                      <w:pStyle w:val="9"/>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7BAE2">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F47BF43">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3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Il2nVzpAQAA&#10;ygMAAA4AAAAAAAAAAQAgAAAAHgEAAGRycy9lMm9Eb2MueG1sUEsFBgAAAAAGAAYAWQEAAHkFAAAA&#10;AA==&#10;">
              <v:fill on="f" focussize="0,0"/>
              <v:stroke on="f"/>
              <v:imagedata o:title=""/>
              <o:lock v:ext="edit" aspectratio="f"/>
              <v:textbox inset="0mm,0mm,0mm,0mm" style="mso-fit-shape-to-text:t;">
                <w:txbxContent>
                  <w:p w14:paraId="7F47BF43">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754C1">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AF4B9">
    <w:pPr>
      <w:pStyle w:val="10"/>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645E5"/>
    <w:multiLevelType w:val="singleLevel"/>
    <w:tmpl w:val="9FA645E5"/>
    <w:lvl w:ilvl="0" w:tentative="0">
      <w:start w:val="4"/>
      <w:numFmt w:val="chineseCounting"/>
      <w:suff w:val="space"/>
      <w:lvlText w:val="第%1章"/>
      <w:lvlJc w:val="left"/>
      <w:rPr>
        <w:rFonts w:hint="eastAsia"/>
      </w:rPr>
    </w:lvl>
  </w:abstractNum>
  <w:abstractNum w:abstractNumId="1">
    <w:nsid w:val="CEFAC8E1"/>
    <w:multiLevelType w:val="singleLevel"/>
    <w:tmpl w:val="CEFAC8E1"/>
    <w:lvl w:ilvl="0" w:tentative="0">
      <w:start w:val="1"/>
      <w:numFmt w:val="chineseCounting"/>
      <w:suff w:val="space"/>
      <w:lvlText w:val="第%1章"/>
      <w:lvlJc w:val="left"/>
      <w:rPr>
        <w:rFonts w:hint="eastAsia"/>
      </w:rPr>
    </w:lvl>
  </w:abstractNum>
  <w:abstractNum w:abstractNumId="2">
    <w:nsid w:val="E174E982"/>
    <w:multiLevelType w:val="singleLevel"/>
    <w:tmpl w:val="E174E982"/>
    <w:lvl w:ilvl="0" w:tentative="0">
      <w:start w:val="1"/>
      <w:numFmt w:val="chineseCounting"/>
      <w:suff w:val="nothing"/>
      <w:lvlText w:val="（%1）"/>
      <w:lvlJc w:val="left"/>
      <w:rPr>
        <w:rFonts w:hint="eastAsia"/>
      </w:rPr>
    </w:lvl>
  </w:abstractNum>
  <w:abstractNum w:abstractNumId="3">
    <w:nsid w:val="FDB67E95"/>
    <w:multiLevelType w:val="singleLevel"/>
    <w:tmpl w:val="FDB67E95"/>
    <w:lvl w:ilvl="0" w:tentative="0">
      <w:start w:val="4"/>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hyphenationZone w:val="360"/>
  <w:drawingGridHorizontalSpacing w:val="210"/>
  <w:drawingGridVerticalSpacing w:val="158"/>
  <w:displayHorizontalDrawingGridEvery w:val="1"/>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20D2A"/>
    <w:rsid w:val="00024006"/>
    <w:rsid w:val="000310D0"/>
    <w:rsid w:val="000332C3"/>
    <w:rsid w:val="000543BF"/>
    <w:rsid w:val="00056C43"/>
    <w:rsid w:val="00064356"/>
    <w:rsid w:val="000650BC"/>
    <w:rsid w:val="00074AA6"/>
    <w:rsid w:val="00075405"/>
    <w:rsid w:val="0007604C"/>
    <w:rsid w:val="00080ABC"/>
    <w:rsid w:val="00082B48"/>
    <w:rsid w:val="000848DC"/>
    <w:rsid w:val="00086F61"/>
    <w:rsid w:val="00090177"/>
    <w:rsid w:val="000958FB"/>
    <w:rsid w:val="00095A3D"/>
    <w:rsid w:val="000A2E76"/>
    <w:rsid w:val="000B6F89"/>
    <w:rsid w:val="000C12DE"/>
    <w:rsid w:val="000C1AE3"/>
    <w:rsid w:val="000D4071"/>
    <w:rsid w:val="000E4BB4"/>
    <w:rsid w:val="000F3210"/>
    <w:rsid w:val="000F369E"/>
    <w:rsid w:val="000F38E3"/>
    <w:rsid w:val="000F518C"/>
    <w:rsid w:val="000F6F50"/>
    <w:rsid w:val="000F7248"/>
    <w:rsid w:val="001011E4"/>
    <w:rsid w:val="001014C1"/>
    <w:rsid w:val="0011417A"/>
    <w:rsid w:val="001179BC"/>
    <w:rsid w:val="00122223"/>
    <w:rsid w:val="00124233"/>
    <w:rsid w:val="00143345"/>
    <w:rsid w:val="0014506C"/>
    <w:rsid w:val="001528C3"/>
    <w:rsid w:val="00157938"/>
    <w:rsid w:val="00157C4D"/>
    <w:rsid w:val="0016161B"/>
    <w:rsid w:val="0017337B"/>
    <w:rsid w:val="00173CC8"/>
    <w:rsid w:val="00183C60"/>
    <w:rsid w:val="00183E30"/>
    <w:rsid w:val="001910CE"/>
    <w:rsid w:val="00194269"/>
    <w:rsid w:val="001A3E4C"/>
    <w:rsid w:val="001A5CB6"/>
    <w:rsid w:val="001B2E7C"/>
    <w:rsid w:val="001B49F0"/>
    <w:rsid w:val="001C7F46"/>
    <w:rsid w:val="001D390D"/>
    <w:rsid w:val="001E6799"/>
    <w:rsid w:val="0021055E"/>
    <w:rsid w:val="002177BE"/>
    <w:rsid w:val="00221285"/>
    <w:rsid w:val="00224E91"/>
    <w:rsid w:val="00242EB2"/>
    <w:rsid w:val="0024545E"/>
    <w:rsid w:val="00251261"/>
    <w:rsid w:val="002513F4"/>
    <w:rsid w:val="002539DB"/>
    <w:rsid w:val="002546D9"/>
    <w:rsid w:val="0025551C"/>
    <w:rsid w:val="002718DF"/>
    <w:rsid w:val="00287AAE"/>
    <w:rsid w:val="00294BD7"/>
    <w:rsid w:val="002951A6"/>
    <w:rsid w:val="002975AC"/>
    <w:rsid w:val="002A3792"/>
    <w:rsid w:val="002C7CAD"/>
    <w:rsid w:val="002D02E5"/>
    <w:rsid w:val="002D1462"/>
    <w:rsid w:val="002E197D"/>
    <w:rsid w:val="002E22FF"/>
    <w:rsid w:val="00301927"/>
    <w:rsid w:val="00301B62"/>
    <w:rsid w:val="00310AA9"/>
    <w:rsid w:val="003172AC"/>
    <w:rsid w:val="0032056E"/>
    <w:rsid w:val="00326A0C"/>
    <w:rsid w:val="00340EAD"/>
    <w:rsid w:val="00355CA7"/>
    <w:rsid w:val="00366729"/>
    <w:rsid w:val="00375591"/>
    <w:rsid w:val="003758E4"/>
    <w:rsid w:val="00385E7E"/>
    <w:rsid w:val="00392B63"/>
    <w:rsid w:val="0039657C"/>
    <w:rsid w:val="00396CAE"/>
    <w:rsid w:val="003B364F"/>
    <w:rsid w:val="003C48E0"/>
    <w:rsid w:val="003C6B62"/>
    <w:rsid w:val="003D7A4F"/>
    <w:rsid w:val="003E2531"/>
    <w:rsid w:val="003E420D"/>
    <w:rsid w:val="003E5397"/>
    <w:rsid w:val="003F1CF8"/>
    <w:rsid w:val="003F1E2C"/>
    <w:rsid w:val="003F2513"/>
    <w:rsid w:val="003F66C8"/>
    <w:rsid w:val="00411A4B"/>
    <w:rsid w:val="00412DBE"/>
    <w:rsid w:val="00420312"/>
    <w:rsid w:val="00432939"/>
    <w:rsid w:val="00435EB9"/>
    <w:rsid w:val="00436309"/>
    <w:rsid w:val="00451939"/>
    <w:rsid w:val="0045446C"/>
    <w:rsid w:val="0046084D"/>
    <w:rsid w:val="00460B46"/>
    <w:rsid w:val="00461956"/>
    <w:rsid w:val="004652B3"/>
    <w:rsid w:val="00467301"/>
    <w:rsid w:val="00470EEC"/>
    <w:rsid w:val="00475153"/>
    <w:rsid w:val="00480D67"/>
    <w:rsid w:val="0048462D"/>
    <w:rsid w:val="00485383"/>
    <w:rsid w:val="00492057"/>
    <w:rsid w:val="00493B51"/>
    <w:rsid w:val="004B3D2A"/>
    <w:rsid w:val="004C449C"/>
    <w:rsid w:val="004C59C9"/>
    <w:rsid w:val="004D13BC"/>
    <w:rsid w:val="004D6EE5"/>
    <w:rsid w:val="004D72CB"/>
    <w:rsid w:val="004F0CAE"/>
    <w:rsid w:val="004F155E"/>
    <w:rsid w:val="00514691"/>
    <w:rsid w:val="005315A4"/>
    <w:rsid w:val="00543354"/>
    <w:rsid w:val="005530FE"/>
    <w:rsid w:val="00571856"/>
    <w:rsid w:val="005728CF"/>
    <w:rsid w:val="00576564"/>
    <w:rsid w:val="005802FA"/>
    <w:rsid w:val="00585CDF"/>
    <w:rsid w:val="0059366F"/>
    <w:rsid w:val="005A05FD"/>
    <w:rsid w:val="005A4022"/>
    <w:rsid w:val="005A45E7"/>
    <w:rsid w:val="005B5143"/>
    <w:rsid w:val="005C2387"/>
    <w:rsid w:val="005C550A"/>
    <w:rsid w:val="005D02FF"/>
    <w:rsid w:val="005D1EF7"/>
    <w:rsid w:val="005D3C02"/>
    <w:rsid w:val="005D5F9B"/>
    <w:rsid w:val="005E6BD3"/>
    <w:rsid w:val="005E7B75"/>
    <w:rsid w:val="005F0A3B"/>
    <w:rsid w:val="005F2501"/>
    <w:rsid w:val="005F2B35"/>
    <w:rsid w:val="00601A7A"/>
    <w:rsid w:val="006337F8"/>
    <w:rsid w:val="00646C4C"/>
    <w:rsid w:val="00647244"/>
    <w:rsid w:val="0066006F"/>
    <w:rsid w:val="00672C88"/>
    <w:rsid w:val="00673E4F"/>
    <w:rsid w:val="00692AB5"/>
    <w:rsid w:val="006937AE"/>
    <w:rsid w:val="006A11B1"/>
    <w:rsid w:val="006B1924"/>
    <w:rsid w:val="006D055A"/>
    <w:rsid w:val="006D70E0"/>
    <w:rsid w:val="006E68D3"/>
    <w:rsid w:val="00700D11"/>
    <w:rsid w:val="00715187"/>
    <w:rsid w:val="007236AF"/>
    <w:rsid w:val="00727900"/>
    <w:rsid w:val="00731295"/>
    <w:rsid w:val="007319E5"/>
    <w:rsid w:val="00732A3B"/>
    <w:rsid w:val="00736C57"/>
    <w:rsid w:val="00766A29"/>
    <w:rsid w:val="00780B22"/>
    <w:rsid w:val="00782B80"/>
    <w:rsid w:val="007900F7"/>
    <w:rsid w:val="007B578A"/>
    <w:rsid w:val="007B6E81"/>
    <w:rsid w:val="007B776C"/>
    <w:rsid w:val="007C330F"/>
    <w:rsid w:val="007C3DF2"/>
    <w:rsid w:val="007C7D17"/>
    <w:rsid w:val="007D5F53"/>
    <w:rsid w:val="007E5050"/>
    <w:rsid w:val="007E6699"/>
    <w:rsid w:val="008008A3"/>
    <w:rsid w:val="008011F2"/>
    <w:rsid w:val="00802E58"/>
    <w:rsid w:val="00807D66"/>
    <w:rsid w:val="008206C8"/>
    <w:rsid w:val="00824133"/>
    <w:rsid w:val="00824F7E"/>
    <w:rsid w:val="00827E39"/>
    <w:rsid w:val="00831804"/>
    <w:rsid w:val="00833F4B"/>
    <w:rsid w:val="00841148"/>
    <w:rsid w:val="00843766"/>
    <w:rsid w:val="00851578"/>
    <w:rsid w:val="00852B03"/>
    <w:rsid w:val="00871C90"/>
    <w:rsid w:val="00874932"/>
    <w:rsid w:val="0088764E"/>
    <w:rsid w:val="00894586"/>
    <w:rsid w:val="008B2639"/>
    <w:rsid w:val="008D4478"/>
    <w:rsid w:val="008E3D5E"/>
    <w:rsid w:val="008F3D02"/>
    <w:rsid w:val="008F6383"/>
    <w:rsid w:val="0090136C"/>
    <w:rsid w:val="00902B6F"/>
    <w:rsid w:val="00914BC9"/>
    <w:rsid w:val="0091512E"/>
    <w:rsid w:val="00921B71"/>
    <w:rsid w:val="009223CE"/>
    <w:rsid w:val="00924D4D"/>
    <w:rsid w:val="009274E2"/>
    <w:rsid w:val="00933C59"/>
    <w:rsid w:val="009411B9"/>
    <w:rsid w:val="0095073F"/>
    <w:rsid w:val="00957787"/>
    <w:rsid w:val="00957A9B"/>
    <w:rsid w:val="00964E62"/>
    <w:rsid w:val="009664B7"/>
    <w:rsid w:val="00971771"/>
    <w:rsid w:val="00981278"/>
    <w:rsid w:val="00990A61"/>
    <w:rsid w:val="00991840"/>
    <w:rsid w:val="00995E40"/>
    <w:rsid w:val="009A36EE"/>
    <w:rsid w:val="009A48ED"/>
    <w:rsid w:val="009B0742"/>
    <w:rsid w:val="009C5486"/>
    <w:rsid w:val="009D1A9E"/>
    <w:rsid w:val="009E086D"/>
    <w:rsid w:val="009E64BF"/>
    <w:rsid w:val="009F062D"/>
    <w:rsid w:val="009F1D81"/>
    <w:rsid w:val="009F38DA"/>
    <w:rsid w:val="009F7CAE"/>
    <w:rsid w:val="00A06A48"/>
    <w:rsid w:val="00A16656"/>
    <w:rsid w:val="00A21708"/>
    <w:rsid w:val="00A21EA2"/>
    <w:rsid w:val="00A22EA0"/>
    <w:rsid w:val="00A241EA"/>
    <w:rsid w:val="00A301F6"/>
    <w:rsid w:val="00A3236C"/>
    <w:rsid w:val="00A32D51"/>
    <w:rsid w:val="00A43BBB"/>
    <w:rsid w:val="00A469D1"/>
    <w:rsid w:val="00A4793B"/>
    <w:rsid w:val="00A50934"/>
    <w:rsid w:val="00A52EAA"/>
    <w:rsid w:val="00A55C92"/>
    <w:rsid w:val="00A56B53"/>
    <w:rsid w:val="00A56E5E"/>
    <w:rsid w:val="00A57520"/>
    <w:rsid w:val="00A62B2B"/>
    <w:rsid w:val="00A640D7"/>
    <w:rsid w:val="00A7698E"/>
    <w:rsid w:val="00A77A7C"/>
    <w:rsid w:val="00A922C5"/>
    <w:rsid w:val="00AA049C"/>
    <w:rsid w:val="00AB5361"/>
    <w:rsid w:val="00AC134C"/>
    <w:rsid w:val="00AC3DF7"/>
    <w:rsid w:val="00AC51D8"/>
    <w:rsid w:val="00AD4EEA"/>
    <w:rsid w:val="00AE0369"/>
    <w:rsid w:val="00AE4F06"/>
    <w:rsid w:val="00AE71C8"/>
    <w:rsid w:val="00AF0A05"/>
    <w:rsid w:val="00AF0B3E"/>
    <w:rsid w:val="00AF2244"/>
    <w:rsid w:val="00AF58CA"/>
    <w:rsid w:val="00AF5DE0"/>
    <w:rsid w:val="00B000BD"/>
    <w:rsid w:val="00B0207B"/>
    <w:rsid w:val="00B1275E"/>
    <w:rsid w:val="00B2484C"/>
    <w:rsid w:val="00B31F85"/>
    <w:rsid w:val="00B52205"/>
    <w:rsid w:val="00B6339F"/>
    <w:rsid w:val="00BA13CB"/>
    <w:rsid w:val="00BA4307"/>
    <w:rsid w:val="00BA52F7"/>
    <w:rsid w:val="00BB2FC6"/>
    <w:rsid w:val="00BC3BA6"/>
    <w:rsid w:val="00BD007D"/>
    <w:rsid w:val="00BD5664"/>
    <w:rsid w:val="00BD6D49"/>
    <w:rsid w:val="00BE2F0D"/>
    <w:rsid w:val="00BE532B"/>
    <w:rsid w:val="00BE797D"/>
    <w:rsid w:val="00BF1BD3"/>
    <w:rsid w:val="00BF33B8"/>
    <w:rsid w:val="00BF7728"/>
    <w:rsid w:val="00C06A55"/>
    <w:rsid w:val="00C1267B"/>
    <w:rsid w:val="00C22375"/>
    <w:rsid w:val="00C27326"/>
    <w:rsid w:val="00C2773E"/>
    <w:rsid w:val="00C32C34"/>
    <w:rsid w:val="00C355E8"/>
    <w:rsid w:val="00C44C95"/>
    <w:rsid w:val="00C4713B"/>
    <w:rsid w:val="00C50D26"/>
    <w:rsid w:val="00C52E2C"/>
    <w:rsid w:val="00C66A72"/>
    <w:rsid w:val="00C73C2A"/>
    <w:rsid w:val="00C75C33"/>
    <w:rsid w:val="00C76983"/>
    <w:rsid w:val="00C77FD8"/>
    <w:rsid w:val="00C80434"/>
    <w:rsid w:val="00C81658"/>
    <w:rsid w:val="00C85FE5"/>
    <w:rsid w:val="00C9192E"/>
    <w:rsid w:val="00C94256"/>
    <w:rsid w:val="00C95912"/>
    <w:rsid w:val="00C95C3C"/>
    <w:rsid w:val="00CA353A"/>
    <w:rsid w:val="00CA6196"/>
    <w:rsid w:val="00CC0100"/>
    <w:rsid w:val="00CC68AD"/>
    <w:rsid w:val="00CD4A58"/>
    <w:rsid w:val="00CE505D"/>
    <w:rsid w:val="00D16474"/>
    <w:rsid w:val="00D26E0D"/>
    <w:rsid w:val="00D3394E"/>
    <w:rsid w:val="00D46522"/>
    <w:rsid w:val="00D50D8A"/>
    <w:rsid w:val="00D60630"/>
    <w:rsid w:val="00D61433"/>
    <w:rsid w:val="00D62BFB"/>
    <w:rsid w:val="00D638BA"/>
    <w:rsid w:val="00D80D98"/>
    <w:rsid w:val="00DA58B3"/>
    <w:rsid w:val="00DC5977"/>
    <w:rsid w:val="00DD5BF7"/>
    <w:rsid w:val="00DE6CDC"/>
    <w:rsid w:val="00DF60A8"/>
    <w:rsid w:val="00E0750D"/>
    <w:rsid w:val="00E15FCA"/>
    <w:rsid w:val="00E16CFC"/>
    <w:rsid w:val="00E17C4D"/>
    <w:rsid w:val="00E21F7A"/>
    <w:rsid w:val="00E32D80"/>
    <w:rsid w:val="00E33C7F"/>
    <w:rsid w:val="00E34AF9"/>
    <w:rsid w:val="00E40241"/>
    <w:rsid w:val="00E4784D"/>
    <w:rsid w:val="00E66342"/>
    <w:rsid w:val="00E67D9B"/>
    <w:rsid w:val="00E724A0"/>
    <w:rsid w:val="00E76190"/>
    <w:rsid w:val="00E87771"/>
    <w:rsid w:val="00E9289F"/>
    <w:rsid w:val="00E95B2E"/>
    <w:rsid w:val="00E9621D"/>
    <w:rsid w:val="00EA24BA"/>
    <w:rsid w:val="00EC2EB8"/>
    <w:rsid w:val="00ED05A5"/>
    <w:rsid w:val="00EE269B"/>
    <w:rsid w:val="00EF4C03"/>
    <w:rsid w:val="00F028DA"/>
    <w:rsid w:val="00F03046"/>
    <w:rsid w:val="00F07C85"/>
    <w:rsid w:val="00F233D0"/>
    <w:rsid w:val="00F23782"/>
    <w:rsid w:val="00F3111F"/>
    <w:rsid w:val="00F31E23"/>
    <w:rsid w:val="00F33BCE"/>
    <w:rsid w:val="00F4571B"/>
    <w:rsid w:val="00F60DB5"/>
    <w:rsid w:val="00F62D3A"/>
    <w:rsid w:val="00F71396"/>
    <w:rsid w:val="00FA3C60"/>
    <w:rsid w:val="00FB0EA7"/>
    <w:rsid w:val="00FC6160"/>
    <w:rsid w:val="00FD12DB"/>
    <w:rsid w:val="00FD1FFE"/>
    <w:rsid w:val="00FD5E71"/>
    <w:rsid w:val="00FE46B3"/>
    <w:rsid w:val="00FF0E72"/>
    <w:rsid w:val="00FF2808"/>
    <w:rsid w:val="00FF3AC2"/>
    <w:rsid w:val="00FF3C7A"/>
    <w:rsid w:val="010630D0"/>
    <w:rsid w:val="034F6973"/>
    <w:rsid w:val="05A76B78"/>
    <w:rsid w:val="05CE6EB1"/>
    <w:rsid w:val="06982F19"/>
    <w:rsid w:val="087F6923"/>
    <w:rsid w:val="0B616901"/>
    <w:rsid w:val="0D445412"/>
    <w:rsid w:val="0EAA760A"/>
    <w:rsid w:val="16295DD9"/>
    <w:rsid w:val="19206343"/>
    <w:rsid w:val="20B56889"/>
    <w:rsid w:val="25565D1A"/>
    <w:rsid w:val="27E239F2"/>
    <w:rsid w:val="280F74E7"/>
    <w:rsid w:val="2BC00920"/>
    <w:rsid w:val="2BE01BD6"/>
    <w:rsid w:val="30B4648D"/>
    <w:rsid w:val="31E36869"/>
    <w:rsid w:val="335F56CE"/>
    <w:rsid w:val="355A3E1C"/>
    <w:rsid w:val="365A443E"/>
    <w:rsid w:val="373B525E"/>
    <w:rsid w:val="38FB5317"/>
    <w:rsid w:val="39B76556"/>
    <w:rsid w:val="3ACBA423"/>
    <w:rsid w:val="3B378168"/>
    <w:rsid w:val="3C730A48"/>
    <w:rsid w:val="3F444975"/>
    <w:rsid w:val="3F814D97"/>
    <w:rsid w:val="409A21BD"/>
    <w:rsid w:val="40C44895"/>
    <w:rsid w:val="44685444"/>
    <w:rsid w:val="448F25B4"/>
    <w:rsid w:val="49051EC1"/>
    <w:rsid w:val="49BF6941"/>
    <w:rsid w:val="4AEB42B2"/>
    <w:rsid w:val="4B0A3EDB"/>
    <w:rsid w:val="4D981343"/>
    <w:rsid w:val="4E80705D"/>
    <w:rsid w:val="4F9F7D77"/>
    <w:rsid w:val="526BFAD4"/>
    <w:rsid w:val="55625F0C"/>
    <w:rsid w:val="55F51A69"/>
    <w:rsid w:val="5AF35FEF"/>
    <w:rsid w:val="5BDF3788"/>
    <w:rsid w:val="5C7BD6DA"/>
    <w:rsid w:val="5CA5570E"/>
    <w:rsid w:val="5CC44C22"/>
    <w:rsid w:val="5D1E7563"/>
    <w:rsid w:val="5E7F32B2"/>
    <w:rsid w:val="6097591A"/>
    <w:rsid w:val="63317BAB"/>
    <w:rsid w:val="642971E3"/>
    <w:rsid w:val="65081EF0"/>
    <w:rsid w:val="66C9548A"/>
    <w:rsid w:val="66DC5137"/>
    <w:rsid w:val="67EBBAEA"/>
    <w:rsid w:val="68CB0E27"/>
    <w:rsid w:val="68EF1AEA"/>
    <w:rsid w:val="6B276B11"/>
    <w:rsid w:val="6BEFCD41"/>
    <w:rsid w:val="6EE567C2"/>
    <w:rsid w:val="6FBD5DC6"/>
    <w:rsid w:val="700E0E59"/>
    <w:rsid w:val="708664A7"/>
    <w:rsid w:val="71AC61BE"/>
    <w:rsid w:val="71ED0839"/>
    <w:rsid w:val="73CC3568"/>
    <w:rsid w:val="746D3BA9"/>
    <w:rsid w:val="74F5DE31"/>
    <w:rsid w:val="75477E01"/>
    <w:rsid w:val="754CE947"/>
    <w:rsid w:val="75FBDD3A"/>
    <w:rsid w:val="76EFBFE8"/>
    <w:rsid w:val="771D4F71"/>
    <w:rsid w:val="7804098D"/>
    <w:rsid w:val="7A5B709F"/>
    <w:rsid w:val="7B0423A9"/>
    <w:rsid w:val="7B672258"/>
    <w:rsid w:val="7B853083"/>
    <w:rsid w:val="7BCC0671"/>
    <w:rsid w:val="7D766EB8"/>
    <w:rsid w:val="7DE611AF"/>
    <w:rsid w:val="7E195214"/>
    <w:rsid w:val="7EE718D5"/>
    <w:rsid w:val="7F7FB280"/>
    <w:rsid w:val="7FDCEE19"/>
    <w:rsid w:val="7FFB6C78"/>
    <w:rsid w:val="7FFD8599"/>
    <w:rsid w:val="97FE47F4"/>
    <w:rsid w:val="9ABD1389"/>
    <w:rsid w:val="A5BBA65B"/>
    <w:rsid w:val="AC9F28CF"/>
    <w:rsid w:val="AFDD2337"/>
    <w:rsid w:val="B7550E35"/>
    <w:rsid w:val="BCFE33B5"/>
    <w:rsid w:val="BDD42B31"/>
    <w:rsid w:val="BE7FEB03"/>
    <w:rsid w:val="BF7B0C10"/>
    <w:rsid w:val="BFDBA9D2"/>
    <w:rsid w:val="CBFF75BF"/>
    <w:rsid w:val="CCDB3AC2"/>
    <w:rsid w:val="CF778927"/>
    <w:rsid w:val="D5E7005E"/>
    <w:rsid w:val="D8F7CD20"/>
    <w:rsid w:val="DF7BF632"/>
    <w:rsid w:val="DFDBF448"/>
    <w:rsid w:val="DFFF8725"/>
    <w:rsid w:val="E3DF7FC2"/>
    <w:rsid w:val="E5BBE460"/>
    <w:rsid w:val="E7AB668E"/>
    <w:rsid w:val="EAF2E433"/>
    <w:rsid w:val="EF7DDA66"/>
    <w:rsid w:val="EFCFDEDE"/>
    <w:rsid w:val="EFF5F5C6"/>
    <w:rsid w:val="F2FBCD9C"/>
    <w:rsid w:val="F3ECAB88"/>
    <w:rsid w:val="F3F6A645"/>
    <w:rsid w:val="F76AA324"/>
    <w:rsid w:val="F8B58E7C"/>
    <w:rsid w:val="FBEBEF67"/>
    <w:rsid w:val="FDF3861D"/>
    <w:rsid w:val="FF3F8DFA"/>
    <w:rsid w:val="FFD3ADA4"/>
    <w:rsid w:val="FFEE1F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578" w:lineRule="exact"/>
      <w:ind w:firstLine="420" w:firstLineChars="200"/>
      <w:outlineLvl w:val="0"/>
    </w:pPr>
    <w:rPr>
      <w:rFonts w:eastAsia="黑体"/>
      <w:b/>
      <w:kern w:val="44"/>
    </w:rPr>
  </w:style>
  <w:style w:type="character" w:default="1" w:styleId="15">
    <w:name w:val="Default Paragraph Font"/>
    <w:unhideWhenUsed/>
    <w:qFormat/>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4">
    <w:name w:val="Normal Indent"/>
    <w:basedOn w:val="1"/>
    <w:next w:val="1"/>
    <w:qFormat/>
    <w:uiPriority w:val="99"/>
    <w:pPr>
      <w:ind w:firstLine="420" w:firstLineChars="200"/>
    </w:pPr>
    <w:rPr>
      <w:rFonts w:cs="Calibri"/>
      <w:szCs w:val="21"/>
    </w:rPr>
  </w:style>
  <w:style w:type="paragraph" w:styleId="5">
    <w:name w:val="Body Text"/>
    <w:basedOn w:val="1"/>
    <w:next w:val="6"/>
    <w:qFormat/>
    <w:uiPriority w:val="0"/>
    <w:pPr>
      <w:spacing w:after="120" w:afterLines="0" w:afterAutospacing="0"/>
    </w:pPr>
  </w:style>
  <w:style w:type="paragraph" w:styleId="6">
    <w:name w:val="Title"/>
    <w:basedOn w:val="1"/>
    <w:next w:val="1"/>
    <w:qFormat/>
    <w:uiPriority w:val="0"/>
    <w:pPr>
      <w:widowControl/>
      <w:spacing w:line="590" w:lineRule="exact"/>
      <w:jc w:val="center"/>
      <w:outlineLvl w:val="0"/>
    </w:pPr>
    <w:rPr>
      <w:rFonts w:ascii="Cambria" w:hAnsi="Cambria" w:eastAsia="方正黑体_GBK" w:cs="宋体"/>
      <w:kern w:val="0"/>
      <w:sz w:val="32"/>
      <w:szCs w:val="32"/>
    </w:rPr>
  </w:style>
  <w:style w:type="paragraph" w:styleId="7">
    <w:name w:val="Date"/>
    <w:basedOn w:val="1"/>
    <w:next w:val="1"/>
    <w:link w:val="17"/>
    <w:unhideWhenUsed/>
    <w:qFormat/>
    <w:uiPriority w:val="0"/>
    <w:pPr>
      <w:ind w:left="100" w:leftChars="2500"/>
    </w:pPr>
  </w:style>
  <w:style w:type="paragraph" w:styleId="8">
    <w:name w:val="Balloon Text"/>
    <w:basedOn w:val="1"/>
    <w:link w:val="18"/>
    <w:qFormat/>
    <w:uiPriority w:val="0"/>
    <w:rPr>
      <w:sz w:val="18"/>
      <w:szCs w:val="18"/>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59"/>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character" w:customStyle="1" w:styleId="17">
    <w:name w:val="日期 Char"/>
    <w:link w:val="7"/>
    <w:semiHidden/>
    <w:qFormat/>
    <w:uiPriority w:val="0"/>
    <w:rPr>
      <w:kern w:val="2"/>
      <w:sz w:val="21"/>
      <w:szCs w:val="22"/>
    </w:rPr>
  </w:style>
  <w:style w:type="character" w:customStyle="1" w:styleId="18">
    <w:name w:val="批注框文本 Char"/>
    <w:link w:val="8"/>
    <w:qFormat/>
    <w:uiPriority w:val="0"/>
    <w:rPr>
      <w:kern w:val="2"/>
      <w:sz w:val="18"/>
      <w:szCs w:val="18"/>
    </w:rPr>
  </w:style>
  <w:style w:type="character" w:customStyle="1" w:styleId="19">
    <w:name w:val="页脚 Char"/>
    <w:link w:val="9"/>
    <w:qFormat/>
    <w:uiPriority w:val="99"/>
    <w:rPr>
      <w:kern w:val="2"/>
      <w:sz w:val="18"/>
      <w:szCs w:val="18"/>
    </w:rPr>
  </w:style>
  <w:style w:type="character" w:customStyle="1" w:styleId="20">
    <w:name w:val="页眉 Char"/>
    <w:link w:val="10"/>
    <w:qFormat/>
    <w:uiPriority w:val="99"/>
    <w:rPr>
      <w:kern w:val="2"/>
      <w:sz w:val="18"/>
      <w:szCs w:val="18"/>
    </w:rPr>
  </w:style>
  <w:style w:type="paragraph" w:customStyle="1" w:styleId="21">
    <w:name w:val="et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2">
    <w:name w:val="正文内容"/>
    <w:basedOn w:val="1"/>
    <w:qFormat/>
    <w:uiPriority w:val="0"/>
    <w:pPr>
      <w:keepNext w:val="0"/>
      <w:keepLines w:val="0"/>
      <w:widowControl/>
      <w:suppressLineNumbers w:val="0"/>
      <w:spacing w:before="0" w:beforeAutospacing="0" w:after="0" w:afterAutospacing="0" w:line="560" w:lineRule="exact"/>
      <w:ind w:left="0" w:right="0" w:firstLine="200"/>
      <w:jc w:val="both"/>
    </w:pPr>
    <w:rPr>
      <w:rFonts w:hint="default" w:ascii="Times New Roman" w:hAnsi="Times New Roman" w:eastAsia="宋体" w:cs="Times New Roman"/>
      <w:kern w:val="2"/>
      <w:sz w:val="21"/>
      <w:szCs w:val="22"/>
      <w:lang w:val="en-US" w:eastAsia="zh-CN" w:bidi="ar"/>
    </w:rPr>
  </w:style>
  <w:style w:type="paragraph" w:styleId="23">
    <w:name w:val="No Spacing"/>
    <w:qFormat/>
    <w:uiPriority w:val="99"/>
    <w:pPr>
      <w:widowControl w:val="0"/>
      <w:jc w:val="both"/>
    </w:pPr>
    <w:rPr>
      <w:rFonts w:ascii="Calibri" w:hAnsi="Calibri" w:eastAsia="宋体" w:cs="Calibri"/>
      <w:kern w:val="2"/>
      <w:sz w:val="21"/>
      <w:szCs w:val="21"/>
      <w:lang w:val="en-US" w:eastAsia="zh-CN" w:bidi="ar-SA"/>
    </w:rPr>
  </w:style>
  <w:style w:type="paragraph" w:customStyle="1" w:styleId="24">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25">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26">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27">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7CE"/>
      <w:spacing w:before="100" w:beforeAutospacing="1" w:after="100" w:afterAutospacing="1"/>
      <w:jc w:val="center"/>
    </w:pPr>
    <w:rPr>
      <w:rFonts w:ascii="宋体" w:hAnsi="宋体" w:eastAsia="宋体" w:cs="宋体"/>
      <w:color w:val="9C0006"/>
      <w:kern w:val="0"/>
      <w:sz w:val="24"/>
      <w:szCs w:val="24"/>
    </w:rPr>
  </w:style>
  <w:style w:type="paragraph" w:customStyle="1" w:styleId="28">
    <w:name w:val="正文1"/>
    <w:qFormat/>
    <w:uiPriority w:val="0"/>
    <w:pPr>
      <w:jc w:val="both"/>
    </w:pPr>
    <w:rPr>
      <w:rFonts w:cs="宋体"/>
      <w:kern w:val="2"/>
      <w:sz w:val="21"/>
      <w:szCs w:val="21"/>
      <w:lang w:val="en-US" w:eastAsia="zh-CN" w:bidi="ar-SA"/>
    </w:rPr>
  </w:style>
  <w:style w:type="paragraph" w:customStyle="1" w:styleId="29">
    <w:name w:val="纯文本1"/>
    <w:basedOn w:val="1"/>
    <w:qFormat/>
    <w:uiPriority w:val="0"/>
    <w:pPr>
      <w:textAlignment w:val="baseline"/>
    </w:pPr>
    <w:rPr>
      <w:rFonts w:hint="eastAsia" w:ascii="宋体" w:hAnsi="Courier New" w:eastAsia="宋体" w:cs="Times New Roman"/>
      <w:sz w:val="21"/>
      <w:szCs w:val="24"/>
    </w:rPr>
  </w:style>
  <w:style w:type="paragraph" w:customStyle="1" w:styleId="30">
    <w:name w:val="Default"/>
    <w:basedOn w:val="29"/>
    <w:next w:val="3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1">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2">
    <w:name w:val="et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000"/>
      <w:spacing w:before="100" w:beforeAutospacing="1" w:after="100" w:afterAutospacing="1"/>
      <w:jc w:val="center"/>
    </w:pPr>
    <w:rPr>
      <w:rFonts w:ascii="宋体" w:hAnsi="宋体" w:eastAsia="宋体" w:cs="宋体"/>
      <w:kern w:val="0"/>
      <w:sz w:val="24"/>
      <w:szCs w:val="24"/>
    </w:rPr>
  </w:style>
  <w:style w:type="paragraph" w:styleId="33">
    <w:name w:val="List Paragraph"/>
    <w:basedOn w:val="1"/>
    <w:qFormat/>
    <w:uiPriority w:val="99"/>
    <w:pPr>
      <w:ind w:firstLine="420" w:firstLineChars="200"/>
    </w:pPr>
  </w:style>
  <w:style w:type="paragraph" w:customStyle="1" w:styleId="3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Gxsti</Company>
  <Pages>11</Pages>
  <Words>3167</Words>
  <Characters>3225</Characters>
  <Lines>25</Lines>
  <Paragraphs>7</Paragraphs>
  <TotalTime>6.33333333333333</TotalTime>
  <ScaleCrop>false</ScaleCrop>
  <LinksUpToDate>false</LinksUpToDate>
  <CharactersWithSpaces>3309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2023-01-18T11:12:00Z</dcterms:created>
  <dc:creator>梁晖</dc:creator>
  <cp:lastModifiedBy>墨迹夏子</cp:lastModifiedBy>
  <cp:lastPrinted>2024-04-04T02:48:54Z</cp:lastPrinted>
  <dcterms:modified xsi:type="dcterms:W3CDTF">2026-01-30T04:22:13Z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6DF403F2A62E4DC5AB51AEE43AD9AE6C_13</vt:lpwstr>
  </property>
  <property fmtid="{D5CDD505-2E9C-101B-9397-08002B2CF9AE}" pid="4" name="KSOTemplateDocerSaveRecord">
    <vt:lpwstr>eyJoZGlkIjoiYzY5ZDFkYjAwZjNhYTM1NDBlZTczZjFiNGMyNzYxN2IiLCJ1c2VySWQiOiIzNjAwMjk3NDgifQ==</vt:lpwstr>
  </property>
</Properties>
</file>