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EBD8">
      <w:pPr>
        <w:keepNext w:val="0"/>
        <w:keepLines w:val="0"/>
        <w:pageBreakBefore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1</w:t>
      </w:r>
    </w:p>
    <w:p w14:paraId="522D7707">
      <w:pPr>
        <w:keepNext w:val="0"/>
        <w:keepLines w:val="0"/>
        <w:pageBreakBefore w:val="0"/>
        <w:shd w:val="clear" w:color="auto" w:fill="auto"/>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val="en-US" w:eastAsia="zh-CN"/>
        </w:rPr>
      </w:pPr>
    </w:p>
    <w:p w14:paraId="23B570EB">
      <w:pPr>
        <w:pStyle w:val="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3"/>
          <w:rFonts w:ascii="方正小标宋简体" w:hAnsi="方正小标宋简体" w:eastAsia="方正小标宋简体" w:cs="方正小标宋简体"/>
          <w:b w:val="0"/>
          <w:bCs/>
          <w:color w:val="0F1115"/>
          <w:sz w:val="44"/>
          <w:szCs w:val="44"/>
          <w:highlight w:val="none"/>
          <w:shd w:val="clear" w:color="auto" w:fill="FFFFFF"/>
        </w:rPr>
      </w:pPr>
      <w:r>
        <w:rPr>
          <w:rStyle w:val="13"/>
          <w:rFonts w:ascii="方正小标宋简体" w:hAnsi="方正小标宋简体" w:eastAsia="方正小标宋简体" w:cs="方正小标宋简体"/>
          <w:b w:val="0"/>
          <w:bCs/>
          <w:color w:val="0F1115"/>
          <w:sz w:val="44"/>
          <w:szCs w:val="44"/>
          <w:highlight w:val="none"/>
          <w:shd w:val="clear" w:color="auto" w:fill="FFFFFF"/>
        </w:rPr>
        <w:t>广西壮族自治区科技成果转化</w:t>
      </w:r>
    </w:p>
    <w:p w14:paraId="52700021">
      <w:pPr>
        <w:pStyle w:val="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3"/>
          <w:rFonts w:ascii="方正小标宋简体" w:hAnsi="方正小标宋简体" w:eastAsia="方正小标宋简体" w:cs="方正小标宋简体"/>
          <w:b w:val="0"/>
          <w:bCs/>
          <w:color w:val="0F1115"/>
          <w:sz w:val="44"/>
          <w:szCs w:val="44"/>
          <w:highlight w:val="none"/>
          <w:shd w:val="clear" w:color="auto" w:fill="FFFFFF"/>
        </w:rPr>
      </w:pPr>
      <w:r>
        <w:rPr>
          <w:rStyle w:val="13"/>
          <w:rFonts w:ascii="方正小标宋简体" w:hAnsi="方正小标宋简体" w:eastAsia="方正小标宋简体" w:cs="方正小标宋简体"/>
          <w:b w:val="0"/>
          <w:bCs/>
          <w:color w:val="0F1115"/>
          <w:sz w:val="44"/>
          <w:szCs w:val="44"/>
          <w:highlight w:val="none"/>
          <w:shd w:val="clear" w:color="auto" w:fill="FFFFFF"/>
        </w:rPr>
        <w:t>基地管理办法</w:t>
      </w:r>
    </w:p>
    <w:p w14:paraId="374AE8F8">
      <w:pPr>
        <w:keepNext w:val="0"/>
        <w:keepLines w:val="0"/>
        <w:pageBreakBefore w:val="0"/>
        <w:shd w:val="clear" w:color="auto" w:fill="auto"/>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bCs/>
          <w:sz w:val="32"/>
          <w:highlight w:val="none"/>
          <w:lang w:val="en-US" w:eastAsia="zh-CN" w:bidi="ar-SA"/>
        </w:rPr>
      </w:pPr>
      <w:r>
        <w:rPr>
          <w:rFonts w:hint="eastAsia" w:ascii="楷体_GB2312" w:hAnsi="楷体_GB2312" w:eastAsia="楷体_GB2312" w:cs="楷体_GB2312"/>
          <w:b/>
          <w:bCs/>
          <w:sz w:val="32"/>
          <w:highlight w:val="none"/>
          <w:lang w:val="en-US" w:eastAsia="zh-CN" w:bidi="ar-SA"/>
        </w:rPr>
        <w:t>（征求意见稿）</w:t>
      </w:r>
    </w:p>
    <w:p w14:paraId="31369BE2">
      <w:pPr>
        <w:keepNext w:val="0"/>
        <w:keepLines w:val="0"/>
        <w:pageBreakBefore w:val="0"/>
        <w:shd w:val="clear" w:color="auto" w:fill="auto"/>
        <w:kinsoku/>
        <w:wordWrap/>
        <w:overflowPunct/>
        <w:topLinePunct w:val="0"/>
        <w:autoSpaceDE/>
        <w:autoSpaceDN/>
        <w:bidi w:val="0"/>
        <w:adjustRightInd/>
        <w:snapToGrid/>
        <w:spacing w:line="580" w:lineRule="exact"/>
        <w:textAlignment w:val="auto"/>
        <w:rPr>
          <w:sz w:val="44"/>
          <w:szCs w:val="44"/>
          <w:highlight w:val="none"/>
        </w:rPr>
      </w:pPr>
    </w:p>
    <w:p w14:paraId="7D59CDA6">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3"/>
          <w:rFonts w:ascii="黑体" w:hAnsi="黑体" w:eastAsia="黑体" w:cs="黑体"/>
          <w:b w:val="0"/>
          <w:bCs/>
          <w:color w:val="0F1115"/>
          <w:sz w:val="32"/>
          <w:szCs w:val="32"/>
          <w:highlight w:val="none"/>
          <w:shd w:val="clear" w:color="auto" w:fill="FFFFFF"/>
        </w:rPr>
      </w:pPr>
      <w:r>
        <w:rPr>
          <w:rStyle w:val="13"/>
          <w:rFonts w:hint="eastAsia" w:ascii="黑体" w:hAnsi="黑体" w:eastAsia="黑体" w:cs="黑体"/>
          <w:b w:val="0"/>
          <w:bCs/>
          <w:color w:val="0F1115"/>
          <w:sz w:val="32"/>
          <w:szCs w:val="32"/>
          <w:highlight w:val="none"/>
          <w:shd w:val="clear" w:color="auto" w:fill="FFFFFF"/>
          <w:lang w:val="en-US" w:eastAsia="zh-CN"/>
        </w:rPr>
        <w:t xml:space="preserve"> </w:t>
      </w:r>
      <w:r>
        <w:rPr>
          <w:rStyle w:val="13"/>
          <w:rFonts w:ascii="黑体" w:hAnsi="黑体" w:eastAsia="黑体" w:cs="黑体"/>
          <w:b w:val="0"/>
          <w:bCs/>
          <w:color w:val="0F1115"/>
          <w:sz w:val="32"/>
          <w:szCs w:val="32"/>
          <w:highlight w:val="none"/>
          <w:shd w:val="clear" w:color="auto" w:fill="FFFFFF"/>
        </w:rPr>
        <w:t>总则</w:t>
      </w:r>
    </w:p>
    <w:p w14:paraId="765E68B8">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sz w:val="32"/>
          <w:szCs w:val="32"/>
          <w:highlight w:val="none"/>
        </w:rPr>
      </w:pPr>
    </w:p>
    <w:p w14:paraId="03DA8CB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第一条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为深入实施创新驱动发展战略，</w:t>
      </w:r>
      <w:r>
        <w:rPr>
          <w:rFonts w:hint="eastAsia" w:ascii="仿宋_GB2312" w:eastAsia="仿宋_GB2312"/>
          <w:kern w:val="0"/>
          <w:sz w:val="32"/>
          <w:szCs w:val="32"/>
          <w:highlight w:val="none"/>
        </w:rPr>
        <w:t>贯彻</w:t>
      </w:r>
      <w:r>
        <w:rPr>
          <w:rStyle w:val="13"/>
          <w:rFonts w:hint="eastAsia" w:ascii="仿宋_GB2312" w:hAnsi="仿宋_GB2312" w:eastAsia="仿宋_GB2312" w:cs="仿宋_GB2312"/>
          <w:b w:val="0"/>
          <w:bCs w:val="0"/>
          <w:sz w:val="32"/>
          <w:szCs w:val="32"/>
          <w:highlight w:val="none"/>
        </w:rPr>
        <w:t>落实自治区党委科技委员会关于科技创新平台基地建设的</w:t>
      </w:r>
      <w:r>
        <w:rPr>
          <w:rStyle w:val="13"/>
          <w:rFonts w:hint="eastAsia" w:ascii="仿宋_GB2312" w:hAnsi="仿宋_GB2312" w:eastAsia="仿宋_GB2312" w:cs="仿宋_GB2312"/>
          <w:b w:val="0"/>
          <w:bCs w:val="0"/>
          <w:color w:val="auto"/>
          <w:sz w:val="32"/>
          <w:szCs w:val="32"/>
          <w:highlight w:val="none"/>
          <w:u w:val="none"/>
        </w:rPr>
        <w:t>相关精神</w:t>
      </w:r>
      <w:r>
        <w:rPr>
          <w:rStyle w:val="13"/>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0F1115"/>
          <w:sz w:val="32"/>
          <w:szCs w:val="32"/>
          <w:highlight w:val="none"/>
          <w:shd w:val="clear" w:color="auto" w:fill="FFFFFF"/>
        </w:rPr>
        <w:t>规范并促进全区成果转化与产业化</w:t>
      </w:r>
      <w:r>
        <w:rPr>
          <w:rFonts w:hint="eastAsia" w:ascii="仿宋_GB2312" w:hAnsi="仿宋_GB2312" w:eastAsia="仿宋_GB2312" w:cs="仿宋_GB2312"/>
          <w:color w:val="0F1115"/>
          <w:sz w:val="32"/>
          <w:szCs w:val="32"/>
          <w:highlight w:val="none"/>
          <w:shd w:val="clear" w:color="auto" w:fill="FFFFFF"/>
          <w:lang w:eastAsia="zh-CN"/>
        </w:rPr>
        <w:t>类</w:t>
      </w:r>
      <w:r>
        <w:rPr>
          <w:rFonts w:hint="eastAsia" w:ascii="仿宋_GB2312" w:hAnsi="仿宋_GB2312" w:eastAsia="仿宋_GB2312" w:cs="仿宋_GB2312"/>
          <w:color w:val="0F1115"/>
          <w:sz w:val="32"/>
          <w:szCs w:val="32"/>
          <w:highlight w:val="none"/>
          <w:shd w:val="clear" w:color="auto" w:fill="FFFFFF"/>
        </w:rPr>
        <w:t>平台高质量发展，</w:t>
      </w:r>
      <w:r>
        <w:rPr>
          <w:rFonts w:hint="eastAsia" w:ascii="仿宋_GB2312" w:hAnsi="仿宋_GB2312" w:eastAsia="仿宋_GB2312" w:cs="仿宋_GB2312"/>
          <w:color w:val="0F1115"/>
          <w:sz w:val="32"/>
          <w:szCs w:val="32"/>
          <w:highlight w:val="none"/>
          <w:shd w:val="clear" w:color="auto" w:fill="FFFFFF"/>
          <w:lang w:eastAsia="zh-CN"/>
        </w:rPr>
        <w:t>加速推动</w:t>
      </w:r>
      <w:r>
        <w:rPr>
          <w:rFonts w:hint="eastAsia" w:ascii="仿宋_GB2312" w:hAnsi="仿宋_GB2312" w:eastAsia="仿宋_GB2312" w:cs="仿宋_GB2312"/>
          <w:color w:val="0F1115"/>
          <w:sz w:val="32"/>
          <w:szCs w:val="32"/>
          <w:highlight w:val="none"/>
          <w:shd w:val="clear" w:color="auto" w:fill="FFFFFF"/>
        </w:rPr>
        <w:t>先进</w:t>
      </w:r>
      <w:r>
        <w:rPr>
          <w:rFonts w:hint="eastAsia" w:ascii="仿宋_GB2312" w:hAnsi="仿宋_GB2312" w:eastAsia="仿宋_GB2312" w:cs="仿宋_GB2312"/>
          <w:color w:val="0F1115"/>
          <w:sz w:val="32"/>
          <w:szCs w:val="32"/>
          <w:highlight w:val="none"/>
          <w:shd w:val="clear" w:color="auto" w:fill="FFFFFF"/>
          <w:lang w:eastAsia="zh-CN"/>
        </w:rPr>
        <w:t>科技</w:t>
      </w:r>
      <w:r>
        <w:rPr>
          <w:rFonts w:hint="eastAsia" w:ascii="仿宋_GB2312" w:hAnsi="仿宋_GB2312" w:eastAsia="仿宋_GB2312" w:cs="仿宋_GB2312"/>
          <w:color w:val="0F1115"/>
          <w:sz w:val="32"/>
          <w:szCs w:val="32"/>
          <w:highlight w:val="none"/>
          <w:shd w:val="clear" w:color="auto" w:fill="FFFFFF"/>
        </w:rPr>
        <w:t>成果</w:t>
      </w:r>
      <w:r>
        <w:rPr>
          <w:rFonts w:hint="eastAsia" w:ascii="仿宋_GB2312" w:hAnsi="仿宋_GB2312" w:eastAsia="仿宋_GB2312" w:cs="仿宋_GB2312"/>
          <w:color w:val="0F1115"/>
          <w:sz w:val="32"/>
          <w:szCs w:val="32"/>
          <w:highlight w:val="none"/>
          <w:shd w:val="clear" w:color="auto" w:fill="FFFFFF"/>
          <w:lang w:eastAsia="zh-CN"/>
        </w:rPr>
        <w:t>落地</w:t>
      </w:r>
      <w:r>
        <w:rPr>
          <w:rFonts w:hint="eastAsia" w:ascii="仿宋_GB2312" w:hAnsi="仿宋_GB2312" w:eastAsia="仿宋_GB2312" w:cs="仿宋_GB2312"/>
          <w:color w:val="0F1115"/>
          <w:sz w:val="32"/>
          <w:szCs w:val="32"/>
          <w:highlight w:val="none"/>
          <w:shd w:val="clear" w:color="auto" w:fill="FFFFFF"/>
        </w:rPr>
        <w:t>转化，根据《广西壮族自治区科技创新条例》等规定，结合我区实际，制定本办法。</w:t>
      </w:r>
    </w:p>
    <w:p w14:paraId="52AC8C4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第二条</w:t>
      </w:r>
      <w:r>
        <w:rPr>
          <w:rStyle w:val="13"/>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本办法所称广西壮族自治区科技成果转化基地（以下简称“成果转化基地”）是自治区级成果转化与产业化类科技创新平台基地</w:t>
      </w:r>
      <w:r>
        <w:rPr>
          <w:rFonts w:hint="eastAsia" w:ascii="仿宋_GB2312" w:hAnsi="仿宋_GB2312" w:eastAsia="仿宋_GB2312" w:cs="仿宋_GB2312"/>
          <w:color w:val="0F1115"/>
          <w:sz w:val="32"/>
          <w:szCs w:val="32"/>
          <w:highlight w:val="none"/>
          <w:shd w:val="clear" w:color="auto" w:fill="FFFFFF"/>
          <w:lang w:eastAsia="zh-CN"/>
        </w:rPr>
        <w:t>，是</w:t>
      </w:r>
      <w:r>
        <w:rPr>
          <w:rFonts w:hint="eastAsia" w:ascii="仿宋_GB2312" w:hAnsi="仿宋_GB2312" w:eastAsia="仿宋_GB2312" w:cs="仿宋_GB2312"/>
          <w:color w:val="0F1115"/>
          <w:sz w:val="32"/>
          <w:szCs w:val="32"/>
          <w:highlight w:val="none"/>
          <w:shd w:val="clear" w:color="auto" w:fill="FFFFFF"/>
        </w:rPr>
        <w:t>指以打通科技成果转化“最初一公里”到“最后一公里”为核心使命，贯通创新链、产业链与资本链的专业化综合性创新创业服务平台，包括以下三类：</w:t>
      </w:r>
    </w:p>
    <w:p w14:paraId="085CED0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（一）概念验证中心：聚焦科技成果转化的前端环节，为早期科研成果提供原理验证、技术验证、产品验证及市场验证等服务，降低转化风险，提升技术成熟度和商业可行性。</w:t>
      </w:r>
    </w:p>
    <w:p w14:paraId="1354914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（二）</w:t>
      </w:r>
      <w:bookmarkStart w:id="0" w:name="OLE_LINK1"/>
      <w:r>
        <w:rPr>
          <w:rFonts w:hint="eastAsia" w:ascii="仿宋_GB2312" w:hAnsi="仿宋_GB2312" w:eastAsia="仿宋_GB2312" w:cs="仿宋_GB2312"/>
          <w:color w:val="0F1115"/>
          <w:sz w:val="32"/>
          <w:szCs w:val="32"/>
          <w:highlight w:val="none"/>
          <w:shd w:val="clear" w:color="auto" w:fill="FFFFFF"/>
        </w:rPr>
        <w:t>科技成果转化中试研究基地</w:t>
      </w:r>
      <w:bookmarkEnd w:id="0"/>
      <w:r>
        <w:rPr>
          <w:rFonts w:hint="eastAsia" w:ascii="仿宋_GB2312" w:hAnsi="仿宋_GB2312" w:eastAsia="仿宋_GB2312" w:cs="仿宋_GB2312"/>
          <w:color w:val="0F1115"/>
          <w:sz w:val="32"/>
          <w:szCs w:val="32"/>
          <w:highlight w:val="none"/>
          <w:shd w:val="clear" w:color="auto" w:fill="FFFFFF"/>
        </w:rPr>
        <w:t>（以下简称“中试基地”）：聚焦科技成果转化的中间环节，为科技成果提供样品试制、工艺验证、放大熟化、小批量试生产、产品性能检测、技术咨询服务等中试服务，打通从实验室样品到工业化产品的技术瓶颈。</w:t>
      </w:r>
    </w:p>
    <w:p w14:paraId="0D41DB5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三）科技型企业孵化器（以下简称“孵化器”）：聚焦科技成果转化的后端环节，为科技型初创企业和创业团队提供物理空间、创业辅导、投融资对接、市场拓展等全方位孵化服务，培育科技型企业，壮大创新主体。</w:t>
      </w:r>
    </w:p>
    <w:p w14:paraId="0CA68A2A">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第三条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成果转化基地的建设目标是围绕</w:t>
      </w:r>
      <w:r>
        <w:rPr>
          <w:rFonts w:hint="eastAsia" w:ascii="仿宋_GB2312" w:hAnsi="仿宋_GB2312" w:eastAsia="仿宋_GB2312" w:cs="仿宋_GB2312"/>
          <w:color w:val="0F1115"/>
          <w:sz w:val="32"/>
          <w:szCs w:val="32"/>
          <w:highlight w:val="none"/>
          <w:shd w:val="clear" w:color="auto" w:fill="FFFFFF"/>
          <w:lang w:eastAsia="zh-CN"/>
        </w:rPr>
        <w:t>打造</w:t>
      </w:r>
      <w:r>
        <w:rPr>
          <w:rFonts w:hint="eastAsia" w:ascii="仿宋_GB2312" w:hAnsi="仿宋_GB2312" w:eastAsia="仿宋_GB2312" w:cs="仿宋_GB2312"/>
          <w:color w:val="0F1115"/>
          <w:sz w:val="32"/>
          <w:szCs w:val="32"/>
          <w:highlight w:val="none"/>
          <w:shd w:val="clear" w:color="auto" w:fill="FFFFFF"/>
        </w:rPr>
        <w:t>自治区制造业十大现代化支柱产业需求，健全科技成果转化服务体系，打通“概念验证—中试熟化—企业孵化—产业培育”的创新链条，持续催生新企业、形成新业态，为发展新质生产力、</w:t>
      </w:r>
      <w:r>
        <w:rPr>
          <w:rFonts w:hint="eastAsia" w:ascii="仿宋_GB2312" w:hAnsi="仿宋_GB2312" w:eastAsia="仿宋_GB2312" w:cs="仿宋_GB2312"/>
          <w:color w:val="0F1115"/>
          <w:sz w:val="32"/>
          <w:szCs w:val="32"/>
          <w:highlight w:val="none"/>
          <w:shd w:val="clear" w:color="auto" w:fill="FFFFFF"/>
          <w:lang w:eastAsia="zh-CN"/>
        </w:rPr>
        <w:t>加快构建广西特色和优势的</w:t>
      </w:r>
      <w:r>
        <w:rPr>
          <w:rFonts w:hint="eastAsia" w:ascii="仿宋_GB2312" w:hAnsi="仿宋_GB2312" w:eastAsia="仿宋_GB2312" w:cs="仿宋_GB2312"/>
          <w:color w:val="0F1115"/>
          <w:sz w:val="32"/>
          <w:szCs w:val="32"/>
          <w:highlight w:val="none"/>
          <w:shd w:val="clear" w:color="auto" w:fill="FFFFFF"/>
        </w:rPr>
        <w:t>现代化产业体系提供有力支撑。</w:t>
      </w:r>
    </w:p>
    <w:p w14:paraId="14A0BC99">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both"/>
        <w:textAlignment w:val="auto"/>
        <w:rPr>
          <w:rStyle w:val="13"/>
          <w:rFonts w:ascii="黑体" w:hAnsi="黑体" w:eastAsia="黑体" w:cs="黑体"/>
          <w:b w:val="0"/>
          <w:bCs/>
          <w:color w:val="0F1115"/>
          <w:sz w:val="32"/>
          <w:szCs w:val="32"/>
          <w:highlight w:val="none"/>
          <w:shd w:val="clear" w:color="auto" w:fill="FFFFFF"/>
        </w:rPr>
      </w:pPr>
    </w:p>
    <w:p w14:paraId="6A81D590">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3"/>
          <w:rFonts w:ascii="黑体" w:hAnsi="黑体" w:eastAsia="黑体" w:cs="黑体"/>
          <w:b w:val="0"/>
          <w:bCs/>
          <w:color w:val="0F1115"/>
          <w:sz w:val="32"/>
          <w:szCs w:val="32"/>
          <w:highlight w:val="none"/>
          <w:shd w:val="clear" w:color="auto" w:fill="FFFFFF"/>
        </w:rPr>
      </w:pPr>
      <w:r>
        <w:rPr>
          <w:rStyle w:val="13"/>
          <w:rFonts w:ascii="黑体" w:hAnsi="黑体" w:eastAsia="黑体" w:cs="黑体"/>
          <w:b w:val="0"/>
          <w:bCs/>
          <w:color w:val="0F1115"/>
          <w:sz w:val="32"/>
          <w:szCs w:val="32"/>
          <w:highlight w:val="none"/>
          <w:shd w:val="clear" w:color="auto" w:fill="FFFFFF"/>
        </w:rPr>
        <w:t>第二章  职责</w:t>
      </w:r>
    </w:p>
    <w:p w14:paraId="3CD54EC1">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sz w:val="32"/>
          <w:szCs w:val="32"/>
          <w:highlight w:val="none"/>
        </w:rPr>
      </w:pPr>
    </w:p>
    <w:p w14:paraId="1C9A5E4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第四条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自治区科技厅是成果转化基地的牵头管理部门，主要职责是：</w:t>
      </w:r>
    </w:p>
    <w:p w14:paraId="57425F76">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（一）贯彻落实国家有关成果转化平台建设与管理的政策措施。</w:t>
      </w:r>
    </w:p>
    <w:p w14:paraId="574791B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（二）研究制定成果转化基地的发展政策、管理办法和工作规程。</w:t>
      </w:r>
    </w:p>
    <w:p w14:paraId="387B4001">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（三）编制和组织实施成果转化基地的建设计划，指导全区成果转化基地的建设与管理工作。</w:t>
      </w:r>
    </w:p>
    <w:p w14:paraId="4554271E">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（四）负责组织成果转化基地的申报认定、年度报告、绩效评价、调整撤销等工作。</w:t>
      </w:r>
    </w:p>
    <w:p w14:paraId="010CE071">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rPr>
      </w:pPr>
      <w:r>
        <w:rPr>
          <w:rFonts w:hint="eastAsia" w:ascii="仿宋_GB2312" w:hAnsi="仿宋_GB2312" w:eastAsia="仿宋_GB2312" w:cs="仿宋_GB2312"/>
          <w:color w:val="0F1115"/>
          <w:sz w:val="32"/>
          <w:szCs w:val="32"/>
          <w:highlight w:val="none"/>
          <w:shd w:val="clear" w:color="auto" w:fill="FFFFFF"/>
        </w:rPr>
        <w:t>（五）对全区成果转化基地管理工作进行常态化监督。</w:t>
      </w:r>
    </w:p>
    <w:p w14:paraId="593A202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第五条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lang w:eastAsia="zh-CN"/>
        </w:rPr>
        <w:t>自治区相关</w:t>
      </w:r>
      <w:r>
        <w:rPr>
          <w:rFonts w:hint="eastAsia" w:ascii="仿宋_GB2312" w:hAnsi="仿宋_GB2312" w:eastAsia="仿宋_GB2312" w:cs="仿宋_GB2312"/>
          <w:color w:val="0F1115"/>
          <w:sz w:val="32"/>
          <w:szCs w:val="32"/>
          <w:highlight w:val="none"/>
          <w:shd w:val="clear" w:color="auto" w:fill="FFFFFF"/>
        </w:rPr>
        <w:t>部门</w:t>
      </w:r>
      <w:r>
        <w:rPr>
          <w:rFonts w:hint="eastAsia" w:ascii="仿宋_GB2312" w:hAnsi="仿宋_GB2312" w:eastAsia="仿宋_GB2312" w:cs="仿宋_GB2312"/>
          <w:color w:val="0F1115"/>
          <w:sz w:val="32"/>
          <w:szCs w:val="32"/>
          <w:highlight w:val="none"/>
          <w:shd w:val="clear" w:color="auto" w:fill="FFFFFF"/>
          <w:lang w:eastAsia="zh-CN"/>
        </w:rPr>
        <w:t>、</w:t>
      </w:r>
      <w:r>
        <w:rPr>
          <w:rFonts w:hint="eastAsia" w:ascii="仿宋_GB2312" w:hAnsi="仿宋_GB2312" w:eastAsia="仿宋_GB2312" w:cs="仿宋_GB2312"/>
          <w:color w:val="0F1115"/>
          <w:sz w:val="32"/>
          <w:szCs w:val="32"/>
          <w:highlight w:val="none"/>
          <w:shd w:val="clear" w:color="auto" w:fill="FFFFFF"/>
        </w:rPr>
        <w:t>设区市科学技术局（以下简称“市科技局”）</w:t>
      </w:r>
      <w:r>
        <w:rPr>
          <w:rFonts w:hint="eastAsia" w:ascii="仿宋_GB2312" w:hAnsi="仿宋_GB2312" w:eastAsia="仿宋_GB2312" w:cs="仿宋_GB2312"/>
          <w:color w:val="0F1115"/>
          <w:sz w:val="32"/>
          <w:szCs w:val="32"/>
          <w:highlight w:val="none"/>
          <w:shd w:val="clear" w:color="auto" w:fill="FFFFFF"/>
          <w:lang w:eastAsia="zh-CN"/>
        </w:rPr>
        <w:t>、各高新区管委会</w:t>
      </w:r>
      <w:r>
        <w:rPr>
          <w:rFonts w:hint="eastAsia" w:ascii="仿宋_GB2312" w:hAnsi="仿宋_GB2312" w:eastAsia="仿宋_GB2312" w:cs="仿宋_GB2312"/>
          <w:color w:val="0F1115"/>
          <w:sz w:val="32"/>
          <w:szCs w:val="32"/>
          <w:highlight w:val="none"/>
          <w:shd w:val="clear" w:color="auto" w:fill="FFFFFF"/>
        </w:rPr>
        <w:t>是成果转化基地的</w:t>
      </w:r>
      <w:r>
        <w:rPr>
          <w:rFonts w:hint="eastAsia" w:ascii="仿宋_GB2312" w:hAnsi="仿宋_GB2312" w:eastAsia="仿宋_GB2312" w:cs="仿宋_GB2312"/>
          <w:color w:val="0F1115"/>
          <w:sz w:val="32"/>
          <w:szCs w:val="32"/>
          <w:highlight w:val="none"/>
          <w:shd w:val="clear" w:color="auto" w:fill="FFFFFF"/>
          <w:lang w:eastAsia="zh-CN"/>
        </w:rPr>
        <w:t>主管部门</w:t>
      </w:r>
      <w:r>
        <w:rPr>
          <w:rFonts w:hint="eastAsia" w:ascii="仿宋_GB2312" w:hAnsi="仿宋_GB2312" w:eastAsia="仿宋_GB2312" w:cs="仿宋_GB2312"/>
          <w:color w:val="0F1115"/>
          <w:sz w:val="32"/>
          <w:szCs w:val="32"/>
          <w:highlight w:val="none"/>
          <w:shd w:val="clear" w:color="auto" w:fill="FFFFFF"/>
        </w:rPr>
        <w:t>，指导和支持符合条件的高等学校、科研机构、企事业单位等开展成果转化基地的申报与建设工作</w:t>
      </w:r>
      <w:r>
        <w:rPr>
          <w:rFonts w:hint="eastAsia" w:ascii="仿宋_GB2312" w:hAnsi="仿宋_GB2312" w:eastAsia="仿宋_GB2312" w:cs="仿宋_GB2312"/>
          <w:color w:val="0F1115"/>
          <w:sz w:val="32"/>
          <w:szCs w:val="32"/>
          <w:highlight w:val="none"/>
          <w:shd w:val="clear" w:color="auto" w:fill="FFFFFF"/>
          <w:lang w:eastAsia="zh-CN"/>
        </w:rPr>
        <w:t>，</w:t>
      </w:r>
      <w:r>
        <w:rPr>
          <w:rFonts w:hint="eastAsia" w:ascii="仿宋_GB2312" w:hAnsi="仿宋_GB2312" w:eastAsia="仿宋_GB2312" w:cs="仿宋_GB2312"/>
          <w:color w:val="0F1115"/>
          <w:sz w:val="32"/>
          <w:szCs w:val="32"/>
          <w:highlight w:val="none"/>
          <w:shd w:val="clear" w:color="auto" w:fill="FFFFFF"/>
        </w:rPr>
        <w:t>主要职责是：</w:t>
      </w:r>
    </w:p>
    <w:p w14:paraId="188B9E22">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（一）负责</w:t>
      </w:r>
      <w:r>
        <w:rPr>
          <w:rFonts w:hint="eastAsia" w:ascii="仿宋_GB2312" w:hAnsi="仿宋_GB2312" w:eastAsia="仿宋_GB2312" w:cs="仿宋_GB2312"/>
          <w:color w:val="0F1115"/>
          <w:sz w:val="32"/>
          <w:szCs w:val="32"/>
          <w:highlight w:val="none"/>
          <w:shd w:val="clear" w:color="auto" w:fill="FFFFFF"/>
          <w:lang w:eastAsia="zh-CN"/>
        </w:rPr>
        <w:t>本部门、本地区</w:t>
      </w:r>
      <w:r>
        <w:rPr>
          <w:rFonts w:hint="eastAsia" w:ascii="仿宋_GB2312" w:hAnsi="仿宋_GB2312" w:eastAsia="仿宋_GB2312" w:cs="仿宋_GB2312"/>
          <w:color w:val="0F1115"/>
          <w:sz w:val="32"/>
          <w:szCs w:val="32"/>
          <w:highlight w:val="none"/>
          <w:shd w:val="clear" w:color="auto" w:fill="FFFFFF"/>
        </w:rPr>
        <w:t>成果转化基地的规划和培育，结合实际制定相关政策，支持和推动所属成果转化基地的建设与发展。</w:t>
      </w:r>
    </w:p>
    <w:p w14:paraId="275783F8">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（二）组织、初审和推荐本地区成果转化基地的申报。</w:t>
      </w:r>
    </w:p>
    <w:p w14:paraId="7CB3798E">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（三）配合自治区科技厅做好本地区成果转化基地的审核认定、年度报告和绩效评价等管理工作。</w:t>
      </w:r>
    </w:p>
    <w:p w14:paraId="6D135A5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（四）对申报材料和年度报告、绩效评价材料的真实性进行审核把关。</w:t>
      </w:r>
    </w:p>
    <w:p w14:paraId="2FFE58DB">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第六条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lang w:eastAsia="zh-CN"/>
        </w:rPr>
        <w:t>依托</w:t>
      </w:r>
      <w:r>
        <w:rPr>
          <w:rFonts w:hint="eastAsia" w:ascii="仿宋_GB2312" w:hAnsi="仿宋_GB2312" w:eastAsia="仿宋_GB2312" w:cs="仿宋_GB2312"/>
          <w:color w:val="0F1115"/>
          <w:sz w:val="32"/>
          <w:szCs w:val="32"/>
          <w:highlight w:val="none"/>
          <w:shd w:val="clear" w:color="auto" w:fill="FFFFFF"/>
        </w:rPr>
        <w:t>单位是成果转化基地建设和管理的具体责任单位，主要职责是：</w:t>
      </w:r>
    </w:p>
    <w:p w14:paraId="61FF45DA">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（一）负责成果转化基地的建设、运行和管理，建立健全组织架构和运行机制。</w:t>
      </w:r>
    </w:p>
    <w:p w14:paraId="01707AA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（二）为基地的建设、运行和管理提供稳定的人、财、物等必备条件。</w:t>
      </w:r>
    </w:p>
    <w:p w14:paraId="2BEF47FA">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（三）按要求及时报告基地建设和运行过程中的重大事项变更，配合做好年度报告和绩效评价工作。</w:t>
      </w:r>
    </w:p>
    <w:p w14:paraId="55D00A28">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rPr>
      </w:pPr>
      <w:r>
        <w:rPr>
          <w:rFonts w:hint="eastAsia" w:ascii="仿宋_GB2312" w:hAnsi="仿宋_GB2312" w:eastAsia="仿宋_GB2312" w:cs="仿宋_GB2312"/>
          <w:color w:val="0F1115"/>
          <w:sz w:val="32"/>
          <w:szCs w:val="32"/>
          <w:highlight w:val="none"/>
          <w:shd w:val="clear" w:color="auto" w:fill="FFFFFF"/>
        </w:rPr>
        <w:t>（四）承担科研作风学风</w:t>
      </w:r>
      <w:r>
        <w:rPr>
          <w:rFonts w:hint="eastAsia" w:ascii="仿宋_GB2312" w:hAnsi="仿宋_GB2312" w:eastAsia="仿宋_GB2312" w:cs="仿宋_GB2312"/>
          <w:color w:val="0F1115"/>
          <w:sz w:val="32"/>
          <w:szCs w:val="32"/>
          <w:highlight w:val="none"/>
          <w:shd w:val="clear" w:color="auto" w:fill="FFFFFF"/>
          <w:lang w:eastAsia="zh-CN"/>
        </w:rPr>
        <w:t>与</w:t>
      </w:r>
      <w:r>
        <w:rPr>
          <w:rFonts w:hint="eastAsia" w:ascii="仿宋_GB2312" w:hAnsi="仿宋_GB2312" w:eastAsia="仿宋_GB2312" w:cs="仿宋_GB2312"/>
          <w:color w:val="0F1115"/>
          <w:sz w:val="32"/>
          <w:szCs w:val="32"/>
          <w:highlight w:val="none"/>
          <w:shd w:val="clear" w:color="auto" w:fill="FFFFFF"/>
        </w:rPr>
        <w:t>科研诚信</w:t>
      </w:r>
      <w:r>
        <w:rPr>
          <w:rFonts w:hint="eastAsia" w:ascii="仿宋_GB2312" w:hAnsi="仿宋_GB2312" w:eastAsia="仿宋_GB2312" w:cs="仿宋_GB2312"/>
          <w:color w:val="0F1115"/>
          <w:sz w:val="32"/>
          <w:szCs w:val="32"/>
          <w:highlight w:val="none"/>
          <w:shd w:val="clear" w:color="auto" w:fill="FFFFFF"/>
          <w:lang w:eastAsia="zh-CN"/>
        </w:rPr>
        <w:t>建设、科技伦理治理</w:t>
      </w:r>
      <w:r>
        <w:rPr>
          <w:rFonts w:hint="eastAsia" w:ascii="仿宋_GB2312" w:hAnsi="仿宋_GB2312" w:eastAsia="仿宋_GB2312" w:cs="仿宋_GB2312"/>
          <w:color w:val="0F1115"/>
          <w:sz w:val="32"/>
          <w:szCs w:val="32"/>
          <w:highlight w:val="none"/>
          <w:shd w:val="clear" w:color="auto" w:fill="FFFFFF"/>
        </w:rPr>
        <w:t>的主体责任。</w:t>
      </w:r>
    </w:p>
    <w:p w14:paraId="2B73013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第七条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共建单位是成果转化基地建设、运行和管理的协同单位，主要职责是：</w:t>
      </w:r>
    </w:p>
    <w:p w14:paraId="295A70B5">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（一）为基地建设、运行和管理提供相应的机构和人员配置，履行共建职责和义务。</w:t>
      </w:r>
    </w:p>
    <w:p w14:paraId="4019404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（二）通过资源共享等方式支持基地的建设、运行和管理。</w:t>
      </w:r>
    </w:p>
    <w:p w14:paraId="761D4EE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（三）通过仪器设备共享等形式支持成果转化基地的建设、运行和管理。</w:t>
      </w:r>
    </w:p>
    <w:p w14:paraId="59EC9006">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textAlignment w:val="auto"/>
        <w:rPr>
          <w:rStyle w:val="13"/>
          <w:rFonts w:ascii="仿宋_GB2312" w:hAnsi="仿宋_GB2312" w:eastAsia="仿宋_GB2312" w:cs="仿宋_GB2312"/>
          <w:b/>
          <w:color w:val="0F1115"/>
          <w:sz w:val="32"/>
          <w:szCs w:val="32"/>
          <w:highlight w:val="none"/>
          <w:shd w:val="clear" w:color="auto" w:fill="FFFFFF"/>
        </w:rPr>
      </w:pPr>
    </w:p>
    <w:p w14:paraId="163B1A6D">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3"/>
          <w:rFonts w:ascii="黑体" w:hAnsi="黑体" w:eastAsia="黑体" w:cs="黑体"/>
          <w:b w:val="0"/>
          <w:bCs/>
          <w:color w:val="0F1115"/>
          <w:sz w:val="32"/>
          <w:szCs w:val="32"/>
          <w:highlight w:val="none"/>
          <w:shd w:val="clear" w:color="auto" w:fill="FFFFFF"/>
        </w:rPr>
      </w:pPr>
      <w:r>
        <w:rPr>
          <w:rStyle w:val="13"/>
          <w:rFonts w:ascii="黑体" w:hAnsi="黑体" w:eastAsia="黑体" w:cs="黑体"/>
          <w:b w:val="0"/>
          <w:bCs/>
          <w:color w:val="0F1115"/>
          <w:sz w:val="32"/>
          <w:szCs w:val="32"/>
          <w:highlight w:val="none"/>
          <w:shd w:val="clear" w:color="auto" w:fill="FFFFFF"/>
        </w:rPr>
        <w:t>第三章  申报与认定</w:t>
      </w:r>
    </w:p>
    <w:p w14:paraId="6DE2F0EA">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textAlignment w:val="auto"/>
        <w:rPr>
          <w:sz w:val="32"/>
          <w:szCs w:val="32"/>
          <w:highlight w:val="none"/>
        </w:rPr>
      </w:pPr>
    </w:p>
    <w:p w14:paraId="5F5DA20D">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rPr>
      </w:pPr>
      <w:r>
        <w:rPr>
          <w:rStyle w:val="13"/>
          <w:rFonts w:hint="eastAsia" w:ascii="仿宋_GB2312" w:hAnsi="仿宋_GB2312" w:eastAsia="仿宋_GB2312" w:cs="仿宋_GB2312"/>
          <w:color w:val="0F1115"/>
          <w:sz w:val="32"/>
          <w:szCs w:val="32"/>
          <w:highlight w:val="none"/>
          <w:shd w:val="clear" w:color="auto" w:fill="FFFFFF"/>
        </w:rPr>
        <w:t>第八条</w:t>
      </w:r>
      <w:r>
        <w:rPr>
          <w:rStyle w:val="13"/>
          <w:rFonts w:hint="eastAsia" w:ascii="仿宋_GB2312" w:hAnsi="仿宋_GB2312" w:eastAsia="仿宋_GB2312" w:cs="仿宋_GB2312"/>
          <w:b w:val="0"/>
          <w:bCs/>
          <w:color w:val="0F1115"/>
          <w:sz w:val="32"/>
          <w:szCs w:val="32"/>
          <w:highlight w:val="none"/>
          <w:shd w:val="clear" w:color="auto" w:fill="FFFFFF"/>
          <w:lang w:val="en-US" w:eastAsia="zh-CN"/>
        </w:rPr>
        <w:t xml:space="preserve">  </w:t>
      </w:r>
      <w:r>
        <w:rPr>
          <w:rStyle w:val="13"/>
          <w:rFonts w:hint="eastAsia" w:ascii="仿宋_GB2312" w:hAnsi="仿宋_GB2312" w:eastAsia="仿宋_GB2312" w:cs="仿宋_GB2312"/>
          <w:b w:val="0"/>
          <w:bCs/>
          <w:color w:val="0F1115"/>
          <w:sz w:val="32"/>
          <w:szCs w:val="32"/>
          <w:highlight w:val="none"/>
          <w:shd w:val="clear" w:color="auto" w:fill="FFFFFF"/>
        </w:rPr>
        <w:t>申报成果转化基地的单位应当</w:t>
      </w:r>
      <w:r>
        <w:rPr>
          <w:rFonts w:hint="eastAsia" w:ascii="仿宋_GB2312" w:hAnsi="仿宋_GB2312" w:eastAsia="仿宋_GB2312" w:cs="仿宋_GB2312"/>
          <w:bCs/>
          <w:color w:val="0F1115"/>
          <w:sz w:val="32"/>
          <w:szCs w:val="32"/>
          <w:highlight w:val="none"/>
          <w:shd w:val="clear" w:color="auto" w:fill="FFFFFF"/>
        </w:rPr>
        <w:t>具</w:t>
      </w:r>
      <w:r>
        <w:rPr>
          <w:rFonts w:hint="eastAsia" w:ascii="仿宋_GB2312" w:hAnsi="仿宋_GB2312" w:eastAsia="仿宋_GB2312" w:cs="仿宋_GB2312"/>
          <w:color w:val="0F1115"/>
          <w:sz w:val="32"/>
          <w:szCs w:val="32"/>
          <w:highlight w:val="none"/>
          <w:shd w:val="clear" w:color="auto" w:fill="FFFFFF"/>
        </w:rPr>
        <w:t>备独立法人资格</w:t>
      </w:r>
      <w:r>
        <w:rPr>
          <w:rStyle w:val="13"/>
          <w:rFonts w:hint="eastAsia" w:ascii="仿宋_GB2312" w:hAnsi="仿宋_GB2312" w:eastAsia="仿宋_GB2312" w:cs="仿宋_GB2312"/>
          <w:b w:val="0"/>
          <w:bCs/>
          <w:color w:val="0F1115"/>
          <w:sz w:val="32"/>
          <w:szCs w:val="32"/>
          <w:highlight w:val="none"/>
          <w:shd w:val="clear" w:color="auto" w:fill="FFFFFF"/>
        </w:rPr>
        <w:t>，</w:t>
      </w:r>
      <w:r>
        <w:rPr>
          <w:rStyle w:val="13"/>
          <w:rFonts w:hint="eastAsia" w:ascii="仿宋_GB2312" w:hAnsi="仿宋_GB2312" w:eastAsia="仿宋_GB2312" w:cs="仿宋_GB2312"/>
          <w:b w:val="0"/>
          <w:bCs/>
          <w:color w:val="0F1115"/>
          <w:sz w:val="32"/>
          <w:szCs w:val="32"/>
          <w:highlight w:val="none"/>
          <w:shd w:val="clear" w:color="auto" w:fill="FFFFFF"/>
          <w:lang w:eastAsia="zh-CN"/>
        </w:rPr>
        <w:t>注册地在广西，</w:t>
      </w:r>
      <w:r>
        <w:rPr>
          <w:rFonts w:hint="eastAsia" w:ascii="仿宋_GB2312" w:hAnsi="仿宋_GB2312" w:eastAsia="仿宋_GB2312" w:cs="仿宋_GB2312"/>
          <w:color w:val="0F1115"/>
          <w:sz w:val="32"/>
          <w:szCs w:val="32"/>
          <w:highlight w:val="none"/>
          <w:shd w:val="clear" w:color="auto" w:fill="FFFFFF"/>
        </w:rPr>
        <w:t>遵守国家法律法规</w:t>
      </w:r>
      <w:r>
        <w:rPr>
          <w:rFonts w:hint="default" w:ascii="Times New Roman" w:hAnsi="Times New Roman" w:eastAsia="仿宋_GB2312" w:cs="Times New Roman"/>
          <w:color w:val="0F1115"/>
          <w:sz w:val="32"/>
          <w:szCs w:val="32"/>
          <w:highlight w:val="none"/>
          <w:shd w:val="clear" w:color="auto" w:fill="FFFFFF"/>
        </w:rPr>
        <w:t>，3年</w:t>
      </w:r>
      <w:r>
        <w:rPr>
          <w:rFonts w:hint="eastAsia" w:ascii="仿宋_GB2312" w:hAnsi="仿宋_GB2312" w:eastAsia="仿宋_GB2312" w:cs="仿宋_GB2312"/>
          <w:color w:val="0F1115"/>
          <w:sz w:val="32"/>
          <w:szCs w:val="32"/>
          <w:highlight w:val="none"/>
          <w:shd w:val="clear" w:color="auto" w:fill="FFFFFF"/>
        </w:rPr>
        <w:t>内未发生重大环保、质量和安全事故，未被列为严重失信主体，没有重大违法行为或涉嫌重大违法正在接受有关部门审查等情况。</w:t>
      </w:r>
    </w:p>
    <w:p w14:paraId="1339818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第九条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申报概念验证中心的单位应当具备以下条件：</w:t>
      </w:r>
    </w:p>
    <w:p w14:paraId="6BE1CCC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F1115"/>
          <w:sz w:val="32"/>
          <w:szCs w:val="32"/>
          <w:highlight w:val="none"/>
          <w:shd w:val="clear" w:color="auto" w:fill="FFFFFF"/>
        </w:rPr>
      </w:pPr>
      <w:r>
        <w:rPr>
          <w:rFonts w:hint="eastAsia" w:ascii="仿宋_GB2312" w:hAnsi="仿宋_GB2312" w:eastAsia="仿宋_GB2312" w:cs="仿宋_GB2312"/>
          <w:b/>
          <w:bCs/>
          <w:color w:val="0F1115"/>
          <w:sz w:val="32"/>
          <w:szCs w:val="32"/>
          <w:highlight w:val="none"/>
          <w:shd w:val="clear" w:color="auto" w:fill="FFFFFF"/>
        </w:rPr>
        <w:t>（一）</w:t>
      </w:r>
      <w:r>
        <w:rPr>
          <w:rStyle w:val="13"/>
          <w:rFonts w:hint="eastAsia" w:ascii="仿宋_GB2312" w:hAnsi="仿宋_GB2312" w:eastAsia="仿宋_GB2312" w:cs="仿宋_GB2312"/>
          <w:color w:val="0F1115"/>
          <w:sz w:val="32"/>
          <w:szCs w:val="32"/>
          <w:highlight w:val="none"/>
          <w:shd w:val="clear" w:color="auto" w:fill="FFFFFF"/>
        </w:rPr>
        <w:t>硬件条件</w:t>
      </w:r>
      <w:r>
        <w:rPr>
          <w:rFonts w:hint="eastAsia" w:ascii="仿宋_GB2312" w:hAnsi="仿宋_GB2312" w:eastAsia="仿宋_GB2312" w:cs="仿宋_GB2312"/>
          <w:color w:val="0F1115"/>
          <w:sz w:val="32"/>
          <w:szCs w:val="32"/>
          <w:highlight w:val="none"/>
          <w:shd w:val="clear" w:color="auto" w:fill="FFFFFF"/>
        </w:rPr>
        <w:t>：</w:t>
      </w:r>
      <w:r>
        <w:rPr>
          <w:rFonts w:hint="default" w:ascii="Times New Roman" w:hAnsi="Times New Roman" w:eastAsia="仿宋_GB2312" w:cs="Times New Roman"/>
          <w:color w:val="0F1115"/>
          <w:sz w:val="32"/>
          <w:szCs w:val="32"/>
          <w:highlight w:val="none"/>
          <w:shd w:val="clear" w:color="auto" w:fill="FFFFFF"/>
        </w:rPr>
        <w:t>拥有固定工作场所200平方米以上，具有完整的概念验证核心功能对应的科学仪器设备及设施条件，科研仪器设备和软件原值不低于500万元。</w:t>
      </w:r>
    </w:p>
    <w:p w14:paraId="1AFAF126">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0F1115"/>
          <w:sz w:val="32"/>
          <w:szCs w:val="32"/>
          <w:highlight w:val="none"/>
          <w:shd w:val="clear" w:color="auto" w:fill="FFFFFF"/>
        </w:rPr>
      </w:pPr>
      <w:r>
        <w:rPr>
          <w:rFonts w:hint="eastAsia" w:ascii="仿宋_GB2312" w:hAnsi="仿宋_GB2312" w:eastAsia="仿宋_GB2312" w:cs="仿宋_GB2312"/>
          <w:b/>
          <w:bCs/>
          <w:color w:val="0F1115"/>
          <w:sz w:val="32"/>
          <w:szCs w:val="32"/>
          <w:highlight w:val="none"/>
          <w:shd w:val="clear" w:color="auto" w:fill="FFFFFF"/>
        </w:rPr>
        <w:t>（二）</w:t>
      </w:r>
      <w:r>
        <w:rPr>
          <w:rStyle w:val="13"/>
          <w:rFonts w:hint="eastAsia" w:ascii="仿宋_GB2312" w:hAnsi="仿宋_GB2312" w:eastAsia="仿宋_GB2312" w:cs="仿宋_GB2312"/>
          <w:color w:val="0F1115"/>
          <w:sz w:val="32"/>
          <w:szCs w:val="32"/>
          <w:highlight w:val="none"/>
          <w:shd w:val="clear" w:color="auto" w:fill="FFFFFF"/>
        </w:rPr>
        <w:t>人才队伍</w:t>
      </w:r>
      <w:r>
        <w:rPr>
          <w:rFonts w:hint="eastAsia" w:ascii="仿宋_GB2312" w:hAnsi="仿宋_GB2312" w:eastAsia="仿宋_GB2312" w:cs="仿宋_GB2312"/>
          <w:color w:val="0F1115"/>
          <w:sz w:val="32"/>
          <w:szCs w:val="32"/>
          <w:highlight w:val="none"/>
          <w:shd w:val="clear" w:color="auto" w:fill="FFFFFF"/>
        </w:rPr>
        <w:t>：</w:t>
      </w:r>
      <w:r>
        <w:rPr>
          <w:rFonts w:hint="eastAsia" w:ascii="Times New Roman" w:hAnsi="Times New Roman" w:eastAsia="仿宋_GB2312" w:cs="Times New Roman"/>
          <w:color w:val="0F1115"/>
          <w:sz w:val="32"/>
          <w:szCs w:val="32"/>
          <w:highlight w:val="none"/>
          <w:shd w:val="clear" w:color="auto" w:fill="FFFFFF"/>
        </w:rPr>
        <w:t>拥有稳定、专业的人才队伍，从事概念验证服务的人员不少于10人，其中专职人员不少于5人；概念验证中心负责人应具有正高级职称，从事科技成果转化相关工作3年（含）以上，参与和促成的科技成果转化成功案例不少于3项。建立由学术界、产业界和投资界专家组成的概念验证服务顾问专家团队，其中外单位专家不少于5人。</w:t>
      </w:r>
    </w:p>
    <w:p w14:paraId="1ED47B8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Times New Roman"/>
          <w:color w:val="0F1115"/>
          <w:sz w:val="32"/>
          <w:szCs w:val="32"/>
          <w:highlight w:val="none"/>
          <w:shd w:val="clear" w:color="auto" w:fill="FFFFFF"/>
        </w:rPr>
      </w:pPr>
      <w:r>
        <w:rPr>
          <w:rFonts w:hint="eastAsia" w:ascii="仿宋_GB2312" w:hAnsi="仿宋_GB2312" w:eastAsia="仿宋_GB2312" w:cs="仿宋_GB2312"/>
          <w:b/>
          <w:bCs/>
          <w:color w:val="0F1115"/>
          <w:sz w:val="32"/>
          <w:szCs w:val="32"/>
          <w:highlight w:val="none"/>
          <w:shd w:val="clear" w:color="auto" w:fill="FFFFFF"/>
        </w:rPr>
        <w:t>（三）资</w:t>
      </w:r>
      <w:r>
        <w:rPr>
          <w:rStyle w:val="13"/>
          <w:rFonts w:hint="eastAsia" w:ascii="仿宋_GB2312" w:hAnsi="仿宋_GB2312" w:eastAsia="仿宋_GB2312" w:cs="仿宋_GB2312"/>
          <w:color w:val="0F1115"/>
          <w:sz w:val="32"/>
          <w:szCs w:val="32"/>
          <w:highlight w:val="none"/>
          <w:shd w:val="clear" w:color="auto" w:fill="FFFFFF"/>
        </w:rPr>
        <w:t>金保障</w:t>
      </w:r>
      <w:r>
        <w:rPr>
          <w:rFonts w:hint="eastAsia" w:ascii="仿宋_GB2312" w:hAnsi="仿宋_GB2312" w:eastAsia="仿宋_GB2312" w:cs="仿宋_GB2312"/>
          <w:color w:val="0F1115"/>
          <w:sz w:val="32"/>
          <w:szCs w:val="32"/>
          <w:highlight w:val="none"/>
          <w:shd w:val="clear" w:color="auto" w:fill="FFFFFF"/>
        </w:rPr>
        <w:t>：</w:t>
      </w:r>
      <w:r>
        <w:rPr>
          <w:rFonts w:hint="eastAsia" w:ascii="Times New Roman" w:hAnsi="Times New Roman" w:eastAsia="仿宋_GB2312" w:cs="Times New Roman"/>
          <w:color w:val="0F1115"/>
          <w:sz w:val="32"/>
          <w:szCs w:val="32"/>
          <w:highlight w:val="none"/>
          <w:shd w:val="clear" w:color="auto" w:fill="FFFFFF"/>
        </w:rPr>
        <w:t>具备开展概念验证工作的运行经费保障，单独或与其他主体合作设立来源稳定且总额不低于500万元的概念验证专项资金。</w:t>
      </w:r>
    </w:p>
    <w:p w14:paraId="3CB3F71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b/>
          <w:bCs/>
          <w:color w:val="0F1115"/>
          <w:sz w:val="32"/>
          <w:szCs w:val="32"/>
          <w:highlight w:val="none"/>
          <w:shd w:val="clear" w:color="auto" w:fill="FFFFFF"/>
        </w:rPr>
        <w:t>（四）管</w:t>
      </w:r>
      <w:r>
        <w:rPr>
          <w:rStyle w:val="13"/>
          <w:rFonts w:hint="eastAsia" w:ascii="仿宋_GB2312" w:hAnsi="仿宋_GB2312" w:eastAsia="仿宋_GB2312" w:cs="仿宋_GB2312"/>
          <w:color w:val="0F1115"/>
          <w:sz w:val="32"/>
          <w:szCs w:val="32"/>
          <w:highlight w:val="none"/>
          <w:shd w:val="clear" w:color="auto" w:fill="FFFFFF"/>
        </w:rPr>
        <w:t>理机制</w:t>
      </w:r>
      <w:r>
        <w:rPr>
          <w:rFonts w:hint="eastAsia" w:ascii="仿宋_GB2312" w:hAnsi="仿宋_GB2312" w:eastAsia="仿宋_GB2312" w:cs="仿宋_GB2312"/>
          <w:color w:val="0F1115"/>
          <w:sz w:val="32"/>
          <w:szCs w:val="32"/>
          <w:highlight w:val="none"/>
          <w:shd w:val="clear" w:color="auto" w:fill="FFFFFF"/>
        </w:rPr>
        <w:t>：具有健全的组织架构和运行管理制度，包括严格的验证项目管理体系、规范的服务流程、市场化服务与考评激励机制，以及完善的科技保密、科研诚信、科技伦理等管理规范。</w:t>
      </w:r>
    </w:p>
    <w:p w14:paraId="6F68B2BD">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申报中试基地的单位应当具备以下条件：</w:t>
      </w:r>
    </w:p>
    <w:p w14:paraId="30D0E55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（一）</w:t>
      </w:r>
      <w:r>
        <w:rPr>
          <w:rStyle w:val="13"/>
          <w:rFonts w:hint="eastAsia" w:ascii="楷体_GB2312" w:hAnsi="楷体_GB2312" w:eastAsia="楷体_GB2312" w:cs="楷体_GB2312"/>
          <w:color w:val="0F1115"/>
          <w:sz w:val="32"/>
          <w:szCs w:val="32"/>
          <w:highlight w:val="none"/>
          <w:shd w:val="clear" w:color="auto" w:fill="FFFFFF"/>
        </w:rPr>
        <w:t>硬件条件</w:t>
      </w:r>
      <w:r>
        <w:rPr>
          <w:rFonts w:hint="eastAsia" w:ascii="楷体_GB2312" w:hAnsi="楷体_GB2312" w:eastAsia="楷体_GB2312" w:cs="楷体_GB2312"/>
          <w:color w:val="0F1115"/>
          <w:sz w:val="32"/>
          <w:szCs w:val="32"/>
          <w:highlight w:val="none"/>
          <w:shd w:val="clear" w:color="auto" w:fill="FFFFFF"/>
        </w:rPr>
        <w:t>：</w:t>
      </w:r>
      <w:r>
        <w:rPr>
          <w:rFonts w:hint="eastAsia" w:ascii="Times New Roman" w:hAnsi="Times New Roman" w:eastAsia="仿宋_GB2312" w:cs="Times New Roman"/>
          <w:color w:val="0F1115"/>
          <w:sz w:val="32"/>
          <w:szCs w:val="32"/>
          <w:highlight w:val="none"/>
          <w:shd w:val="clear" w:color="auto" w:fill="FFFFFF"/>
        </w:rPr>
        <w:t>拥有本行业必要的通用计量、检测仪器及常规实验设备，有承担行业综合性中间试验任务必需的专用设备、场地及配套设施。中试生产线设备、中试生产过程质量控制检测和产品性能检测设备总原价值不低于1000万元。</w:t>
      </w:r>
    </w:p>
    <w:p w14:paraId="54BA75E1">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楷体_GB2312" w:hAnsi="楷体_GB2312" w:eastAsia="楷体_GB2312" w:cs="楷体_GB2312"/>
          <w:b/>
          <w:bCs w:val="0"/>
          <w:color w:val="0F1115"/>
          <w:sz w:val="32"/>
          <w:szCs w:val="32"/>
          <w:highlight w:val="none"/>
          <w:shd w:val="clear" w:color="auto" w:fill="FFFFFF"/>
        </w:rPr>
        <w:t>（二）人</w:t>
      </w:r>
      <w:r>
        <w:rPr>
          <w:rStyle w:val="13"/>
          <w:rFonts w:hint="eastAsia" w:ascii="楷体_GB2312" w:hAnsi="楷体_GB2312" w:eastAsia="楷体_GB2312" w:cs="楷体_GB2312"/>
          <w:color w:val="0F1115"/>
          <w:sz w:val="32"/>
          <w:szCs w:val="32"/>
          <w:highlight w:val="none"/>
          <w:shd w:val="clear" w:color="auto" w:fill="FFFFFF"/>
        </w:rPr>
        <w:t>才队伍</w:t>
      </w:r>
      <w:r>
        <w:rPr>
          <w:rFonts w:hint="eastAsia" w:ascii="楷体_GB2312" w:hAnsi="楷体_GB2312" w:eastAsia="楷体_GB2312" w:cs="楷体_GB2312"/>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拥有服务能力较强的专业技术人才队伍，技术团队人</w:t>
      </w:r>
      <w:r>
        <w:rPr>
          <w:rFonts w:hint="default" w:ascii="Times New Roman" w:hAnsi="Times New Roman" w:eastAsia="仿宋_GB2312" w:cs="Times New Roman"/>
          <w:color w:val="0F1115"/>
          <w:sz w:val="32"/>
          <w:szCs w:val="32"/>
          <w:highlight w:val="none"/>
          <w:shd w:val="clear" w:color="auto" w:fill="FFFFFF"/>
        </w:rPr>
        <w:t>员不少于10人，其中具有硕士研究生（含）以上学历或中级（含）以上职称的科技人员不低于技术团队人员总数的50%。技术人员对相</w:t>
      </w:r>
      <w:r>
        <w:rPr>
          <w:rFonts w:hint="eastAsia" w:ascii="仿宋_GB2312" w:hAnsi="仿宋_GB2312" w:eastAsia="仿宋_GB2312" w:cs="仿宋_GB2312"/>
          <w:color w:val="0F1115"/>
          <w:sz w:val="32"/>
          <w:szCs w:val="32"/>
          <w:highlight w:val="none"/>
          <w:shd w:val="clear" w:color="auto" w:fill="FFFFFF"/>
        </w:rPr>
        <w:t>关领域中试研究工作熟悉，能组织制定和执行科学合理的中试研究方案</w:t>
      </w:r>
      <w:r>
        <w:rPr>
          <w:rFonts w:hint="eastAsia" w:ascii="仿宋_GB2312" w:hAnsi="仿宋_GB2312" w:eastAsia="仿宋_GB2312" w:cs="仿宋_GB2312"/>
          <w:color w:val="0F1115"/>
          <w:sz w:val="32"/>
          <w:szCs w:val="32"/>
          <w:highlight w:val="none"/>
          <w:shd w:val="clear" w:color="auto" w:fill="FFFFFF"/>
          <w:lang w:eastAsia="zh-CN"/>
        </w:rPr>
        <w:t>、工艺</w:t>
      </w:r>
      <w:r>
        <w:rPr>
          <w:rFonts w:hint="eastAsia" w:ascii="仿宋_GB2312" w:hAnsi="仿宋_GB2312" w:eastAsia="仿宋_GB2312" w:cs="仿宋_GB2312"/>
          <w:color w:val="0F1115"/>
          <w:sz w:val="32"/>
          <w:szCs w:val="32"/>
          <w:highlight w:val="none"/>
          <w:shd w:val="clear" w:color="auto" w:fill="FFFFFF"/>
        </w:rPr>
        <w:t>规程</w:t>
      </w:r>
      <w:r>
        <w:rPr>
          <w:rFonts w:hint="eastAsia" w:ascii="仿宋_GB2312" w:hAnsi="仿宋_GB2312" w:eastAsia="仿宋_GB2312" w:cs="仿宋_GB2312"/>
          <w:color w:val="0F1115"/>
          <w:sz w:val="32"/>
          <w:szCs w:val="32"/>
          <w:highlight w:val="none"/>
          <w:shd w:val="clear" w:color="auto" w:fill="FFFFFF"/>
          <w:lang w:eastAsia="zh-CN"/>
        </w:rPr>
        <w:t>和质量控制措施</w:t>
      </w:r>
      <w:r>
        <w:rPr>
          <w:rFonts w:hint="eastAsia" w:ascii="仿宋_GB2312" w:hAnsi="仿宋_GB2312" w:eastAsia="仿宋_GB2312" w:cs="仿宋_GB2312"/>
          <w:color w:val="0F1115"/>
          <w:sz w:val="32"/>
          <w:szCs w:val="32"/>
          <w:highlight w:val="none"/>
          <w:shd w:val="clear" w:color="auto" w:fill="FFFFFF"/>
        </w:rPr>
        <w:t>。</w:t>
      </w:r>
    </w:p>
    <w:p w14:paraId="7210BEC7">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（三）</w:t>
      </w:r>
      <w:r>
        <w:rPr>
          <w:rFonts w:hint="eastAsia" w:ascii="楷体_GB2312" w:hAnsi="楷体_GB2312" w:eastAsia="楷体_GB2312" w:cs="楷体_GB2312"/>
          <w:b/>
          <w:bCs/>
          <w:color w:val="0F1115"/>
          <w:sz w:val="32"/>
          <w:szCs w:val="32"/>
          <w:highlight w:val="none"/>
          <w:shd w:val="clear" w:color="auto" w:fill="FFFFFF"/>
          <w:lang w:val="en-US" w:eastAsia="zh-CN"/>
        </w:rPr>
        <w:t>管理机制</w:t>
      </w:r>
      <w:r>
        <w:rPr>
          <w:rFonts w:hint="eastAsia" w:ascii="楷体_GB2312" w:hAnsi="楷体_GB2312" w:eastAsia="楷体_GB2312" w:cs="楷体_GB2312"/>
          <w:color w:val="0F1115"/>
          <w:sz w:val="32"/>
          <w:szCs w:val="32"/>
          <w:highlight w:val="none"/>
          <w:shd w:val="clear" w:color="auto" w:fill="FFFFFF"/>
          <w:lang w:val="en-US" w:eastAsia="zh-CN"/>
        </w:rPr>
        <w:t>：</w:t>
      </w:r>
      <w:r>
        <w:rPr>
          <w:rFonts w:hint="eastAsia" w:ascii="仿宋_GB2312" w:hAnsi="仿宋_GB2312" w:eastAsia="仿宋_GB2312" w:cs="仿宋_GB2312"/>
          <w:color w:val="0F1115"/>
          <w:sz w:val="32"/>
          <w:szCs w:val="32"/>
          <w:highlight w:val="none"/>
          <w:shd w:val="clear" w:color="auto" w:fill="FFFFFF"/>
        </w:rPr>
        <w:t>有完善的管理制度、规范化的服务流程、明确的服务范围、合理的收费标准和较高的服务质量。中试基地应实行财务收支独立核算。</w:t>
      </w:r>
    </w:p>
    <w:p w14:paraId="25F10F3E">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lang w:val="en-US" w:eastAsia="zh-CN"/>
        </w:rPr>
      </w:pPr>
      <w:r>
        <w:rPr>
          <w:rStyle w:val="13"/>
          <w:rFonts w:hint="eastAsia" w:ascii="楷体_GB2312" w:hAnsi="楷体_GB2312" w:eastAsia="楷体_GB2312" w:cs="楷体_GB2312"/>
          <w:color w:val="0F1115"/>
          <w:sz w:val="32"/>
          <w:szCs w:val="32"/>
          <w:highlight w:val="none"/>
          <w:shd w:val="clear" w:color="auto" w:fill="FFFFFF"/>
          <w:lang w:eastAsia="zh-CN"/>
        </w:rPr>
        <w:t>（四）</w:t>
      </w:r>
      <w:r>
        <w:rPr>
          <w:rStyle w:val="13"/>
          <w:rFonts w:hint="eastAsia" w:ascii="楷体_GB2312" w:hAnsi="楷体_GB2312" w:eastAsia="楷体_GB2312" w:cs="楷体_GB2312"/>
          <w:color w:val="0F1115"/>
          <w:sz w:val="32"/>
          <w:szCs w:val="32"/>
          <w:highlight w:val="none"/>
          <w:shd w:val="clear" w:color="auto" w:fill="FFFFFF"/>
        </w:rPr>
        <w:t>开放服务</w:t>
      </w:r>
      <w:r>
        <w:rPr>
          <w:rFonts w:hint="eastAsia" w:ascii="楷体_GB2312" w:hAnsi="楷体_GB2312" w:eastAsia="楷体_GB2312" w:cs="楷体_GB2312"/>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具有对外提供开放化中试服务的</w:t>
      </w:r>
      <w:r>
        <w:rPr>
          <w:rFonts w:hint="eastAsia" w:ascii="仿宋_GB2312" w:hAnsi="仿宋_GB2312" w:eastAsia="仿宋_GB2312" w:cs="仿宋_GB2312"/>
          <w:color w:val="0F1115"/>
          <w:sz w:val="32"/>
          <w:szCs w:val="32"/>
          <w:highlight w:val="none"/>
          <w:shd w:val="clear" w:color="auto" w:fill="FFFFFF"/>
          <w:lang w:eastAsia="zh-CN"/>
        </w:rPr>
        <w:t>意愿和</w:t>
      </w:r>
      <w:r>
        <w:rPr>
          <w:rFonts w:hint="eastAsia" w:ascii="仿宋_GB2312" w:hAnsi="仿宋_GB2312" w:eastAsia="仿宋_GB2312" w:cs="仿宋_GB2312"/>
          <w:color w:val="0F1115"/>
          <w:sz w:val="32"/>
          <w:szCs w:val="32"/>
          <w:highlight w:val="none"/>
          <w:shd w:val="clear" w:color="auto" w:fill="FFFFFF"/>
        </w:rPr>
        <w:t>能力</w:t>
      </w:r>
      <w:r>
        <w:rPr>
          <w:rFonts w:hint="eastAsia" w:ascii="仿宋_GB2312" w:hAnsi="仿宋_GB2312" w:eastAsia="仿宋_GB2312" w:cs="仿宋_GB2312"/>
          <w:color w:val="0F1115"/>
          <w:sz w:val="32"/>
          <w:szCs w:val="32"/>
          <w:highlight w:val="none"/>
          <w:shd w:val="clear" w:color="auto" w:fill="FFFFFF"/>
          <w:lang w:eastAsia="zh-CN"/>
        </w:rPr>
        <w:t>。</w:t>
      </w:r>
    </w:p>
    <w:p w14:paraId="55F1EB97">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第十一条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申报孵化器的单位应当具备以下条件：</w:t>
      </w:r>
    </w:p>
    <w:p w14:paraId="4AE981E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（一）</w:t>
      </w:r>
      <w:r>
        <w:rPr>
          <w:rStyle w:val="13"/>
          <w:rFonts w:hint="eastAsia" w:ascii="楷体_GB2312" w:hAnsi="楷体_GB2312" w:eastAsia="楷体_GB2312" w:cs="楷体_GB2312"/>
          <w:b/>
          <w:bCs/>
          <w:color w:val="0F1115"/>
          <w:sz w:val="32"/>
          <w:szCs w:val="32"/>
          <w:highlight w:val="none"/>
          <w:shd w:val="clear" w:color="auto" w:fill="FFFFFF"/>
        </w:rPr>
        <w:t>孵化场地</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具有稳定清晰的孵化场地，可自主支配（自有、租赁或协议使用）的孵化场地面积</w:t>
      </w:r>
      <w:r>
        <w:rPr>
          <w:rFonts w:hint="default" w:ascii="Times New Roman" w:hAnsi="Times New Roman" w:eastAsia="仿宋_GB2312" w:cs="Times New Roman"/>
          <w:color w:val="0F1115"/>
          <w:sz w:val="32"/>
          <w:szCs w:val="32"/>
          <w:highlight w:val="none"/>
          <w:shd w:val="clear" w:color="auto" w:fill="FFFFFF"/>
        </w:rPr>
        <w:t>不低于3000平方米。</w:t>
      </w:r>
    </w:p>
    <w:p w14:paraId="6CC0FB7D">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（二）</w:t>
      </w:r>
      <w:r>
        <w:rPr>
          <w:rStyle w:val="13"/>
          <w:rFonts w:hint="eastAsia" w:ascii="楷体_GB2312" w:hAnsi="楷体_GB2312" w:eastAsia="楷体_GB2312" w:cs="楷体_GB2312"/>
          <w:b/>
          <w:bCs/>
          <w:color w:val="0F1115"/>
          <w:sz w:val="32"/>
          <w:szCs w:val="32"/>
          <w:highlight w:val="none"/>
          <w:shd w:val="clear" w:color="auto" w:fill="FFFFFF"/>
        </w:rPr>
        <w:t>运营团队</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具备职业化运营团队，团队负责人具备相关产业背景、创业投资、企业管理等能力；配备较强的专业孵化服务人员和创业导师，专职孵化服务人员占机构总人</w:t>
      </w:r>
      <w:r>
        <w:rPr>
          <w:rFonts w:hint="default" w:ascii="Times New Roman" w:hAnsi="Times New Roman" w:eastAsia="仿宋_GB2312" w:cs="Times New Roman"/>
          <w:color w:val="0F1115"/>
          <w:sz w:val="32"/>
          <w:szCs w:val="32"/>
          <w:highlight w:val="none"/>
          <w:shd w:val="clear" w:color="auto" w:fill="FFFFFF"/>
        </w:rPr>
        <w:t>数80%以上</w:t>
      </w:r>
      <w:r>
        <w:rPr>
          <w:rFonts w:hint="eastAsia" w:ascii="仿宋_GB2312" w:hAnsi="仿宋_GB2312" w:eastAsia="仿宋_GB2312" w:cs="仿宋_GB2312"/>
          <w:color w:val="0F1115"/>
          <w:sz w:val="32"/>
          <w:szCs w:val="32"/>
          <w:highlight w:val="none"/>
          <w:shd w:val="clear" w:color="auto" w:fill="FFFFFF"/>
        </w:rPr>
        <w:t>，</w:t>
      </w:r>
      <w:r>
        <w:rPr>
          <w:rFonts w:hint="default" w:ascii="Times New Roman" w:hAnsi="Times New Roman" w:eastAsia="仿宋_GB2312" w:cs="Times New Roman"/>
          <w:color w:val="0F1115"/>
          <w:sz w:val="32"/>
          <w:szCs w:val="32"/>
          <w:highlight w:val="none"/>
          <w:shd w:val="clear" w:color="auto" w:fill="FFFFFF"/>
        </w:rPr>
        <w:t>每10家</w:t>
      </w:r>
      <w:r>
        <w:rPr>
          <w:rFonts w:hint="eastAsia" w:ascii="仿宋_GB2312" w:hAnsi="仿宋_GB2312" w:eastAsia="仿宋_GB2312" w:cs="仿宋_GB2312"/>
          <w:color w:val="0F1115"/>
          <w:sz w:val="32"/>
          <w:szCs w:val="32"/>
          <w:highlight w:val="none"/>
          <w:shd w:val="clear" w:color="auto" w:fill="FFFFFF"/>
        </w:rPr>
        <w:t>在孵企业至少配</w:t>
      </w:r>
      <w:r>
        <w:rPr>
          <w:rFonts w:hint="default" w:ascii="Times New Roman" w:hAnsi="Times New Roman" w:eastAsia="仿宋_GB2312" w:cs="Times New Roman"/>
          <w:color w:val="0F1115"/>
          <w:sz w:val="32"/>
          <w:szCs w:val="32"/>
          <w:highlight w:val="none"/>
          <w:shd w:val="clear" w:color="auto" w:fill="FFFFFF"/>
        </w:rPr>
        <w:t>备1名创</w:t>
      </w:r>
      <w:r>
        <w:rPr>
          <w:rFonts w:hint="eastAsia" w:ascii="仿宋_GB2312" w:hAnsi="仿宋_GB2312" w:eastAsia="仿宋_GB2312" w:cs="仿宋_GB2312"/>
          <w:color w:val="0F1115"/>
          <w:sz w:val="32"/>
          <w:szCs w:val="32"/>
          <w:highlight w:val="none"/>
          <w:shd w:val="clear" w:color="auto" w:fill="FFFFFF"/>
        </w:rPr>
        <w:t>业导师。</w:t>
      </w:r>
    </w:p>
    <w:p w14:paraId="1C23E4D1">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（三）</w:t>
      </w:r>
      <w:r>
        <w:rPr>
          <w:rStyle w:val="13"/>
          <w:rFonts w:hint="eastAsia" w:ascii="楷体_GB2312" w:hAnsi="楷体_GB2312" w:eastAsia="楷体_GB2312" w:cs="楷体_GB2312"/>
          <w:b/>
          <w:bCs/>
          <w:color w:val="0F1115"/>
          <w:sz w:val="32"/>
          <w:szCs w:val="32"/>
          <w:highlight w:val="none"/>
          <w:shd w:val="clear" w:color="auto" w:fill="FFFFFF"/>
        </w:rPr>
        <w:t>在孵企业</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在孵企业</w:t>
      </w:r>
      <w:r>
        <w:rPr>
          <w:rFonts w:hint="default" w:ascii="Times New Roman" w:hAnsi="Times New Roman" w:eastAsia="仿宋_GB2312" w:cs="Times New Roman"/>
          <w:color w:val="0F1115"/>
          <w:sz w:val="32"/>
          <w:szCs w:val="32"/>
          <w:highlight w:val="none"/>
          <w:shd w:val="clear" w:color="auto" w:fill="FFFFFF"/>
        </w:rPr>
        <w:t>不少于20家，其中上年度新增注册企业数占比不低于15%，科技型中小企业、创新型中小企业占比不低于20%。</w:t>
      </w:r>
    </w:p>
    <w:p w14:paraId="34F2B276">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（四）</w:t>
      </w:r>
      <w:r>
        <w:rPr>
          <w:rStyle w:val="13"/>
          <w:rFonts w:hint="eastAsia" w:ascii="楷体_GB2312" w:hAnsi="楷体_GB2312" w:eastAsia="楷体_GB2312" w:cs="楷体_GB2312"/>
          <w:b/>
          <w:bCs/>
          <w:color w:val="0F1115"/>
          <w:sz w:val="32"/>
          <w:szCs w:val="32"/>
          <w:highlight w:val="none"/>
          <w:shd w:val="clear" w:color="auto" w:fill="FFFFFF"/>
        </w:rPr>
        <w:t>投融资能力</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上年度通过单独或出资合作设立的孵化资金、股权投资基金等完成股权投资且确权实缴的在孵企业占比不低于8%，或上年度获得投融资的在</w:t>
      </w:r>
      <w:r>
        <w:rPr>
          <w:rFonts w:hint="default" w:ascii="Times New Roman" w:hAnsi="Times New Roman" w:eastAsia="仿宋_GB2312" w:cs="Times New Roman"/>
          <w:color w:val="0F1115"/>
          <w:sz w:val="32"/>
          <w:szCs w:val="32"/>
          <w:highlight w:val="none"/>
          <w:shd w:val="clear" w:color="auto" w:fill="FFFFFF"/>
        </w:rPr>
        <w:t>孵企业占比不低于15%。</w:t>
      </w:r>
    </w:p>
    <w:p w14:paraId="6D7B7A9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（五）</w:t>
      </w:r>
      <w:r>
        <w:rPr>
          <w:rStyle w:val="13"/>
          <w:rFonts w:hint="eastAsia" w:ascii="楷体_GB2312" w:hAnsi="楷体_GB2312" w:eastAsia="楷体_GB2312" w:cs="楷体_GB2312"/>
          <w:b/>
          <w:bCs/>
          <w:color w:val="0F1115"/>
          <w:sz w:val="32"/>
          <w:szCs w:val="32"/>
          <w:highlight w:val="none"/>
          <w:shd w:val="clear" w:color="auto" w:fill="FFFFFF"/>
        </w:rPr>
        <w:t>企业成长性</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上年度</w:t>
      </w:r>
      <w:r>
        <w:rPr>
          <w:rFonts w:hint="default" w:ascii="Times New Roman" w:hAnsi="Times New Roman" w:eastAsia="仿宋_GB2312" w:cs="Times New Roman"/>
          <w:color w:val="0F1115"/>
          <w:sz w:val="32"/>
          <w:szCs w:val="32"/>
          <w:highlight w:val="none"/>
          <w:shd w:val="clear" w:color="auto" w:fill="FFFFFF"/>
        </w:rPr>
        <w:t>不少于20%的在</w:t>
      </w:r>
      <w:r>
        <w:rPr>
          <w:rFonts w:hint="eastAsia" w:ascii="仿宋_GB2312" w:hAnsi="仿宋_GB2312" w:eastAsia="仿宋_GB2312" w:cs="仿宋_GB2312"/>
          <w:color w:val="0F1115"/>
          <w:sz w:val="32"/>
          <w:szCs w:val="32"/>
          <w:highlight w:val="none"/>
          <w:shd w:val="clear" w:color="auto" w:fill="FFFFFF"/>
        </w:rPr>
        <w:t>孵企业营业收入或研发经费投入同比增长超过</w:t>
      </w:r>
      <w:r>
        <w:rPr>
          <w:rFonts w:hint="default" w:ascii="Times New Roman" w:hAnsi="Times New Roman" w:eastAsia="仿宋_GB2312" w:cs="Times New Roman"/>
          <w:color w:val="0F1115"/>
          <w:sz w:val="32"/>
          <w:szCs w:val="32"/>
          <w:highlight w:val="none"/>
          <w:shd w:val="clear" w:color="auto" w:fill="FFFFFF"/>
        </w:rPr>
        <w:t>10%。</w:t>
      </w:r>
    </w:p>
    <w:p w14:paraId="1EB03B33">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（六）</w:t>
      </w:r>
      <w:r>
        <w:rPr>
          <w:rStyle w:val="13"/>
          <w:rFonts w:hint="eastAsia" w:ascii="楷体_GB2312" w:hAnsi="楷体_GB2312" w:eastAsia="楷体_GB2312" w:cs="楷体_GB2312"/>
          <w:b/>
          <w:bCs/>
          <w:color w:val="0F1115"/>
          <w:sz w:val="32"/>
          <w:szCs w:val="32"/>
          <w:highlight w:val="none"/>
          <w:shd w:val="clear" w:color="auto" w:fill="FFFFFF"/>
        </w:rPr>
        <w:t>服务收入</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单独核算孵化服务收入，上年度除房租及物业之外的收入占总收入的比例</w:t>
      </w:r>
      <w:r>
        <w:rPr>
          <w:rFonts w:hint="default" w:ascii="Times New Roman" w:hAnsi="Times New Roman" w:eastAsia="仿宋_GB2312" w:cs="Times New Roman"/>
          <w:color w:val="0F1115"/>
          <w:sz w:val="32"/>
          <w:szCs w:val="32"/>
          <w:highlight w:val="none"/>
          <w:shd w:val="clear" w:color="auto" w:fill="FFFFFF"/>
        </w:rPr>
        <w:t>不低于20%。</w:t>
      </w:r>
    </w:p>
    <w:p w14:paraId="30949EE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（七）</w:t>
      </w:r>
      <w:r>
        <w:rPr>
          <w:rStyle w:val="13"/>
          <w:rFonts w:hint="eastAsia" w:ascii="楷体_GB2312" w:hAnsi="楷体_GB2312" w:eastAsia="楷体_GB2312" w:cs="楷体_GB2312"/>
          <w:b/>
          <w:bCs/>
          <w:color w:val="0F1115"/>
          <w:sz w:val="32"/>
          <w:szCs w:val="32"/>
          <w:highlight w:val="none"/>
          <w:shd w:val="clear" w:color="auto" w:fill="FFFFFF"/>
        </w:rPr>
        <w:t>孵化成效</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上年度至</w:t>
      </w:r>
      <w:r>
        <w:rPr>
          <w:rFonts w:hint="default" w:ascii="Times New Roman" w:hAnsi="Times New Roman" w:eastAsia="仿宋_GB2312" w:cs="Times New Roman"/>
          <w:color w:val="0F1115"/>
          <w:sz w:val="32"/>
          <w:szCs w:val="32"/>
          <w:highlight w:val="none"/>
          <w:shd w:val="clear" w:color="auto" w:fill="FFFFFF"/>
        </w:rPr>
        <w:t>少10%的在孵</w:t>
      </w:r>
      <w:r>
        <w:rPr>
          <w:rFonts w:hint="eastAsia" w:ascii="仿宋_GB2312" w:hAnsi="仿宋_GB2312" w:eastAsia="仿宋_GB2312" w:cs="仿宋_GB2312"/>
          <w:color w:val="0F1115"/>
          <w:sz w:val="32"/>
          <w:szCs w:val="32"/>
          <w:highlight w:val="none"/>
          <w:shd w:val="clear" w:color="auto" w:fill="FFFFFF"/>
        </w:rPr>
        <w:t>企业成为毕业企业。</w:t>
      </w:r>
    </w:p>
    <w:p w14:paraId="3127F104">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（八）</w:t>
      </w:r>
      <w:r>
        <w:rPr>
          <w:rStyle w:val="13"/>
          <w:rFonts w:hint="eastAsia" w:ascii="楷体_GB2312" w:hAnsi="楷体_GB2312" w:eastAsia="楷体_GB2312" w:cs="楷体_GB2312"/>
          <w:b/>
          <w:bCs/>
          <w:color w:val="0F1115"/>
          <w:sz w:val="32"/>
          <w:szCs w:val="32"/>
          <w:highlight w:val="none"/>
          <w:shd w:val="clear" w:color="auto" w:fill="FFFFFF"/>
        </w:rPr>
        <w:t>统计报送</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按照国家统计局批准的创新创业类服务机构统计调查制度，至少报</w:t>
      </w:r>
      <w:r>
        <w:rPr>
          <w:rFonts w:hint="default" w:ascii="Times New Roman" w:hAnsi="Times New Roman" w:eastAsia="仿宋_GB2312" w:cs="Times New Roman"/>
          <w:color w:val="0F1115"/>
          <w:sz w:val="32"/>
          <w:szCs w:val="32"/>
          <w:highlight w:val="none"/>
          <w:shd w:val="clear" w:color="auto" w:fill="FFFFFF"/>
        </w:rPr>
        <w:t>送1年统计</w:t>
      </w:r>
      <w:r>
        <w:rPr>
          <w:rFonts w:hint="eastAsia" w:ascii="仿宋_GB2312" w:hAnsi="仿宋_GB2312" w:eastAsia="仿宋_GB2312" w:cs="仿宋_GB2312"/>
          <w:color w:val="0F1115"/>
          <w:sz w:val="32"/>
          <w:szCs w:val="32"/>
          <w:highlight w:val="none"/>
          <w:shd w:val="clear" w:color="auto" w:fill="FFFFFF"/>
        </w:rPr>
        <w:t>数据。</w:t>
      </w:r>
    </w:p>
    <w:p w14:paraId="1699031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rPr>
      </w:pPr>
      <w:r>
        <w:rPr>
          <w:rStyle w:val="13"/>
          <w:rFonts w:hint="eastAsia" w:ascii="仿宋_GB2312" w:hAnsi="仿宋_GB2312" w:eastAsia="仿宋_GB2312" w:cs="仿宋_GB2312"/>
          <w:color w:val="0F1115"/>
          <w:sz w:val="32"/>
          <w:szCs w:val="32"/>
          <w:highlight w:val="none"/>
          <w:shd w:val="clear" w:color="auto" w:fill="FFFFFF"/>
        </w:rPr>
        <w:t>第十二条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本办法所称的在孵企业是指注册且实际运营在孵化器内，从事新技术新产品研发、生产和服务的被孵化企业，且符合《中小企业划型标准规定》中的小型、微型企业标准。</w:t>
      </w:r>
    </w:p>
    <w:p w14:paraId="55AA5F6B">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第十三条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本办法所称的毕业企业是指至少符合以下条件之一的在孵企业，由孵化器自主确定：</w:t>
      </w:r>
    </w:p>
    <w:p w14:paraId="3FCA97C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（一）新认定为专精特新中小企业或高新技术企业；</w:t>
      </w:r>
    </w:p>
    <w:p w14:paraId="0D038D7E">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（二）获得单笔天使投资或风险投资</w:t>
      </w:r>
      <w:r>
        <w:rPr>
          <w:rFonts w:hint="default" w:ascii="Times New Roman" w:hAnsi="Times New Roman" w:eastAsia="仿宋_GB2312" w:cs="Times New Roman"/>
          <w:color w:val="0F1115"/>
          <w:sz w:val="32"/>
          <w:szCs w:val="32"/>
          <w:highlight w:val="none"/>
          <w:shd w:val="clear" w:color="auto" w:fill="FFFFFF"/>
        </w:rPr>
        <w:t>超过200万元；</w:t>
      </w:r>
    </w:p>
    <w:p w14:paraId="0CCCFC28">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（三）连续两年营业收入累计超</w:t>
      </w:r>
      <w:r>
        <w:rPr>
          <w:rFonts w:hint="default" w:ascii="Times New Roman" w:hAnsi="Times New Roman" w:eastAsia="仿宋_GB2312" w:cs="Times New Roman"/>
          <w:color w:val="0F1115"/>
          <w:sz w:val="32"/>
          <w:szCs w:val="32"/>
          <w:highlight w:val="none"/>
          <w:shd w:val="clear" w:color="auto" w:fill="FFFFFF"/>
        </w:rPr>
        <w:t>过600万</w:t>
      </w:r>
      <w:r>
        <w:rPr>
          <w:rFonts w:hint="eastAsia" w:ascii="仿宋_GB2312" w:hAnsi="仿宋_GB2312" w:eastAsia="仿宋_GB2312" w:cs="仿宋_GB2312"/>
          <w:color w:val="0F1115"/>
          <w:sz w:val="32"/>
          <w:szCs w:val="32"/>
          <w:highlight w:val="none"/>
          <w:shd w:val="clear" w:color="auto" w:fill="FFFFFF"/>
        </w:rPr>
        <w:t>元；</w:t>
      </w:r>
    </w:p>
    <w:p w14:paraId="31F5DC9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rPr>
      </w:pPr>
      <w:r>
        <w:rPr>
          <w:rFonts w:hint="eastAsia" w:ascii="仿宋_GB2312" w:hAnsi="仿宋_GB2312" w:eastAsia="仿宋_GB2312" w:cs="仿宋_GB2312"/>
          <w:color w:val="0F1115"/>
          <w:sz w:val="32"/>
          <w:szCs w:val="32"/>
          <w:highlight w:val="none"/>
          <w:shd w:val="clear" w:color="auto" w:fill="FFFFFF"/>
        </w:rPr>
        <w:t>（四）被兼并、收购或在国内外资本市场挂牌、上市。</w:t>
      </w:r>
    </w:p>
    <w:p w14:paraId="0DE3505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638" w:leftChars="304"/>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第十四条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成果转化基地认定程序如下：</w:t>
      </w:r>
    </w:p>
    <w:p w14:paraId="1987FF8E">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楷体_GB2312" w:hAnsi="楷体_GB2312" w:eastAsia="楷体_GB2312" w:cs="楷体_GB2312"/>
          <w:b/>
          <w:bCs/>
          <w:color w:val="0F1115"/>
          <w:sz w:val="32"/>
          <w:szCs w:val="32"/>
          <w:highlight w:val="none"/>
          <w:shd w:val="clear" w:color="auto" w:fill="FFFFFF"/>
        </w:rPr>
        <w:t>（一）</w:t>
      </w:r>
      <w:r>
        <w:rPr>
          <w:rStyle w:val="13"/>
          <w:rFonts w:hint="eastAsia" w:ascii="楷体_GB2312" w:hAnsi="楷体_GB2312" w:eastAsia="楷体_GB2312" w:cs="楷体_GB2312"/>
          <w:b/>
          <w:bCs/>
          <w:color w:val="0F1115"/>
          <w:sz w:val="32"/>
          <w:szCs w:val="32"/>
          <w:highlight w:val="none"/>
          <w:shd w:val="clear" w:color="auto" w:fill="FFFFFF"/>
        </w:rPr>
        <w:t>发布通知</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自治区科技厅发布申报通知，明确申报要求。</w:t>
      </w:r>
    </w:p>
    <w:p w14:paraId="07C269D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ascii="仿宋_GB2312" w:hAnsi="仿宋_GB2312" w:eastAsia="MS Mincho" w:cs="仿宋_GB2312"/>
          <w:color w:val="0F1115"/>
          <w:sz w:val="32"/>
          <w:szCs w:val="32"/>
          <w:highlight w:val="none"/>
          <w:shd w:val="clear" w:color="auto" w:fill="FFFFFF"/>
          <w:lang w:eastAsia="ja-JP"/>
        </w:rPr>
      </w:pPr>
      <w:r>
        <w:rPr>
          <w:rFonts w:hint="eastAsia" w:ascii="楷体_GB2312" w:hAnsi="楷体_GB2312" w:eastAsia="楷体_GB2312" w:cs="楷体_GB2312"/>
          <w:b/>
          <w:bCs/>
          <w:color w:val="0F1115"/>
          <w:sz w:val="32"/>
          <w:szCs w:val="32"/>
          <w:highlight w:val="none"/>
          <w:shd w:val="clear" w:color="auto" w:fill="FFFFFF"/>
        </w:rPr>
        <w:t>（二）</w:t>
      </w:r>
      <w:r>
        <w:rPr>
          <w:rStyle w:val="13"/>
          <w:rFonts w:hint="eastAsia" w:ascii="楷体_GB2312" w:hAnsi="楷体_GB2312" w:eastAsia="楷体_GB2312" w:cs="楷体_GB2312"/>
          <w:b/>
          <w:bCs/>
          <w:color w:val="0F1115"/>
          <w:sz w:val="32"/>
          <w:szCs w:val="32"/>
          <w:highlight w:val="none"/>
          <w:shd w:val="clear" w:color="auto" w:fill="FFFFFF"/>
        </w:rPr>
        <w:t>自主申报</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依托单位向所在</w:t>
      </w:r>
      <w:r>
        <w:rPr>
          <w:rFonts w:hint="eastAsia" w:ascii="仿宋_GB2312" w:hAnsi="仿宋_GB2312" w:eastAsia="仿宋_GB2312" w:cs="仿宋_GB2312"/>
          <w:color w:val="0F1115"/>
          <w:sz w:val="32"/>
          <w:szCs w:val="32"/>
          <w:highlight w:val="none"/>
          <w:shd w:val="clear" w:color="auto" w:fill="FFFFFF"/>
          <w:lang w:eastAsia="zh-CN"/>
        </w:rPr>
        <w:t>主管部门</w:t>
      </w:r>
      <w:r>
        <w:rPr>
          <w:rFonts w:hint="eastAsia" w:ascii="仿宋_GB2312" w:hAnsi="仿宋_GB2312" w:eastAsia="仿宋_GB2312" w:cs="仿宋_GB2312"/>
          <w:color w:val="0F1115"/>
          <w:sz w:val="32"/>
          <w:szCs w:val="32"/>
          <w:highlight w:val="none"/>
          <w:shd w:val="clear" w:color="auto" w:fill="FFFFFF"/>
        </w:rPr>
        <w:t>提交申报材料，并对材料的真实性、完整性负责。</w:t>
      </w:r>
    </w:p>
    <w:p w14:paraId="7DC11DE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ascii="仿宋_GB2312" w:hAnsi="仿宋_GB2312" w:eastAsia="MS Mincho" w:cs="仿宋_GB2312"/>
          <w:color w:val="0F1115"/>
          <w:sz w:val="32"/>
          <w:szCs w:val="32"/>
          <w:highlight w:val="none"/>
          <w:shd w:val="clear" w:color="auto" w:fill="FFFFFF"/>
          <w:lang w:eastAsia="ja-JP"/>
        </w:rPr>
      </w:pPr>
      <w:r>
        <w:rPr>
          <w:rFonts w:hint="eastAsia" w:ascii="楷体_GB2312" w:hAnsi="楷体_GB2312" w:eastAsia="楷体_GB2312" w:cs="楷体_GB2312"/>
          <w:b/>
          <w:bCs/>
          <w:color w:val="0F1115"/>
          <w:sz w:val="32"/>
          <w:szCs w:val="32"/>
          <w:highlight w:val="none"/>
          <w:shd w:val="clear" w:color="auto" w:fill="FFFFFF"/>
        </w:rPr>
        <w:t>（三）</w:t>
      </w:r>
      <w:r>
        <w:rPr>
          <w:rStyle w:val="13"/>
          <w:rFonts w:hint="eastAsia" w:ascii="楷体_GB2312" w:hAnsi="楷体_GB2312" w:eastAsia="楷体_GB2312" w:cs="楷体_GB2312"/>
          <w:b/>
          <w:bCs/>
          <w:color w:val="0F1115"/>
          <w:sz w:val="32"/>
          <w:szCs w:val="32"/>
          <w:highlight w:val="none"/>
          <w:shd w:val="clear" w:color="auto" w:fill="FFFFFF"/>
        </w:rPr>
        <w:t>审核推荐</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lang w:eastAsia="zh-CN"/>
        </w:rPr>
        <w:t>主管部门</w:t>
      </w:r>
      <w:r>
        <w:rPr>
          <w:rFonts w:hint="eastAsia" w:ascii="仿宋_GB2312" w:hAnsi="仿宋_GB2312" w:eastAsia="仿宋_GB2312" w:cs="仿宋_GB2312"/>
          <w:color w:val="0F1115"/>
          <w:sz w:val="32"/>
          <w:szCs w:val="32"/>
          <w:highlight w:val="none"/>
          <w:shd w:val="clear" w:color="auto" w:fill="FFFFFF"/>
        </w:rPr>
        <w:t>对申报材料进行审核把关、实地抽查，初审通过后择优推荐至自治区科技厅。</w:t>
      </w:r>
    </w:p>
    <w:p w14:paraId="3F5D3FC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ascii="仿宋_GB2312" w:hAnsi="仿宋_GB2312" w:eastAsia="MS Mincho" w:cs="仿宋_GB2312"/>
          <w:color w:val="0F1115"/>
          <w:sz w:val="32"/>
          <w:szCs w:val="32"/>
          <w:highlight w:val="none"/>
          <w:shd w:val="clear" w:color="auto" w:fill="FFFFFF"/>
          <w:lang w:eastAsia="ja-JP"/>
        </w:rPr>
      </w:pPr>
      <w:r>
        <w:rPr>
          <w:rFonts w:hint="eastAsia" w:ascii="楷体_GB2312" w:hAnsi="楷体_GB2312" w:eastAsia="楷体_GB2312" w:cs="楷体_GB2312"/>
          <w:b/>
          <w:bCs/>
          <w:color w:val="0F1115"/>
          <w:sz w:val="32"/>
          <w:szCs w:val="32"/>
          <w:highlight w:val="none"/>
          <w:shd w:val="clear" w:color="auto" w:fill="FFFFFF"/>
        </w:rPr>
        <w:t>（四）</w:t>
      </w:r>
      <w:r>
        <w:rPr>
          <w:rStyle w:val="13"/>
          <w:rFonts w:hint="eastAsia" w:ascii="楷体_GB2312" w:hAnsi="楷体_GB2312" w:eastAsia="楷体_GB2312" w:cs="楷体_GB2312"/>
          <w:b/>
          <w:bCs/>
          <w:color w:val="0F1115"/>
          <w:sz w:val="32"/>
          <w:szCs w:val="32"/>
          <w:highlight w:val="none"/>
          <w:shd w:val="clear" w:color="auto" w:fill="FFFFFF"/>
        </w:rPr>
        <w:t>评审考察</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自治区科技厅组织或委托第三方机构进行形式审查、专家评审和现场核查，并形成评审意见。</w:t>
      </w:r>
    </w:p>
    <w:p w14:paraId="1F8EED4D">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ascii="仿宋_GB2312" w:hAnsi="仿宋_GB2312" w:eastAsia="MS Mincho" w:cs="仿宋_GB2312"/>
          <w:color w:val="0F1115"/>
          <w:sz w:val="32"/>
          <w:szCs w:val="32"/>
          <w:highlight w:val="none"/>
          <w:shd w:val="clear" w:color="auto" w:fill="FFFFFF"/>
          <w:lang w:eastAsia="ja-JP"/>
        </w:rPr>
      </w:pPr>
      <w:r>
        <w:rPr>
          <w:rFonts w:hint="eastAsia" w:ascii="楷体_GB2312" w:hAnsi="楷体_GB2312" w:eastAsia="楷体_GB2312" w:cs="楷体_GB2312"/>
          <w:b/>
          <w:bCs/>
          <w:color w:val="0F1115"/>
          <w:sz w:val="32"/>
          <w:szCs w:val="32"/>
          <w:highlight w:val="none"/>
          <w:shd w:val="clear" w:color="auto" w:fill="FFFFFF"/>
        </w:rPr>
        <w:t>（五）</w:t>
      </w:r>
      <w:r>
        <w:rPr>
          <w:rStyle w:val="13"/>
          <w:rFonts w:hint="eastAsia" w:ascii="楷体_GB2312" w:hAnsi="楷体_GB2312" w:eastAsia="楷体_GB2312" w:cs="楷体_GB2312"/>
          <w:b/>
          <w:bCs/>
          <w:color w:val="0F1115"/>
          <w:sz w:val="32"/>
          <w:szCs w:val="32"/>
          <w:highlight w:val="none"/>
          <w:shd w:val="clear" w:color="auto" w:fill="FFFFFF"/>
        </w:rPr>
        <w:t>认定公示</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自治区科技厅根据评审意见，择优确定拟认定名单，在自治区科技厅门户网站公</w:t>
      </w:r>
      <w:r>
        <w:rPr>
          <w:rFonts w:hint="default" w:ascii="Times New Roman" w:hAnsi="Times New Roman" w:eastAsia="仿宋_GB2312" w:cs="Times New Roman"/>
          <w:color w:val="0F1115"/>
          <w:sz w:val="32"/>
          <w:szCs w:val="32"/>
          <w:highlight w:val="none"/>
          <w:shd w:val="clear" w:color="auto" w:fill="FFFFFF"/>
        </w:rPr>
        <w:t>示7个自然</w:t>
      </w:r>
      <w:r>
        <w:rPr>
          <w:rFonts w:hint="eastAsia" w:ascii="仿宋_GB2312" w:hAnsi="仿宋_GB2312" w:eastAsia="仿宋_GB2312" w:cs="仿宋_GB2312"/>
          <w:color w:val="0F1115"/>
          <w:sz w:val="32"/>
          <w:szCs w:val="32"/>
          <w:highlight w:val="none"/>
          <w:shd w:val="clear" w:color="auto" w:fill="FFFFFF"/>
        </w:rPr>
        <w:t>日。</w:t>
      </w:r>
    </w:p>
    <w:p w14:paraId="4EDD089B">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ascii="仿宋_GB2312" w:hAnsi="仿宋_GB2312" w:eastAsia="MS Mincho" w:cs="仿宋_GB2312"/>
          <w:color w:val="0F1115"/>
          <w:sz w:val="32"/>
          <w:szCs w:val="32"/>
          <w:highlight w:val="none"/>
          <w:shd w:val="clear" w:color="auto" w:fill="FFFFFF"/>
          <w:lang w:eastAsia="ja-JP"/>
        </w:rPr>
      </w:pPr>
      <w:r>
        <w:rPr>
          <w:rFonts w:hint="eastAsia" w:ascii="楷体_GB2312" w:hAnsi="楷体_GB2312" w:eastAsia="楷体_GB2312" w:cs="楷体_GB2312"/>
          <w:b/>
          <w:bCs/>
          <w:color w:val="0F1115"/>
          <w:sz w:val="32"/>
          <w:szCs w:val="32"/>
          <w:highlight w:val="none"/>
          <w:shd w:val="clear" w:color="auto" w:fill="FFFFFF"/>
        </w:rPr>
        <w:t>（六）</w:t>
      </w:r>
      <w:r>
        <w:rPr>
          <w:rStyle w:val="13"/>
          <w:rFonts w:hint="eastAsia" w:ascii="楷体_GB2312" w:hAnsi="楷体_GB2312" w:eastAsia="楷体_GB2312" w:cs="楷体_GB2312"/>
          <w:b/>
          <w:bCs/>
          <w:color w:val="0F1115"/>
          <w:sz w:val="32"/>
          <w:szCs w:val="32"/>
          <w:highlight w:val="none"/>
          <w:shd w:val="clear" w:color="auto" w:fill="FFFFFF"/>
        </w:rPr>
        <w:t>发文</w:t>
      </w:r>
      <w:r>
        <w:rPr>
          <w:rStyle w:val="13"/>
          <w:rFonts w:hint="eastAsia" w:ascii="楷体_GB2312" w:hAnsi="楷体_GB2312" w:eastAsia="楷体_GB2312" w:cs="楷体_GB2312"/>
          <w:b/>
          <w:bCs/>
          <w:color w:val="0F1115"/>
          <w:sz w:val="32"/>
          <w:szCs w:val="32"/>
          <w:highlight w:val="none"/>
          <w:shd w:val="clear" w:color="auto" w:fill="FFFFFF"/>
          <w:lang w:eastAsia="zh-CN"/>
        </w:rPr>
        <w:t>认定</w:t>
      </w:r>
      <w:r>
        <w:rPr>
          <w:rFonts w:hint="eastAsia" w:ascii="楷体_GB2312" w:hAnsi="楷体_GB2312" w:eastAsia="楷体_GB2312" w:cs="楷体_GB2312"/>
          <w:b/>
          <w:bCs/>
          <w:color w:val="0F1115"/>
          <w:sz w:val="32"/>
          <w:szCs w:val="32"/>
          <w:highlight w:val="none"/>
          <w:shd w:val="clear" w:color="auto" w:fill="FFFFFF"/>
        </w:rPr>
        <w:t>。</w:t>
      </w:r>
      <w:r>
        <w:rPr>
          <w:rFonts w:hint="eastAsia" w:ascii="仿宋_GB2312" w:hAnsi="仿宋_GB2312" w:eastAsia="仿宋_GB2312" w:cs="仿宋_GB2312"/>
          <w:color w:val="0F1115"/>
          <w:sz w:val="32"/>
          <w:szCs w:val="32"/>
          <w:highlight w:val="none"/>
          <w:shd w:val="clear" w:color="auto" w:fill="FFFFFF"/>
        </w:rPr>
        <w:t>对公示无异议的，由自治区科技厅发文认定。</w:t>
      </w:r>
    </w:p>
    <w:p w14:paraId="13ED7B3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_GB2312" w:hAnsi="仿宋_GB2312" w:eastAsia="MS Mincho"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w:t>
      </w:r>
      <w:r>
        <w:rPr>
          <w:rStyle w:val="13"/>
          <w:rFonts w:hint="eastAsia" w:ascii="仿宋_GB2312" w:hAnsi="仿宋_GB2312" w:eastAsia="仿宋_GB2312" w:cs="仿宋_GB2312"/>
          <w:color w:val="0F1115"/>
          <w:sz w:val="32"/>
          <w:szCs w:val="32"/>
          <w:highlight w:val="none"/>
          <w:shd w:val="clear" w:color="auto" w:fill="FFFFFF"/>
          <w:lang w:eastAsia="zh-CN"/>
        </w:rPr>
        <w:t>五</w:t>
      </w:r>
      <w:r>
        <w:rPr>
          <w:rStyle w:val="13"/>
          <w:rFonts w:hint="eastAsia" w:ascii="仿宋_GB2312" w:hAnsi="仿宋_GB2312" w:eastAsia="仿宋_GB2312" w:cs="仿宋_GB2312"/>
          <w:color w:val="0F1115"/>
          <w:sz w:val="32"/>
          <w:szCs w:val="32"/>
          <w:highlight w:val="none"/>
          <w:shd w:val="clear" w:color="auto" w:fill="FFFFFF"/>
        </w:rPr>
        <w:t>条</w:t>
      </w:r>
      <w:r>
        <w:rPr>
          <w:rStyle w:val="13"/>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获认定的科技成果转化基地，由自治区科技厅统一命名，概念验证中心命名为“广西+领域+概念验证中心”，中试基地统一命名为“广西+领域+科技成果转化中试研究基地”；孵化器统一命名为“广西科技型企业孵化器”。</w:t>
      </w:r>
    </w:p>
    <w:p w14:paraId="16B95DF9">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textAlignment w:val="auto"/>
        <w:rPr>
          <w:rStyle w:val="12"/>
          <w:rFonts w:hint="eastAsia" w:ascii="仿宋_GB2312" w:hAnsi="仿宋_GB2312" w:eastAsia="仿宋_GB2312" w:cs="仿宋_GB2312"/>
          <w:b/>
          <w:color w:val="0F1115"/>
          <w:kern w:val="2"/>
          <w:sz w:val="32"/>
          <w:szCs w:val="32"/>
          <w:highlight w:val="none"/>
          <w:shd w:val="clear" w:color="auto" w:fill="FFFFFF"/>
        </w:rPr>
      </w:pPr>
    </w:p>
    <w:p w14:paraId="6F474FA3">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3"/>
          <w:rFonts w:hint="default" w:ascii="黑体" w:hAnsi="黑体" w:eastAsia="黑体" w:cs="黑体"/>
          <w:b w:val="0"/>
          <w:bCs/>
          <w:color w:val="0F1115"/>
          <w:sz w:val="32"/>
          <w:szCs w:val="32"/>
          <w:highlight w:val="none"/>
          <w:shd w:val="clear" w:color="auto" w:fill="FFFFFF"/>
        </w:rPr>
      </w:pPr>
      <w:r>
        <w:rPr>
          <w:rFonts w:ascii="黑体" w:hAnsi="黑体" w:eastAsia="黑体"/>
          <w:b w:val="0"/>
          <w:bCs/>
          <w:sz w:val="32"/>
          <w:szCs w:val="32"/>
          <w:highlight w:val="none"/>
        </w:rPr>
        <w:t>第四章</w:t>
      </w:r>
      <w:r>
        <w:rPr>
          <w:rFonts w:ascii="黑体" w:hAnsi="黑体" w:eastAsia="黑体"/>
          <w:sz w:val="32"/>
          <w:szCs w:val="32"/>
          <w:highlight w:val="none"/>
        </w:rPr>
        <w:t xml:space="preserve"> </w:t>
      </w:r>
      <w:r>
        <w:rPr>
          <w:rFonts w:hint="eastAsia" w:ascii="黑体" w:hAnsi="黑体" w:eastAsia="黑体"/>
          <w:sz w:val="32"/>
          <w:szCs w:val="32"/>
          <w:highlight w:val="none"/>
          <w:lang w:val="en-US" w:eastAsia="zh-CN"/>
        </w:rPr>
        <w:t xml:space="preserve"> </w:t>
      </w:r>
      <w:r>
        <w:rPr>
          <w:rStyle w:val="13"/>
          <w:rFonts w:ascii="黑体" w:hAnsi="黑体" w:eastAsia="黑体" w:cs="黑体"/>
          <w:b w:val="0"/>
          <w:bCs/>
          <w:color w:val="0F1115"/>
          <w:sz w:val="32"/>
          <w:szCs w:val="32"/>
          <w:highlight w:val="none"/>
          <w:shd w:val="clear" w:color="auto" w:fill="FFFFFF"/>
        </w:rPr>
        <w:t>管理与监督</w:t>
      </w:r>
    </w:p>
    <w:p w14:paraId="34F68162">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2"/>
          <w:rFonts w:hint="eastAsia" w:ascii="黑体" w:hAnsi="黑体" w:eastAsia="黑体" w:cs="黑体"/>
          <w:b w:val="0"/>
          <w:bCs/>
          <w:color w:val="0F1115"/>
          <w:sz w:val="32"/>
          <w:szCs w:val="32"/>
          <w:highlight w:val="none"/>
          <w:shd w:val="clear" w:color="auto" w:fill="FFFFFF"/>
        </w:rPr>
      </w:pPr>
    </w:p>
    <w:p w14:paraId="31787B4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w:t>
      </w:r>
      <w:r>
        <w:rPr>
          <w:rStyle w:val="13"/>
          <w:rFonts w:hint="eastAsia" w:ascii="仿宋_GB2312" w:hAnsi="仿宋_GB2312" w:eastAsia="仿宋_GB2312" w:cs="仿宋_GB2312"/>
          <w:color w:val="0F1115"/>
          <w:sz w:val="32"/>
          <w:szCs w:val="32"/>
          <w:highlight w:val="none"/>
          <w:shd w:val="clear" w:color="auto" w:fill="FFFFFF"/>
          <w:lang w:eastAsia="zh-CN"/>
        </w:rPr>
        <w:t>六</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成果转化基地实行动态管理，建立年度报告与绩效评估相结合的管理制度。</w:t>
      </w:r>
    </w:p>
    <w:p w14:paraId="2472FC42">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rPr>
      </w:pPr>
      <w:r>
        <w:rPr>
          <w:rFonts w:hint="eastAsia" w:ascii="仿宋_GB2312" w:hAnsi="仿宋_GB2312" w:eastAsia="仿宋_GB2312" w:cs="仿宋_GB2312"/>
          <w:color w:val="0F1115"/>
          <w:sz w:val="32"/>
          <w:szCs w:val="32"/>
          <w:highlight w:val="none"/>
          <w:shd w:val="clear" w:color="auto" w:fill="FFFFFF"/>
        </w:rPr>
        <w:t>成果转化基地由固定人员与流动人员组成，每个固定人员原则上只能在一个自治区级成果转化与产业化类科技创新平台任职，人员信息须通过年度报告上报，并接受查重。</w:t>
      </w:r>
    </w:p>
    <w:p w14:paraId="569322B7">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rPr>
      </w:pPr>
      <w:r>
        <w:rPr>
          <w:rStyle w:val="13"/>
          <w:rFonts w:hint="eastAsia" w:ascii="仿宋_GB2312" w:hAnsi="仿宋_GB2312" w:eastAsia="仿宋_GB2312" w:cs="仿宋_GB2312"/>
          <w:color w:val="0F1115"/>
          <w:sz w:val="32"/>
          <w:szCs w:val="32"/>
          <w:highlight w:val="none"/>
          <w:shd w:val="clear" w:color="auto" w:fill="FFFFFF"/>
        </w:rPr>
        <w:t>第十</w:t>
      </w:r>
      <w:r>
        <w:rPr>
          <w:rStyle w:val="13"/>
          <w:rFonts w:hint="eastAsia" w:ascii="仿宋_GB2312" w:hAnsi="仿宋_GB2312" w:eastAsia="仿宋_GB2312" w:cs="仿宋_GB2312"/>
          <w:color w:val="0F1115"/>
          <w:sz w:val="32"/>
          <w:szCs w:val="32"/>
          <w:highlight w:val="none"/>
          <w:shd w:val="clear" w:color="auto" w:fill="FFFFFF"/>
          <w:lang w:eastAsia="zh-CN"/>
        </w:rPr>
        <w:t>七</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实行年度报告制度。各成果转化基地应于每年</w:t>
      </w:r>
      <w:r>
        <w:rPr>
          <w:rFonts w:hint="default" w:ascii="Times New Roman" w:hAnsi="Times New Roman" w:eastAsia="仿宋_GB2312" w:cs="Times New Roman"/>
          <w:color w:val="0F1115"/>
          <w:sz w:val="32"/>
          <w:szCs w:val="32"/>
          <w:highlight w:val="none"/>
          <w:shd w:val="clear" w:color="auto" w:fill="FFFFFF"/>
        </w:rPr>
        <w:t>12月底</w:t>
      </w:r>
      <w:r>
        <w:rPr>
          <w:rFonts w:hint="eastAsia" w:ascii="仿宋_GB2312" w:hAnsi="仿宋_GB2312" w:eastAsia="仿宋_GB2312" w:cs="仿宋_GB2312"/>
          <w:color w:val="0F1115"/>
          <w:sz w:val="32"/>
          <w:szCs w:val="32"/>
          <w:highlight w:val="none"/>
          <w:shd w:val="clear" w:color="auto" w:fill="FFFFFF"/>
        </w:rPr>
        <w:t>前，按要求向</w:t>
      </w:r>
      <w:r>
        <w:rPr>
          <w:rFonts w:hint="eastAsia" w:ascii="仿宋_GB2312" w:hAnsi="仿宋_GB2312" w:eastAsia="仿宋_GB2312" w:cs="仿宋_GB2312"/>
          <w:color w:val="0F1115"/>
          <w:sz w:val="32"/>
          <w:szCs w:val="32"/>
          <w:highlight w:val="none"/>
          <w:shd w:val="clear" w:color="auto" w:fill="FFFFFF"/>
          <w:lang w:eastAsia="zh-CN"/>
        </w:rPr>
        <w:t>主管部门</w:t>
      </w:r>
      <w:r>
        <w:rPr>
          <w:rFonts w:hint="eastAsia" w:ascii="仿宋_GB2312" w:hAnsi="仿宋_GB2312" w:eastAsia="仿宋_GB2312" w:cs="仿宋_GB2312"/>
          <w:color w:val="0F1115"/>
          <w:sz w:val="32"/>
          <w:szCs w:val="32"/>
          <w:highlight w:val="none"/>
          <w:shd w:val="clear" w:color="auto" w:fill="FFFFFF"/>
        </w:rPr>
        <w:t>报送年度工作报告。</w:t>
      </w:r>
      <w:r>
        <w:rPr>
          <w:rFonts w:hint="eastAsia" w:ascii="仿宋_GB2312" w:hAnsi="仿宋_GB2312" w:eastAsia="仿宋_GB2312" w:cs="仿宋_GB2312"/>
          <w:color w:val="0F1115"/>
          <w:sz w:val="32"/>
          <w:szCs w:val="32"/>
          <w:highlight w:val="none"/>
          <w:shd w:val="clear" w:color="auto" w:fill="FFFFFF"/>
          <w:lang w:eastAsia="zh-CN"/>
        </w:rPr>
        <w:t>主管部门</w:t>
      </w:r>
      <w:r>
        <w:rPr>
          <w:rFonts w:hint="eastAsia" w:ascii="仿宋_GB2312" w:hAnsi="仿宋_GB2312" w:eastAsia="仿宋_GB2312" w:cs="仿宋_GB2312"/>
          <w:color w:val="0F1115"/>
          <w:sz w:val="32"/>
          <w:szCs w:val="32"/>
          <w:highlight w:val="none"/>
          <w:shd w:val="clear" w:color="auto" w:fill="FFFFFF"/>
        </w:rPr>
        <w:t>审核，提出初审意见后汇总报送自治区科技厅。</w:t>
      </w:r>
    </w:p>
    <w:p w14:paraId="780B3312">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w:t>
      </w:r>
      <w:r>
        <w:rPr>
          <w:rStyle w:val="13"/>
          <w:rFonts w:hint="eastAsia" w:ascii="仿宋_GB2312" w:hAnsi="仿宋_GB2312" w:eastAsia="仿宋_GB2312" w:cs="仿宋_GB2312"/>
          <w:color w:val="0F1115"/>
          <w:sz w:val="32"/>
          <w:szCs w:val="32"/>
          <w:highlight w:val="none"/>
          <w:shd w:val="clear" w:color="auto" w:fill="FFFFFF"/>
          <w:lang w:eastAsia="zh-CN"/>
        </w:rPr>
        <w:t>八</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实行定期绩效评估制度。自治区科技厅</w:t>
      </w:r>
      <w:r>
        <w:rPr>
          <w:rFonts w:hint="default" w:ascii="Times New Roman" w:hAnsi="Times New Roman" w:eastAsia="仿宋_GB2312" w:cs="Times New Roman"/>
          <w:color w:val="0F1115"/>
          <w:sz w:val="32"/>
          <w:szCs w:val="32"/>
          <w:highlight w:val="none"/>
          <w:shd w:val="clear" w:color="auto" w:fill="FFFFFF"/>
        </w:rPr>
        <w:t>每3年</w:t>
      </w:r>
      <w:r>
        <w:rPr>
          <w:rFonts w:hint="default" w:ascii="Times New Roman" w:hAnsi="Times New Roman" w:eastAsia="仿宋_GB2312" w:cs="Times New Roman"/>
          <w:color w:val="0F1115"/>
          <w:sz w:val="32"/>
          <w:szCs w:val="32"/>
          <w:highlight w:val="none"/>
          <w:shd w:val="clear" w:color="auto" w:fill="FFFFFF"/>
          <w:lang w:eastAsia="zh-CN"/>
        </w:rPr>
        <w:t>集</w:t>
      </w:r>
      <w:r>
        <w:rPr>
          <w:rFonts w:hint="eastAsia" w:ascii="仿宋_GB2312" w:hAnsi="仿宋_GB2312" w:eastAsia="仿宋_GB2312" w:cs="仿宋_GB2312"/>
          <w:color w:val="0F1115"/>
          <w:sz w:val="32"/>
          <w:szCs w:val="32"/>
          <w:highlight w:val="none"/>
          <w:shd w:val="clear" w:color="auto" w:fill="FFFFFF"/>
          <w:lang w:eastAsia="zh-CN"/>
        </w:rPr>
        <w:t>中</w:t>
      </w:r>
      <w:r>
        <w:rPr>
          <w:rFonts w:hint="eastAsia" w:ascii="仿宋_GB2312" w:hAnsi="仿宋_GB2312" w:eastAsia="仿宋_GB2312" w:cs="仿宋_GB2312"/>
          <w:color w:val="0F1115"/>
          <w:sz w:val="32"/>
          <w:szCs w:val="32"/>
          <w:highlight w:val="none"/>
          <w:shd w:val="clear" w:color="auto" w:fill="FFFFFF"/>
        </w:rPr>
        <w:t>组织一次绩效评估。开放运行</w:t>
      </w:r>
      <w:r>
        <w:rPr>
          <w:rFonts w:hint="default" w:ascii="Times New Roman" w:hAnsi="Times New Roman" w:eastAsia="仿宋_GB2312" w:cs="Times New Roman"/>
          <w:color w:val="0F1115"/>
          <w:sz w:val="32"/>
          <w:szCs w:val="32"/>
          <w:highlight w:val="none"/>
          <w:shd w:val="clear" w:color="auto" w:fill="FFFFFF"/>
        </w:rPr>
        <w:t>满3年的</w:t>
      </w:r>
      <w:r>
        <w:rPr>
          <w:rFonts w:hint="default" w:ascii="Times New Roman" w:hAnsi="Times New Roman" w:eastAsia="仿宋_GB2312" w:cs="Times New Roman"/>
          <w:color w:val="0F1115"/>
          <w:sz w:val="32"/>
          <w:szCs w:val="32"/>
          <w:highlight w:val="none"/>
          <w:shd w:val="clear" w:color="auto" w:fill="FFFFFF"/>
          <w:lang w:eastAsia="zh-CN"/>
        </w:rPr>
        <w:t>成果转化</w:t>
      </w:r>
      <w:r>
        <w:rPr>
          <w:rFonts w:hint="default" w:ascii="Times New Roman" w:hAnsi="Times New Roman" w:eastAsia="仿宋_GB2312" w:cs="Times New Roman"/>
          <w:color w:val="0F1115"/>
          <w:sz w:val="32"/>
          <w:szCs w:val="32"/>
          <w:highlight w:val="none"/>
          <w:shd w:val="clear" w:color="auto" w:fill="FFFFFF"/>
        </w:rPr>
        <w:t>基地必须参加，未满3年的可自愿参加。开放运行时间为获得认定起始时间至绩效评估通知发布之日。绩效评估重点考核评</w:t>
      </w:r>
      <w:r>
        <w:rPr>
          <w:rFonts w:hint="eastAsia" w:ascii="仿宋_GB2312" w:hAnsi="仿宋_GB2312" w:eastAsia="仿宋_GB2312" w:cs="仿宋_GB2312"/>
          <w:color w:val="0F1115"/>
          <w:sz w:val="32"/>
          <w:szCs w:val="32"/>
          <w:highlight w:val="none"/>
          <w:shd w:val="clear" w:color="auto" w:fill="FFFFFF"/>
        </w:rPr>
        <w:t>估周期内产生的服务成效、经济效益和社会贡献，所有成果仅能使用一次。</w:t>
      </w:r>
    </w:p>
    <w:p w14:paraId="0EB8704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第十</w:t>
      </w:r>
      <w:r>
        <w:rPr>
          <w:rStyle w:val="13"/>
          <w:rFonts w:hint="eastAsia" w:ascii="仿宋_GB2312" w:hAnsi="仿宋_GB2312" w:eastAsia="仿宋_GB2312" w:cs="仿宋_GB2312"/>
          <w:color w:val="0F1115"/>
          <w:sz w:val="32"/>
          <w:szCs w:val="32"/>
          <w:highlight w:val="none"/>
          <w:shd w:val="clear" w:color="auto" w:fill="FFFFFF"/>
          <w:lang w:eastAsia="zh-CN"/>
        </w:rPr>
        <w:t>九</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绩效评估结果分为优秀、良好、合格、整改、撤销五个等次，评估结果向社会公布，并作为后续支持政策的重要依据。</w:t>
      </w:r>
    </w:p>
    <w:p w14:paraId="36F8958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绩效评估结果为“整改”的，整改期</w:t>
      </w:r>
      <w:r>
        <w:rPr>
          <w:rFonts w:hint="default" w:ascii="Times New Roman" w:hAnsi="Times New Roman" w:eastAsia="仿宋_GB2312" w:cs="Times New Roman"/>
          <w:color w:val="0F1115"/>
          <w:sz w:val="32"/>
          <w:szCs w:val="32"/>
          <w:highlight w:val="none"/>
          <w:shd w:val="clear" w:color="auto" w:fill="FFFFFF"/>
        </w:rPr>
        <w:t>为1年</w:t>
      </w:r>
      <w:r>
        <w:rPr>
          <w:rFonts w:hint="eastAsia" w:ascii="仿宋_GB2312" w:hAnsi="仿宋_GB2312" w:eastAsia="仿宋_GB2312" w:cs="仿宋_GB2312"/>
          <w:color w:val="0F1115"/>
          <w:sz w:val="32"/>
          <w:szCs w:val="32"/>
          <w:highlight w:val="none"/>
          <w:shd w:val="clear" w:color="auto" w:fill="FFFFFF"/>
        </w:rPr>
        <w:t>。整改期满后由自治区科技厅组织验收，验收通过的，保留成果转化基地资格；验收不通过的，取消其成果转化基地资格。</w:t>
      </w:r>
    </w:p>
    <w:p w14:paraId="2FCA1515">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对无正当理由不按期参加绩效评估，或违反本办法相关规定造成负面影响的成果转化基地，直接认定为“撤销”等次，取消其成果转化基地资格。</w:t>
      </w:r>
    </w:p>
    <w:p w14:paraId="56CF48C2">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rPr>
      </w:pPr>
      <w:r>
        <w:rPr>
          <w:rStyle w:val="13"/>
          <w:rFonts w:hint="eastAsia" w:ascii="仿宋_GB2312" w:hAnsi="仿宋_GB2312" w:eastAsia="仿宋_GB2312" w:cs="仿宋_GB2312"/>
          <w:color w:val="0F1115"/>
          <w:sz w:val="32"/>
          <w:szCs w:val="32"/>
          <w:highlight w:val="none"/>
          <w:shd w:val="clear" w:color="auto" w:fill="FFFFFF"/>
        </w:rPr>
        <w:t>第</w:t>
      </w:r>
      <w:r>
        <w:rPr>
          <w:rStyle w:val="13"/>
          <w:rFonts w:hint="eastAsia" w:ascii="仿宋_GB2312" w:hAnsi="仿宋_GB2312" w:eastAsia="仿宋_GB2312" w:cs="仿宋_GB2312"/>
          <w:color w:val="0F1115"/>
          <w:sz w:val="32"/>
          <w:szCs w:val="32"/>
          <w:highlight w:val="none"/>
          <w:shd w:val="clear" w:color="auto" w:fill="FFFFFF"/>
          <w:lang w:eastAsia="zh-CN"/>
        </w:rPr>
        <w:t>二十</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rPr>
        <w:t> 实行重大事项报告制度。成果转化基地的运营主体、运行场地、依托单位、研究方向等发生重大变更，或无法正常运营的，应</w:t>
      </w:r>
      <w:r>
        <w:rPr>
          <w:rFonts w:hint="default" w:ascii="Times New Roman" w:hAnsi="Times New Roman" w:eastAsia="仿宋_GB2312" w:cs="Times New Roman"/>
          <w:color w:val="0F1115"/>
          <w:sz w:val="32"/>
          <w:szCs w:val="32"/>
          <w:highlight w:val="none"/>
          <w:shd w:val="clear" w:color="auto" w:fill="FFFFFF"/>
        </w:rPr>
        <w:t>在3个月</w:t>
      </w:r>
      <w:r>
        <w:rPr>
          <w:rFonts w:hint="eastAsia" w:ascii="仿宋_GB2312" w:hAnsi="仿宋_GB2312" w:eastAsia="仿宋_GB2312" w:cs="仿宋_GB2312"/>
          <w:color w:val="0F1115"/>
          <w:sz w:val="32"/>
          <w:szCs w:val="32"/>
          <w:highlight w:val="none"/>
          <w:shd w:val="clear" w:color="auto" w:fill="FFFFFF"/>
        </w:rPr>
        <w:t>内经</w:t>
      </w:r>
      <w:r>
        <w:rPr>
          <w:rFonts w:hint="eastAsia" w:ascii="仿宋_GB2312" w:hAnsi="仿宋_GB2312" w:eastAsia="仿宋_GB2312" w:cs="仿宋_GB2312"/>
          <w:color w:val="0F1115"/>
          <w:sz w:val="32"/>
          <w:szCs w:val="32"/>
          <w:highlight w:val="none"/>
          <w:shd w:val="clear" w:color="auto" w:fill="FFFFFF"/>
          <w:lang w:eastAsia="zh-CN"/>
        </w:rPr>
        <w:t>主管部门</w:t>
      </w:r>
      <w:r>
        <w:rPr>
          <w:rFonts w:hint="eastAsia" w:ascii="仿宋_GB2312" w:hAnsi="仿宋_GB2312" w:eastAsia="仿宋_GB2312" w:cs="仿宋_GB2312"/>
          <w:color w:val="0F1115"/>
          <w:sz w:val="32"/>
          <w:szCs w:val="32"/>
          <w:highlight w:val="none"/>
          <w:shd w:val="clear" w:color="auto" w:fill="FFFFFF"/>
        </w:rPr>
        <w:t>核实后报自治区科技厅。自治区科技厅审核后予以相应处理。</w:t>
      </w:r>
    </w:p>
    <w:p w14:paraId="271FED5B">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rPr>
      </w:pPr>
      <w:r>
        <w:rPr>
          <w:rStyle w:val="13"/>
          <w:rFonts w:hint="eastAsia" w:ascii="仿宋_GB2312" w:hAnsi="仿宋_GB2312" w:eastAsia="仿宋_GB2312" w:cs="仿宋_GB2312"/>
          <w:color w:val="0F1115"/>
          <w:sz w:val="32"/>
          <w:szCs w:val="32"/>
          <w:highlight w:val="none"/>
          <w:shd w:val="clear" w:color="auto" w:fill="FFFFFF"/>
        </w:rPr>
        <w:t>第二十</w:t>
      </w:r>
      <w:r>
        <w:rPr>
          <w:rStyle w:val="13"/>
          <w:rFonts w:hint="eastAsia" w:ascii="仿宋_GB2312" w:hAnsi="仿宋_GB2312" w:eastAsia="仿宋_GB2312" w:cs="仿宋_GB2312"/>
          <w:color w:val="0F1115"/>
          <w:sz w:val="32"/>
          <w:szCs w:val="32"/>
          <w:highlight w:val="none"/>
          <w:shd w:val="clear" w:color="auto" w:fill="FFFFFF"/>
          <w:lang w:eastAsia="zh-CN"/>
        </w:rPr>
        <w:t>一</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建立常态化监督和投诉机制。任何组织或个人发现成果转化基地存在信息不实、违规操作等问题，可实名并提供佐证材料向自治区科技厅或市科技局反映。</w:t>
      </w:r>
    </w:p>
    <w:p w14:paraId="1DEA5095">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第二十</w:t>
      </w:r>
      <w:r>
        <w:rPr>
          <w:rStyle w:val="13"/>
          <w:rFonts w:hint="eastAsia" w:ascii="仿宋_GB2312" w:hAnsi="仿宋_GB2312" w:eastAsia="仿宋_GB2312" w:cs="仿宋_GB2312"/>
          <w:color w:val="0F1115"/>
          <w:sz w:val="32"/>
          <w:szCs w:val="32"/>
          <w:highlight w:val="none"/>
          <w:shd w:val="clear" w:color="auto" w:fill="FFFFFF"/>
          <w:lang w:eastAsia="zh-CN"/>
        </w:rPr>
        <w:t>二</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成果转化基地有下列情形之一的，取消其自治区级资格，被取消资格的运</w:t>
      </w:r>
      <w:r>
        <w:rPr>
          <w:rFonts w:hint="default" w:ascii="Times New Roman" w:hAnsi="Times New Roman" w:eastAsia="仿宋_GB2312" w:cs="Times New Roman"/>
          <w:color w:val="0F1115"/>
          <w:sz w:val="32"/>
          <w:szCs w:val="32"/>
          <w:highlight w:val="none"/>
          <w:shd w:val="clear" w:color="auto" w:fill="FFFFFF"/>
        </w:rPr>
        <w:t>营主体3年内不得再</w:t>
      </w:r>
      <w:r>
        <w:rPr>
          <w:rFonts w:hint="eastAsia" w:ascii="仿宋_GB2312" w:hAnsi="仿宋_GB2312" w:eastAsia="仿宋_GB2312" w:cs="仿宋_GB2312"/>
          <w:color w:val="0F1115"/>
          <w:sz w:val="32"/>
          <w:szCs w:val="32"/>
          <w:highlight w:val="none"/>
          <w:shd w:val="clear" w:color="auto" w:fill="FFFFFF"/>
        </w:rPr>
        <w:t>次申报；因存在科学技术活动违规行为被撤销</w:t>
      </w:r>
      <w:r>
        <w:rPr>
          <w:rFonts w:hint="eastAsia" w:ascii="仿宋_GB2312" w:hAnsi="仿宋_GB2312" w:eastAsia="仿宋_GB2312" w:cs="仿宋_GB2312"/>
          <w:color w:val="0F1115"/>
          <w:sz w:val="32"/>
          <w:szCs w:val="32"/>
          <w:highlight w:val="none"/>
          <w:shd w:val="clear" w:color="auto" w:fill="FFFFFF"/>
          <w:lang w:eastAsia="zh-CN"/>
        </w:rPr>
        <w:t>，</w:t>
      </w:r>
      <w:r>
        <w:rPr>
          <w:rFonts w:hint="eastAsia" w:ascii="仿宋_GB2312" w:hAnsi="仿宋_GB2312" w:eastAsia="仿宋_GB2312" w:cs="仿宋_GB2312"/>
          <w:color w:val="0F1115"/>
          <w:sz w:val="32"/>
          <w:szCs w:val="32"/>
          <w:highlight w:val="none"/>
          <w:shd w:val="clear" w:color="auto" w:fill="FFFFFF"/>
        </w:rPr>
        <w:t>情节严重的录入科研诚信严重失信行为数据库。</w:t>
      </w:r>
    </w:p>
    <w:p w14:paraId="142EC6A0">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（一）在申请认定和接受管理过程中存在弄虚作假、严重失信、偷税漏税等违法违规行为的；</w:t>
      </w:r>
    </w:p>
    <w:p w14:paraId="1309C3A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（二）发生重大环保、质量和安全事故，造成严重后果的；</w:t>
      </w:r>
    </w:p>
    <w:p w14:paraId="680230C3">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（三）运营出现问题，无法正常开展业务，经限期1年整改仍不合格的；</w:t>
      </w:r>
    </w:p>
    <w:p w14:paraId="4D9BB675">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（四）无故不参加绩效评估，或绩效评估等级为整改，经限期1年整改仍不合格的；</w:t>
      </w:r>
    </w:p>
    <w:p w14:paraId="3D9838FA">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（五）运营主体注销或发生重大变化，已不再符合认定条件的；</w:t>
      </w:r>
    </w:p>
    <w:p w14:paraId="7CBA3C33">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（六）自行要求取消认定的。</w:t>
      </w:r>
    </w:p>
    <w:p w14:paraId="1460693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bookmarkStart w:id="1" w:name="OLE_LINK4"/>
    </w:p>
    <w:bookmarkEnd w:id="1"/>
    <w:p w14:paraId="52CC5D8F">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2"/>
          <w:rFonts w:hint="eastAsia" w:ascii="黑体" w:hAnsi="黑体" w:eastAsia="黑体" w:cs="黑体"/>
          <w:b w:val="0"/>
          <w:bCs/>
          <w:color w:val="0F1115"/>
          <w:sz w:val="32"/>
          <w:szCs w:val="32"/>
          <w:highlight w:val="none"/>
          <w:shd w:val="clear" w:color="auto" w:fill="FFFFFF"/>
        </w:rPr>
      </w:pPr>
      <w:r>
        <w:rPr>
          <w:rStyle w:val="13"/>
          <w:rFonts w:ascii="黑体" w:hAnsi="黑体" w:eastAsia="黑体" w:cs="黑体"/>
          <w:b w:val="0"/>
          <w:bCs/>
          <w:color w:val="0F1115"/>
          <w:sz w:val="32"/>
          <w:szCs w:val="32"/>
          <w:highlight w:val="none"/>
          <w:shd w:val="clear" w:color="auto" w:fill="FFFFFF"/>
        </w:rPr>
        <w:t>第五章</w:t>
      </w:r>
      <w:r>
        <w:rPr>
          <w:rStyle w:val="13"/>
          <w:rFonts w:hint="eastAsia" w:ascii="黑体" w:hAnsi="黑体" w:eastAsia="黑体" w:cs="黑体"/>
          <w:b w:val="0"/>
          <w:bCs/>
          <w:color w:val="0F1115"/>
          <w:sz w:val="32"/>
          <w:szCs w:val="32"/>
          <w:highlight w:val="none"/>
          <w:shd w:val="clear" w:color="auto" w:fill="FFFFFF"/>
          <w:lang w:val="en-US" w:eastAsia="zh-CN"/>
        </w:rPr>
        <w:t xml:space="preserve"> </w:t>
      </w:r>
      <w:r>
        <w:rPr>
          <w:rStyle w:val="13"/>
          <w:rFonts w:ascii="黑体" w:hAnsi="黑体" w:eastAsia="黑体" w:cs="黑体"/>
          <w:b w:val="0"/>
          <w:bCs/>
          <w:color w:val="0F1115"/>
          <w:sz w:val="32"/>
          <w:szCs w:val="32"/>
          <w:highlight w:val="none"/>
          <w:shd w:val="clear" w:color="auto" w:fill="FFFFFF"/>
        </w:rPr>
        <w:t xml:space="preserve"> 支持政策</w:t>
      </w:r>
    </w:p>
    <w:p w14:paraId="02B374D1">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p>
    <w:p w14:paraId="5715E57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napToGrid w:val="0"/>
          <w:color w:val="auto"/>
          <w:kern w:val="2"/>
          <w:sz w:val="32"/>
          <w:szCs w:val="32"/>
          <w:highlight w:val="none"/>
          <w:lang w:val="en-US" w:eastAsia="zh-CN" w:bidi="ar-SA"/>
        </w:rPr>
      </w:pPr>
      <w:r>
        <w:rPr>
          <w:rStyle w:val="13"/>
          <w:rFonts w:hint="eastAsia" w:ascii="仿宋_GB2312" w:hAnsi="仿宋_GB2312" w:eastAsia="仿宋_GB2312" w:cs="仿宋_GB2312"/>
          <w:color w:val="0F1115"/>
          <w:sz w:val="32"/>
          <w:szCs w:val="32"/>
          <w:highlight w:val="none"/>
          <w:shd w:val="clear" w:color="auto" w:fill="FFFFFF"/>
        </w:rPr>
        <w:t>第二十</w:t>
      </w:r>
      <w:r>
        <w:rPr>
          <w:rStyle w:val="13"/>
          <w:rFonts w:hint="eastAsia" w:ascii="仿宋_GB2312" w:hAnsi="仿宋_GB2312" w:eastAsia="仿宋_GB2312" w:cs="仿宋_GB2312"/>
          <w:color w:val="0F1115"/>
          <w:sz w:val="32"/>
          <w:szCs w:val="32"/>
          <w:highlight w:val="none"/>
          <w:shd w:val="clear" w:color="auto" w:fill="FFFFFF"/>
          <w:lang w:eastAsia="zh-CN"/>
        </w:rPr>
        <w:t>三</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对新认定的成果转化基地，</w:t>
      </w:r>
      <w:r>
        <w:rPr>
          <w:rFonts w:hint="eastAsia" w:ascii="仿宋_GB2312" w:hAnsi="仿宋_GB2312" w:eastAsia="仿宋_GB2312" w:cs="仿宋_GB2312"/>
          <w:snapToGrid w:val="0"/>
          <w:color w:val="auto"/>
          <w:kern w:val="2"/>
          <w:sz w:val="32"/>
          <w:szCs w:val="32"/>
          <w:highlight w:val="none"/>
          <w:lang w:val="en-US" w:eastAsia="zh-CN" w:bidi="ar-SA"/>
        </w:rPr>
        <w:t>予以一次性科技项目支持，</w:t>
      </w:r>
      <w:r>
        <w:rPr>
          <w:rFonts w:hint="eastAsia" w:ascii="仿宋_GB2312" w:hAnsi="仿宋_GB2312" w:eastAsia="仿宋_GB2312" w:cs="仿宋_GB2312"/>
          <w:color w:val="0F1115"/>
          <w:sz w:val="32"/>
          <w:szCs w:val="32"/>
          <w:highlight w:val="none"/>
          <w:shd w:val="clear" w:color="auto" w:fill="FFFFFF"/>
        </w:rPr>
        <w:t>主要用于能力建设</w:t>
      </w:r>
      <w:r>
        <w:rPr>
          <w:rFonts w:hint="eastAsia" w:ascii="仿宋_GB2312" w:hAnsi="仿宋_GB2312" w:eastAsia="仿宋_GB2312" w:cs="仿宋_GB2312"/>
          <w:snapToGrid w:val="0"/>
          <w:color w:val="auto"/>
          <w:kern w:val="2"/>
          <w:sz w:val="32"/>
          <w:szCs w:val="32"/>
          <w:highlight w:val="none"/>
          <w:lang w:val="en-US" w:eastAsia="zh-CN" w:bidi="ar-SA"/>
        </w:rPr>
        <w:t>。新认定基地负责人申请新认定基地支持科技计划项目，不纳入申报超项限制，立项后亦不计入其后续申报科技计划项目申报超项限制。每个平台有且只能获得一次新认定基地科技计划项目资助。</w:t>
      </w:r>
    </w:p>
    <w:p w14:paraId="30A49B89">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第二十</w:t>
      </w:r>
      <w:r>
        <w:rPr>
          <w:rStyle w:val="13"/>
          <w:rFonts w:hint="eastAsia" w:ascii="仿宋_GB2312" w:hAnsi="仿宋_GB2312" w:eastAsia="仿宋_GB2312" w:cs="仿宋_GB2312"/>
          <w:color w:val="0F1115"/>
          <w:sz w:val="32"/>
          <w:szCs w:val="32"/>
          <w:highlight w:val="none"/>
          <w:shd w:val="clear" w:color="auto" w:fill="FFFFFF"/>
          <w:lang w:eastAsia="zh-CN"/>
        </w:rPr>
        <w:t>四</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对绩效评估结果为“优秀”和“良好”的成果转化基地，</w:t>
      </w:r>
      <w:r>
        <w:rPr>
          <w:rFonts w:hint="eastAsia" w:ascii="仿宋_GB2312" w:hAnsi="仿宋_GB2312" w:eastAsia="仿宋_GB2312" w:cs="仿宋_GB2312"/>
          <w:color w:val="0F1115"/>
          <w:sz w:val="32"/>
          <w:szCs w:val="32"/>
          <w:highlight w:val="none"/>
          <w:shd w:val="clear" w:color="auto" w:fill="FFFFFF"/>
          <w:lang w:eastAsia="zh-CN"/>
        </w:rPr>
        <w:t>予以稳定科技项目支持</w:t>
      </w:r>
      <w:r>
        <w:rPr>
          <w:rFonts w:hint="eastAsia" w:ascii="仿宋_GB2312" w:hAnsi="仿宋_GB2312" w:eastAsia="仿宋_GB2312" w:cs="仿宋_GB2312"/>
          <w:color w:val="0F1115"/>
          <w:sz w:val="32"/>
          <w:szCs w:val="32"/>
          <w:highlight w:val="none"/>
          <w:shd w:val="clear" w:color="auto" w:fill="FFFFFF"/>
        </w:rPr>
        <w:t>，其中“优秀”等次予以优先支持。申报</w:t>
      </w:r>
      <w:r>
        <w:rPr>
          <w:rFonts w:hint="eastAsia" w:ascii="仿宋_GB2312" w:hAnsi="仿宋_GB2312" w:eastAsia="仿宋_GB2312" w:cs="仿宋_GB2312"/>
          <w:color w:val="0F1115"/>
          <w:sz w:val="32"/>
          <w:szCs w:val="32"/>
          <w:highlight w:val="none"/>
          <w:shd w:val="clear" w:color="auto" w:fill="FFFFFF"/>
          <w:lang w:eastAsia="zh-CN"/>
        </w:rPr>
        <w:t>人</w:t>
      </w:r>
      <w:r>
        <w:rPr>
          <w:rFonts w:hint="eastAsia" w:ascii="仿宋_GB2312" w:hAnsi="仿宋_GB2312" w:eastAsia="仿宋_GB2312" w:cs="仿宋_GB2312"/>
          <w:color w:val="0F1115"/>
          <w:sz w:val="32"/>
          <w:szCs w:val="32"/>
          <w:highlight w:val="none"/>
          <w:shd w:val="clear" w:color="auto" w:fill="FFFFFF"/>
        </w:rPr>
        <w:t>此类项目不受超项限制，立项后不计入项数限额。每个基地在一个评估周</w:t>
      </w:r>
      <w:r>
        <w:rPr>
          <w:rFonts w:hint="default" w:ascii="Times New Roman" w:hAnsi="Times New Roman" w:eastAsia="仿宋_GB2312" w:cs="Times New Roman"/>
          <w:color w:val="0F1115"/>
          <w:sz w:val="32"/>
          <w:szCs w:val="32"/>
          <w:highlight w:val="none"/>
          <w:shd w:val="clear" w:color="auto" w:fill="FFFFFF"/>
        </w:rPr>
        <w:t>期（3年）内最多获得1次资助</w:t>
      </w:r>
      <w:r>
        <w:rPr>
          <w:rFonts w:hint="eastAsia" w:ascii="仿宋_GB2312" w:hAnsi="仿宋_GB2312" w:eastAsia="仿宋_GB2312" w:cs="仿宋_GB2312"/>
          <w:color w:val="0F1115"/>
          <w:sz w:val="32"/>
          <w:szCs w:val="32"/>
          <w:highlight w:val="none"/>
          <w:shd w:val="clear" w:color="auto" w:fill="FFFFFF"/>
        </w:rPr>
        <w:t>。</w:t>
      </w:r>
    </w:p>
    <w:p w14:paraId="0439F444">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Times New Roman" w:hAnsi="Times New Roman" w:eastAsia="仿宋_GB2312" w:cs="Times New Roman"/>
          <w:sz w:val="32"/>
          <w:szCs w:val="32"/>
          <w:highlight w:val="none"/>
          <w:lang w:val="en-US" w:eastAsia="zh-CN" w:bidi="ar-SA"/>
        </w:rPr>
        <w:t>对绩效评估结</w:t>
      </w:r>
      <w:r>
        <w:rPr>
          <w:rFonts w:hint="eastAsia" w:ascii="仿宋_GB2312" w:hAnsi="仿宋_GB2312" w:eastAsia="仿宋_GB2312" w:cs="仿宋_GB2312"/>
          <w:sz w:val="32"/>
          <w:szCs w:val="32"/>
          <w:highlight w:val="none"/>
          <w:lang w:val="en-US" w:eastAsia="zh-CN" w:bidi="ar-SA"/>
        </w:rPr>
        <w:t>果为“合格”以上等次的</w:t>
      </w:r>
      <w:r>
        <w:rPr>
          <w:rFonts w:hint="eastAsia" w:ascii="仿宋_GB2312" w:hAnsi="仿宋_GB2312" w:eastAsia="仿宋_GB2312" w:cs="仿宋_GB2312"/>
          <w:color w:val="0F1115"/>
          <w:sz w:val="32"/>
          <w:szCs w:val="32"/>
          <w:highlight w:val="none"/>
          <w:shd w:val="clear" w:color="auto" w:fill="FFFFFF"/>
        </w:rPr>
        <w:t>成果转化基地</w:t>
      </w:r>
      <w:r>
        <w:rPr>
          <w:rFonts w:hint="eastAsia" w:ascii="仿宋_GB2312" w:hAnsi="仿宋_GB2312" w:eastAsia="仿宋_GB2312" w:cs="仿宋_GB2312"/>
          <w:sz w:val="32"/>
          <w:szCs w:val="32"/>
          <w:highlight w:val="none"/>
          <w:lang w:val="en-US" w:eastAsia="zh-CN" w:bidi="ar-SA"/>
        </w:rPr>
        <w:t>鼓励申报科技计划项目。</w:t>
      </w:r>
    </w:p>
    <w:p w14:paraId="485F9AE3">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第二十</w:t>
      </w:r>
      <w:r>
        <w:rPr>
          <w:rStyle w:val="13"/>
          <w:rFonts w:hint="eastAsia" w:ascii="仿宋_GB2312" w:hAnsi="仿宋_GB2312" w:eastAsia="仿宋_GB2312" w:cs="仿宋_GB2312"/>
          <w:color w:val="0F1115"/>
          <w:sz w:val="32"/>
          <w:szCs w:val="32"/>
          <w:highlight w:val="none"/>
          <w:shd w:val="clear" w:color="auto" w:fill="FFFFFF"/>
          <w:lang w:eastAsia="zh-CN"/>
        </w:rPr>
        <w:t>五</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鼓励各</w:t>
      </w:r>
      <w:r>
        <w:rPr>
          <w:rFonts w:hint="eastAsia" w:ascii="仿宋_GB2312" w:hAnsi="仿宋_GB2312" w:eastAsia="仿宋_GB2312" w:cs="仿宋_GB2312"/>
          <w:color w:val="0F1115"/>
          <w:sz w:val="32"/>
          <w:szCs w:val="32"/>
          <w:highlight w:val="none"/>
          <w:shd w:val="clear" w:color="auto" w:fill="FFFFFF"/>
          <w:lang w:eastAsia="zh-CN"/>
        </w:rPr>
        <w:t>设区</w:t>
      </w:r>
      <w:r>
        <w:rPr>
          <w:rFonts w:hint="eastAsia" w:ascii="仿宋_GB2312" w:hAnsi="仿宋_GB2312" w:eastAsia="仿宋_GB2312" w:cs="仿宋_GB2312"/>
          <w:color w:val="0F1115"/>
          <w:sz w:val="32"/>
          <w:szCs w:val="32"/>
          <w:highlight w:val="none"/>
          <w:shd w:val="clear" w:color="auto" w:fill="FFFFFF"/>
        </w:rPr>
        <w:t>市科技局</w:t>
      </w:r>
      <w:r>
        <w:rPr>
          <w:rFonts w:hint="eastAsia" w:ascii="仿宋_GB2312" w:hAnsi="仿宋_GB2312" w:eastAsia="仿宋_GB2312" w:cs="仿宋_GB2312"/>
          <w:color w:val="0F1115"/>
          <w:sz w:val="32"/>
          <w:szCs w:val="32"/>
          <w:highlight w:val="none"/>
          <w:shd w:val="clear" w:color="auto" w:fill="FFFFFF"/>
          <w:lang w:eastAsia="zh-CN"/>
        </w:rPr>
        <w:t>、各高新区管委会</w:t>
      </w:r>
      <w:r>
        <w:rPr>
          <w:rFonts w:hint="eastAsia" w:ascii="仿宋_GB2312" w:hAnsi="仿宋_GB2312" w:eastAsia="仿宋_GB2312" w:cs="仿宋_GB2312"/>
          <w:color w:val="0F1115"/>
          <w:sz w:val="32"/>
          <w:szCs w:val="32"/>
          <w:highlight w:val="none"/>
          <w:shd w:val="clear" w:color="auto" w:fill="FFFFFF"/>
        </w:rPr>
        <w:t>和相关部门结合实际，在资金、土地、税收、项目、人才等方面加大对成果转化基地的支持力度。</w:t>
      </w:r>
    </w:p>
    <w:p w14:paraId="44EAA0A7">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b/>
          <w:bCs/>
          <w:color w:val="0F1115"/>
          <w:sz w:val="32"/>
          <w:szCs w:val="32"/>
          <w:highlight w:val="none"/>
          <w:shd w:val="clear" w:color="auto" w:fill="FFFFFF"/>
        </w:rPr>
        <w:t>第二十六条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支持成果转化基地深化教育科技人才体制机制一体化改革。鼓励成果转化基地联合高等学校、职业院校开展专业技术培训，共建研究生联合培养基地，培养高层次应用型人才。</w:t>
      </w:r>
    </w:p>
    <w:p w14:paraId="095A5BCE">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color w:val="0F1115"/>
          <w:sz w:val="32"/>
          <w:szCs w:val="32"/>
          <w:highlight w:val="none"/>
          <w:shd w:val="clear" w:color="auto" w:fill="FFFFFF"/>
        </w:rPr>
        <w:t>支持成果转化基地面向高等学校、科研院所开放短期全职研究和交流岗位，吸引科研人员开展合作研究。建立健全科研人员双向流动机制，支持高等学校、科研院所科研人员在成果转化基地兼职创新、在职创办企业，并在职称评审、项目申报、岗位竞聘、考核奖励等方面享有同等权利，畅通人才在依托单位、共建单位之间的有序流动。</w:t>
      </w:r>
    </w:p>
    <w:p w14:paraId="6322042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F1115"/>
          <w:sz w:val="32"/>
          <w:szCs w:val="32"/>
          <w:highlight w:val="none"/>
          <w:shd w:val="clear" w:color="auto" w:fill="FFFFFF"/>
        </w:rPr>
      </w:pPr>
    </w:p>
    <w:p w14:paraId="4C8863AD">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Style w:val="13"/>
          <w:rFonts w:ascii="黑体" w:hAnsi="黑体" w:eastAsia="黑体" w:cs="黑体"/>
          <w:b w:val="0"/>
          <w:bCs/>
          <w:color w:val="0F1115"/>
          <w:sz w:val="32"/>
          <w:szCs w:val="32"/>
          <w:highlight w:val="none"/>
          <w:shd w:val="clear" w:color="auto" w:fill="FFFFFF"/>
        </w:rPr>
      </w:pPr>
      <w:r>
        <w:rPr>
          <w:rFonts w:hint="eastAsia" w:ascii="黑体" w:hAnsi="黑体" w:eastAsia="黑体" w:cs="黑体"/>
          <w:b w:val="0"/>
          <w:bCs/>
          <w:color w:val="0F1115"/>
          <w:kern w:val="0"/>
          <w:sz w:val="32"/>
          <w:szCs w:val="32"/>
          <w:highlight w:val="none"/>
          <w:shd w:val="clear" w:color="auto" w:fill="FFFFFF"/>
          <w:lang w:val="en-US" w:eastAsia="zh-CN" w:bidi="ar-SA"/>
        </w:rPr>
        <w:t xml:space="preserve">第六章  </w:t>
      </w:r>
      <w:r>
        <w:rPr>
          <w:rStyle w:val="13"/>
          <w:rFonts w:ascii="黑体" w:hAnsi="黑体" w:eastAsia="黑体" w:cs="黑体"/>
          <w:b w:val="0"/>
          <w:bCs/>
          <w:color w:val="0F1115"/>
          <w:sz w:val="32"/>
          <w:szCs w:val="32"/>
          <w:highlight w:val="none"/>
          <w:shd w:val="clear" w:color="auto" w:fill="FFFFFF"/>
        </w:rPr>
        <w:t>附则</w:t>
      </w:r>
    </w:p>
    <w:p w14:paraId="1307AA5F">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sz w:val="32"/>
          <w:szCs w:val="32"/>
          <w:highlight w:val="none"/>
        </w:rPr>
      </w:pPr>
    </w:p>
    <w:p w14:paraId="6B48957C">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Fonts w:hint="eastAsia" w:ascii="仿宋_GB2312" w:hAnsi="仿宋_GB2312" w:eastAsia="仿宋_GB2312" w:cs="仿宋_GB2312"/>
          <w:b/>
          <w:bCs/>
          <w:color w:val="0F1115"/>
          <w:sz w:val="32"/>
          <w:szCs w:val="32"/>
          <w:highlight w:val="none"/>
          <w:shd w:val="clear" w:color="auto" w:fill="FFFFFF"/>
        </w:rPr>
        <w:t>第二十七条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原自治区级科技企业孵化器、众创空间，应当按照本办法规定的条件和程序重</w:t>
      </w:r>
      <w:r>
        <w:rPr>
          <w:rFonts w:hint="default" w:ascii="Times New Roman" w:hAnsi="Times New Roman" w:eastAsia="仿宋_GB2312" w:cs="Times New Roman"/>
          <w:color w:val="0F1115"/>
          <w:sz w:val="32"/>
          <w:szCs w:val="32"/>
          <w:highlight w:val="none"/>
          <w:shd w:val="clear" w:color="auto" w:fill="FFFFFF"/>
        </w:rPr>
        <w:t>新申请认定。自2027年12月31日起，未获自治区科技型企业孵化</w:t>
      </w:r>
      <w:r>
        <w:rPr>
          <w:rFonts w:hint="eastAsia" w:ascii="仿宋_GB2312" w:hAnsi="仿宋_GB2312" w:eastAsia="仿宋_GB2312" w:cs="仿宋_GB2312"/>
          <w:color w:val="0F1115"/>
          <w:sz w:val="32"/>
          <w:szCs w:val="32"/>
          <w:highlight w:val="none"/>
          <w:shd w:val="clear" w:color="auto" w:fill="FFFFFF"/>
        </w:rPr>
        <w:t>器认定的，原资格自动失效；未成功转建的原国家级科技企业孵化器，纳入本办法进行统一管理。</w:t>
      </w:r>
    </w:p>
    <w:p w14:paraId="24359FD8">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F1115"/>
          <w:sz w:val="32"/>
          <w:szCs w:val="32"/>
          <w:highlight w:val="none"/>
          <w:shd w:val="clear" w:color="auto" w:fill="FFFFFF"/>
        </w:rPr>
      </w:pPr>
      <w:r>
        <w:rPr>
          <w:rStyle w:val="13"/>
          <w:rFonts w:hint="eastAsia" w:ascii="仿宋_GB2312" w:hAnsi="仿宋_GB2312" w:eastAsia="仿宋_GB2312" w:cs="仿宋_GB2312"/>
          <w:color w:val="0F1115"/>
          <w:sz w:val="32"/>
          <w:szCs w:val="32"/>
          <w:highlight w:val="none"/>
          <w:shd w:val="clear" w:color="auto" w:fill="FFFFFF"/>
        </w:rPr>
        <w:t>第二十</w:t>
      </w:r>
      <w:r>
        <w:rPr>
          <w:rStyle w:val="13"/>
          <w:rFonts w:hint="eastAsia" w:ascii="仿宋_GB2312" w:hAnsi="仿宋_GB2312" w:eastAsia="仿宋_GB2312" w:cs="仿宋_GB2312"/>
          <w:color w:val="0F1115"/>
          <w:sz w:val="32"/>
          <w:szCs w:val="32"/>
          <w:highlight w:val="none"/>
          <w:shd w:val="clear" w:color="auto" w:fill="FFFFFF"/>
          <w:lang w:eastAsia="zh-CN"/>
        </w:rPr>
        <w:t>八</w:t>
      </w:r>
      <w:r>
        <w:rPr>
          <w:rStyle w:val="13"/>
          <w:rFonts w:hint="eastAsia" w:ascii="仿宋_GB2312" w:hAnsi="仿宋_GB2312" w:eastAsia="仿宋_GB2312" w:cs="仿宋_GB2312"/>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本办法由自治区科技厅负责解释。</w:t>
      </w:r>
    </w:p>
    <w:p w14:paraId="13A2A35F">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F1115"/>
          <w:sz w:val="32"/>
          <w:szCs w:val="32"/>
          <w:highlight w:val="none"/>
          <w:shd w:val="clear" w:color="auto" w:fill="FFFFFF"/>
        </w:rPr>
      </w:pPr>
      <w:r>
        <w:rPr>
          <w:rFonts w:hint="eastAsia" w:ascii="仿宋_GB2312" w:hAnsi="仿宋_GB2312" w:eastAsia="仿宋_GB2312" w:cs="仿宋_GB2312"/>
          <w:b/>
          <w:bCs/>
          <w:color w:val="0F1115"/>
          <w:sz w:val="32"/>
          <w:szCs w:val="32"/>
          <w:highlight w:val="none"/>
          <w:shd w:val="clear" w:color="auto" w:fill="FFFFFF"/>
        </w:rPr>
        <w:t>第二十</w:t>
      </w:r>
      <w:r>
        <w:rPr>
          <w:rFonts w:hint="eastAsia" w:ascii="仿宋_GB2312" w:hAnsi="仿宋_GB2312" w:eastAsia="仿宋_GB2312" w:cs="仿宋_GB2312"/>
          <w:b/>
          <w:bCs/>
          <w:color w:val="0F1115"/>
          <w:sz w:val="32"/>
          <w:szCs w:val="32"/>
          <w:highlight w:val="none"/>
          <w:shd w:val="clear" w:color="auto" w:fill="FFFFFF"/>
          <w:lang w:eastAsia="zh-CN"/>
        </w:rPr>
        <w:t>九</w:t>
      </w:r>
      <w:r>
        <w:rPr>
          <w:rFonts w:hint="eastAsia" w:ascii="仿宋_GB2312" w:hAnsi="仿宋_GB2312" w:eastAsia="仿宋_GB2312" w:cs="仿宋_GB2312"/>
          <w:b/>
          <w:bCs/>
          <w:color w:val="0F1115"/>
          <w:sz w:val="32"/>
          <w:szCs w:val="32"/>
          <w:highlight w:val="none"/>
          <w:shd w:val="clear" w:color="auto" w:fill="FFFFFF"/>
        </w:rPr>
        <w:t>条</w:t>
      </w:r>
      <w:r>
        <w:rPr>
          <w:rFonts w:hint="eastAsia" w:ascii="仿宋_GB2312" w:hAnsi="仿宋_GB2312" w:eastAsia="仿宋_GB2312" w:cs="仿宋_GB2312"/>
          <w:color w:val="0F1115"/>
          <w:sz w:val="32"/>
          <w:szCs w:val="32"/>
          <w:highlight w:val="none"/>
          <w:shd w:val="clear" w:color="auto" w:fill="FFFFFF"/>
          <w:lang w:val="en-US" w:eastAsia="zh-CN"/>
        </w:rPr>
        <w:t xml:space="preserve">  </w:t>
      </w:r>
      <w:r>
        <w:rPr>
          <w:rFonts w:hint="eastAsia" w:ascii="仿宋_GB2312" w:hAnsi="仿宋_GB2312" w:eastAsia="仿宋_GB2312" w:cs="仿宋_GB2312"/>
          <w:color w:val="0F1115"/>
          <w:sz w:val="32"/>
          <w:szCs w:val="32"/>
          <w:highlight w:val="none"/>
          <w:shd w:val="clear" w:color="auto" w:fill="FFFFFF"/>
        </w:rPr>
        <w:t>本办法</w:t>
      </w:r>
      <w:r>
        <w:rPr>
          <w:rFonts w:hint="default" w:ascii="Times New Roman" w:hAnsi="Times New Roman" w:eastAsia="仿宋_GB2312" w:cs="Times New Roman"/>
          <w:color w:val="0F1115"/>
          <w:sz w:val="32"/>
          <w:szCs w:val="32"/>
          <w:highlight w:val="none"/>
          <w:shd w:val="clear" w:color="auto" w:fill="FFFFFF"/>
        </w:rPr>
        <w:t>自2026年X月X日起施行。《广西科技成果转化中试研究基地暂行管理办法》（桂科成字〔2021〕114号）、《广西壮族自治区科技企业孵化器管理办法》（桂科成字〔2021〕30号）、《广西壮族自治区众创空间备案办法》（桂科高字〔2016〕186号）、《广西概念验证中心建设工作指引（试行）》（桂科规字〔2025〕2号）同时废止。</w:t>
      </w:r>
    </w:p>
    <w:p w14:paraId="09B2D385">
      <w:pPr>
        <w:keepNext w:val="0"/>
        <w:keepLines w:val="0"/>
        <w:pageBreakBefore w:val="0"/>
        <w:shd w:val="clear" w:color="auto" w:fill="auto"/>
        <w:kinsoku/>
        <w:wordWrap/>
        <w:overflowPunct/>
        <w:topLinePunct w:val="0"/>
        <w:autoSpaceDE/>
        <w:autoSpaceDN/>
        <w:bidi w:val="0"/>
        <w:adjustRightInd/>
        <w:snapToGrid/>
        <w:spacing w:line="580" w:lineRule="exact"/>
        <w:textAlignment w:val="auto"/>
        <w:rPr>
          <w:rFonts w:hint="default"/>
          <w:highlight w:val="none"/>
          <w:lang w:val="en-US" w:eastAsia="zh-CN"/>
        </w:rPr>
      </w:pPr>
      <w:bookmarkStart w:id="2" w:name="_GoBack"/>
      <w:bookmarkEnd w:id="2"/>
    </w:p>
    <w:sectPr>
      <w:footerReference r:id="rId3" w:type="default"/>
      <w:pgSz w:w="11906" w:h="16838"/>
      <w:pgMar w:top="2098" w:right="1531" w:bottom="1440"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3B3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7B27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7077B27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8B9F3"/>
    <w:multiLevelType w:val="singleLevel"/>
    <w:tmpl w:val="6DF8B9F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132A5"/>
    <w:rsid w:val="3B670B4C"/>
    <w:rsid w:val="3CF21EEE"/>
    <w:rsid w:val="3EAB0813"/>
    <w:rsid w:val="3ED5976E"/>
    <w:rsid w:val="3EED86D6"/>
    <w:rsid w:val="5DF7A0A2"/>
    <w:rsid w:val="5EEF506D"/>
    <w:rsid w:val="5FFBC72A"/>
    <w:rsid w:val="67FE533C"/>
    <w:rsid w:val="7F53B097"/>
    <w:rsid w:val="98BF93E7"/>
    <w:rsid w:val="BEFE58C5"/>
    <w:rsid w:val="CFE3F73C"/>
    <w:rsid w:val="CFFFC0AB"/>
    <w:rsid w:val="DCFFAA6D"/>
    <w:rsid w:val="EE579D9E"/>
    <w:rsid w:val="FF678B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character" w:styleId="13">
    <w:name w:val="Strong"/>
    <w:basedOn w:val="12"/>
    <w:qFormat/>
    <w:uiPriority w:val="0"/>
    <w:rPr>
      <w:b/>
    </w:rPr>
  </w:style>
  <w:style w:type="paragraph" w:customStyle="1" w:styleId="14">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458</Words>
  <Characters>504</Characters>
  <Lines>0</Lines>
  <Paragraphs>0</Paragraphs>
  <TotalTime>28.6666666666667</TotalTime>
  <ScaleCrop>false</ScaleCrop>
  <LinksUpToDate>false</LinksUpToDate>
  <CharactersWithSpaces>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墨迹夏子</cp:lastModifiedBy>
  <cp:lastPrinted>2026-03-24T01:37:48Z</cp:lastPrinted>
  <dcterms:modified xsi:type="dcterms:W3CDTF">2026-03-23T11:05:30Z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B2A7447CFFCE4EE3BD6F667D5A7C19DF_13</vt:lpwstr>
  </property>
</Properties>
</file>