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DEE59">
      <w:pPr>
        <w:pStyle w:val="10"/>
        <w:keepNext w:val="0"/>
        <w:keepLines w:val="0"/>
        <w:pageBreakBefore w:val="0"/>
        <w:widowControl/>
        <w:shd w:val="clear" w:color="auto" w:fill="auto"/>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黑体" w:cs="Times New Roman"/>
          <w:sz w:val="32"/>
          <w:szCs w:val="32"/>
          <w:highlight w:val="none"/>
          <w:lang w:val="en-US" w:eastAsia="zh-CN"/>
        </w:rPr>
      </w:pPr>
      <w:bookmarkStart w:id="0" w:name="_GoBack"/>
      <w:bookmarkEnd w:id="0"/>
      <w:r>
        <w:rPr>
          <w:rFonts w:hint="default" w:ascii="Times New Roman" w:hAnsi="Times New Roman" w:eastAsia="黑体" w:cs="Times New Roman"/>
          <w:sz w:val="32"/>
          <w:szCs w:val="32"/>
          <w:highlight w:val="none"/>
          <w:lang w:eastAsia="zh-CN"/>
        </w:rPr>
        <w:t>附件</w:t>
      </w:r>
      <w:r>
        <w:rPr>
          <w:rFonts w:hint="default" w:ascii="Times New Roman" w:hAnsi="Times New Roman" w:eastAsia="黑体" w:cs="Times New Roman"/>
          <w:sz w:val="32"/>
          <w:szCs w:val="32"/>
          <w:highlight w:val="none"/>
          <w:lang w:val="en-US" w:eastAsia="zh-CN"/>
        </w:rPr>
        <w:t>2</w:t>
      </w:r>
    </w:p>
    <w:p w14:paraId="4BFA373D">
      <w:pPr>
        <w:pStyle w:val="10"/>
        <w:keepNext w:val="0"/>
        <w:keepLines w:val="0"/>
        <w:pageBreakBefore w:val="0"/>
        <w:widowControl/>
        <w:shd w:val="clear" w:color="auto" w:fill="auto"/>
        <w:kinsoku/>
        <w:wordWrap/>
        <w:overflowPunct/>
        <w:topLinePunct w:val="0"/>
        <w:autoSpaceDE/>
        <w:autoSpaceDN/>
        <w:bidi w:val="0"/>
        <w:adjustRightInd/>
        <w:snapToGrid/>
        <w:spacing w:line="580" w:lineRule="exact"/>
        <w:ind w:firstLine="0" w:firstLineChars="0"/>
        <w:textAlignment w:val="auto"/>
        <w:rPr>
          <w:rFonts w:hint="eastAsia" w:ascii="黑体" w:hAnsi="黑体" w:eastAsia="黑体" w:cs="黑体"/>
          <w:sz w:val="32"/>
          <w:szCs w:val="32"/>
          <w:highlight w:val="none"/>
          <w:lang w:val="en-US" w:eastAsia="zh-CN"/>
        </w:rPr>
      </w:pPr>
    </w:p>
    <w:p w14:paraId="3AC36A6D">
      <w:pPr>
        <w:keepNext w:val="0"/>
        <w:keepLines w:val="0"/>
        <w:pageBreakBefore w:val="0"/>
        <w:widowControl w:val="0"/>
        <w:shd w:val="clear" w:color="auto" w:fill="auto"/>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起草说明</w:t>
      </w:r>
    </w:p>
    <w:p w14:paraId="70D77B1B">
      <w:pPr>
        <w:keepNext w:val="0"/>
        <w:keepLines w:val="0"/>
        <w:pageBreakBefore w:val="0"/>
        <w:widowControl w:val="0"/>
        <w:shd w:val="clear" w:color="auto" w:fill="auto"/>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highlight w:val="none"/>
        </w:rPr>
      </w:pPr>
    </w:p>
    <w:p w14:paraId="69F6944D">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深入贯彻落实创新驱动发展战略，进一步规范和加强我区科技成果转化平台建设管理，根据自治区党委科技委员会有关工作部署，现将《广西壮族自治区科技成果转化基地管理办法》（以下简称《办法》）的起草情况说明如下：</w:t>
      </w:r>
    </w:p>
    <w:p w14:paraId="493CA98C">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一、起草背景</w:t>
      </w:r>
    </w:p>
    <w:p w14:paraId="0D835976">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根据自治区党委科技委员会办公室印发的《自治区科技创新平台基地清理规范</w:t>
      </w:r>
      <w:r>
        <w:rPr>
          <w:rFonts w:hint="default" w:ascii="Times New Roman" w:hAnsi="Times New Roman" w:eastAsia="仿宋_GB2312" w:cs="Times New Roman"/>
          <w:sz w:val="32"/>
          <w:szCs w:val="32"/>
          <w:highlight w:val="none"/>
        </w:rPr>
        <w:t>及发展建设实施方</w:t>
      </w:r>
      <w:r>
        <w:rPr>
          <w:rFonts w:hint="eastAsia" w:ascii="仿宋_GB2312" w:hAnsi="仿宋_GB2312" w:eastAsia="仿宋_GB2312" w:cs="仿宋_GB2312"/>
          <w:sz w:val="32"/>
          <w:szCs w:val="32"/>
          <w:highlight w:val="none"/>
        </w:rPr>
        <w:t>案</w:t>
      </w:r>
      <w:r>
        <w:rPr>
          <w:rFonts w:hint="eastAsia" w:ascii="Times New Roman" w:hAnsi="Times New Roman" w:eastAsia="仿宋_GB2312" w:cs="Times New Roman"/>
          <w:sz w:val="32"/>
          <w:szCs w:val="32"/>
          <w:highlight w:val="none"/>
        </w:rPr>
        <w:t>》（桂科委办发〔2025〕10号）要求，我区科技创新平台基地需按照“四横四纵”的体系进行整体布局，即横向从基础研究、技术创新、成果转化与产业化、条件保障等4种类别进行功能定位，纵向从国家级、部级、自治区级和厅局级四个层级进行梯度建设。</w:t>
      </w:r>
    </w:p>
    <w:p w14:paraId="3CF40754">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在此框架下，</w:t>
      </w:r>
      <w:r>
        <w:rPr>
          <w:rFonts w:hint="eastAsia" w:ascii="Times New Roman" w:hAnsi="Times New Roman" w:eastAsia="仿宋_GB2312" w:cs="Times New Roman"/>
          <w:sz w:val="32"/>
          <w:szCs w:val="32"/>
          <w:highlight w:val="none"/>
          <w:lang w:eastAsia="zh-CN"/>
        </w:rPr>
        <w:t>自治区科技成果转化基地作为</w:t>
      </w:r>
      <w:r>
        <w:rPr>
          <w:rFonts w:hint="eastAsia" w:ascii="Times New Roman" w:hAnsi="Times New Roman" w:eastAsia="仿宋_GB2312" w:cs="Times New Roman"/>
          <w:sz w:val="32"/>
          <w:szCs w:val="32"/>
          <w:highlight w:val="none"/>
        </w:rPr>
        <w:t>成果转化与产业化类平台</w:t>
      </w:r>
      <w:r>
        <w:rPr>
          <w:rFonts w:hint="eastAsia" w:ascii="Times New Roman" w:hAnsi="Times New Roman" w:eastAsia="仿宋_GB2312" w:cs="Times New Roman"/>
          <w:sz w:val="32"/>
          <w:szCs w:val="32"/>
          <w:highlight w:val="none"/>
          <w:lang w:eastAsia="zh-CN"/>
        </w:rPr>
        <w:t>之一，</w:t>
      </w:r>
      <w:r>
        <w:rPr>
          <w:rFonts w:hint="eastAsia" w:ascii="Times New Roman" w:hAnsi="Times New Roman" w:eastAsia="仿宋_GB2312" w:cs="Times New Roman"/>
          <w:sz w:val="32"/>
          <w:szCs w:val="32"/>
          <w:highlight w:val="none"/>
        </w:rPr>
        <w:t>包括概念验证中心、科技成果转化中试研究基地、科技型企业孵化器三种类型。此前，这三类平台分别由不同文件规范，存在管理分散、政策交叉、标准不一等问题。为贯彻落实自治区党委科技委员会关于平台基地清理规范的工作要求，统筹平台资源、强化监督管理、补齐成果转化环节短板，有必要将三类成果转化平台合并管理，统一制度规范、统一认定程序、统一绩效评价、统一支持政策，加快构建覆盖科技成果转化全链条的服务体系，为发展新质生产力、构建广西特色现代化产业体系提供有力支撑。</w:t>
      </w:r>
    </w:p>
    <w:p w14:paraId="2B19E4A1">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二、起草依据</w:t>
      </w:r>
    </w:p>
    <w:p w14:paraId="7199856A">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（一）《广西壮族自治区科技创新条例》</w:t>
      </w:r>
      <w:r>
        <w:rPr>
          <w:rFonts w:hint="eastAsia" w:ascii="Times New Roman" w:hAnsi="Times New Roman" w:eastAsia="仿宋_GB2312" w:cs="Times New Roman"/>
          <w:sz w:val="32"/>
          <w:szCs w:val="32"/>
          <w:highlight w:val="none"/>
          <w:lang w:eastAsia="zh-CN"/>
        </w:rPr>
        <w:t>；</w:t>
      </w:r>
    </w:p>
    <w:p w14:paraId="229EF16F">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（二）《广西壮族自治区促进科技成果转化条例》</w:t>
      </w:r>
      <w:r>
        <w:rPr>
          <w:rFonts w:hint="eastAsia" w:ascii="Times New Roman" w:hAnsi="Times New Roman" w:eastAsia="仿宋_GB2312" w:cs="Times New Roman"/>
          <w:sz w:val="32"/>
          <w:szCs w:val="32"/>
          <w:highlight w:val="none"/>
          <w:lang w:eastAsia="zh-CN"/>
        </w:rPr>
        <w:t>；</w:t>
      </w:r>
    </w:p>
    <w:p w14:paraId="1E14835F">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三</w:t>
      </w:r>
      <w:r>
        <w:rPr>
          <w:rFonts w:hint="eastAsia" w:ascii="Times New Roman" w:hAnsi="Times New Roman" w:eastAsia="仿宋_GB2312" w:cs="Times New Roman"/>
          <w:sz w:val="32"/>
          <w:szCs w:val="32"/>
          <w:highlight w:val="none"/>
        </w:rPr>
        <w:t>）《工业和信息化部科技型企业孵化器管理办法》（工信部科〔2025〕131号）</w:t>
      </w:r>
      <w:r>
        <w:rPr>
          <w:rFonts w:hint="eastAsia" w:ascii="Times New Roman" w:hAnsi="Times New Roman" w:eastAsia="仿宋_GB2312" w:cs="Times New Roman"/>
          <w:sz w:val="32"/>
          <w:szCs w:val="32"/>
          <w:highlight w:val="none"/>
          <w:lang w:eastAsia="zh-CN"/>
        </w:rPr>
        <w:t>；</w:t>
      </w:r>
    </w:p>
    <w:p w14:paraId="555D356A">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（四）《以产业为牵引一体推进教育科技人才发展的若干措施》（桂政办发〔2026〕6号）；</w:t>
      </w:r>
    </w:p>
    <w:p w14:paraId="70E065D1">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（五）自治区科技厅等6部门关于印发《广西高新技术产业开发区与区直部门建立直通车制度实施方案（试行）》的通知（桂科发〔2025〕387号）；</w:t>
      </w:r>
    </w:p>
    <w:p w14:paraId="39ACF5E2">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六</w:t>
      </w:r>
      <w:r>
        <w:rPr>
          <w:rFonts w:hint="eastAsia" w:ascii="Times New Roman" w:hAnsi="Times New Roman" w:eastAsia="仿宋_GB2312" w:cs="Times New Roman"/>
          <w:sz w:val="32"/>
          <w:szCs w:val="32"/>
          <w:highlight w:val="none"/>
        </w:rPr>
        <w:t>）《自治区科技创新平台基地清理规范及发展建设实施方案》（桂科委办发〔2025〕10号）</w:t>
      </w:r>
      <w:r>
        <w:rPr>
          <w:rFonts w:hint="eastAsia" w:ascii="Times New Roman" w:hAnsi="Times New Roman" w:eastAsia="仿宋_GB2312" w:cs="Times New Roman"/>
          <w:sz w:val="32"/>
          <w:szCs w:val="32"/>
          <w:highlight w:val="none"/>
          <w:lang w:eastAsia="zh-CN"/>
        </w:rPr>
        <w:t>；</w:t>
      </w:r>
    </w:p>
    <w:p w14:paraId="5B043DA6">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七</w:t>
      </w:r>
      <w:r>
        <w:rPr>
          <w:rFonts w:hint="eastAsia" w:ascii="Times New Roman" w:hAnsi="Times New Roman" w:eastAsia="仿宋_GB2312" w:cs="Times New Roman"/>
          <w:sz w:val="32"/>
          <w:szCs w:val="32"/>
          <w:highlight w:val="none"/>
        </w:rPr>
        <w:t>）《广西科技成果转化中试研究基地暂行管理办法》（桂科成字〔2021〕114号）</w:t>
      </w:r>
      <w:r>
        <w:rPr>
          <w:rFonts w:hint="eastAsia" w:ascii="Times New Roman" w:hAnsi="Times New Roman" w:eastAsia="仿宋_GB2312" w:cs="Times New Roman"/>
          <w:sz w:val="32"/>
          <w:szCs w:val="32"/>
          <w:highlight w:val="none"/>
          <w:lang w:eastAsia="zh-CN"/>
        </w:rPr>
        <w:t>；</w:t>
      </w:r>
    </w:p>
    <w:p w14:paraId="2B59D729">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八</w:t>
      </w:r>
      <w:r>
        <w:rPr>
          <w:rFonts w:hint="eastAsia" w:ascii="Times New Roman" w:hAnsi="Times New Roman" w:eastAsia="仿宋_GB2312" w:cs="Times New Roman"/>
          <w:sz w:val="32"/>
          <w:szCs w:val="32"/>
          <w:highlight w:val="none"/>
        </w:rPr>
        <w:t>）《广西壮族自治区科技企业孵化器管理办法》（桂科成字〔2021〕30号）</w:t>
      </w:r>
      <w:r>
        <w:rPr>
          <w:rFonts w:hint="eastAsia" w:ascii="Times New Roman" w:hAnsi="Times New Roman" w:eastAsia="仿宋_GB2312" w:cs="Times New Roman"/>
          <w:sz w:val="32"/>
          <w:szCs w:val="32"/>
          <w:highlight w:val="none"/>
          <w:lang w:eastAsia="zh-CN"/>
        </w:rPr>
        <w:t>；</w:t>
      </w:r>
    </w:p>
    <w:p w14:paraId="79DA5581">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九</w:t>
      </w:r>
      <w:r>
        <w:rPr>
          <w:rFonts w:hint="eastAsia" w:ascii="Times New Roman" w:hAnsi="Times New Roman" w:eastAsia="仿宋_GB2312" w:cs="Times New Roman"/>
          <w:sz w:val="32"/>
          <w:szCs w:val="32"/>
          <w:highlight w:val="none"/>
        </w:rPr>
        <w:t>）《广西壮族自治区众创空间备案办法》（桂科高字〔2016〕186号）</w:t>
      </w:r>
      <w:r>
        <w:rPr>
          <w:rFonts w:hint="eastAsia" w:ascii="Times New Roman" w:hAnsi="Times New Roman" w:eastAsia="仿宋_GB2312" w:cs="Times New Roman"/>
          <w:sz w:val="32"/>
          <w:szCs w:val="32"/>
          <w:highlight w:val="none"/>
          <w:lang w:eastAsia="zh-CN"/>
        </w:rPr>
        <w:t>；</w:t>
      </w:r>
    </w:p>
    <w:p w14:paraId="54884CF7">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十</w:t>
      </w:r>
      <w:r>
        <w:rPr>
          <w:rFonts w:hint="eastAsia" w:ascii="Times New Roman" w:hAnsi="Times New Roman" w:eastAsia="仿宋_GB2312" w:cs="Times New Roman"/>
          <w:sz w:val="32"/>
          <w:szCs w:val="32"/>
          <w:highlight w:val="none"/>
        </w:rPr>
        <w:t>）《广西概念验证中心建设工作指引（试行）》（桂科规字〔2025〕2号）</w:t>
      </w:r>
      <w:r>
        <w:rPr>
          <w:rFonts w:hint="eastAsia" w:ascii="Times New Roman" w:hAnsi="Times New Roman" w:eastAsia="仿宋_GB2312" w:cs="Times New Roman"/>
          <w:sz w:val="32"/>
          <w:szCs w:val="32"/>
          <w:highlight w:val="none"/>
          <w:lang w:eastAsia="zh-CN"/>
        </w:rPr>
        <w:t>。</w:t>
      </w:r>
    </w:p>
    <w:p w14:paraId="712D649E">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三、主要内容</w:t>
      </w:r>
    </w:p>
    <w:p w14:paraId="5C7AD9B1">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《办法》共六章二十</w:t>
      </w: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条，主要内容如下：</w:t>
      </w:r>
    </w:p>
    <w:p w14:paraId="40683422">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第一章 总则（第一至三条）。</w:t>
      </w:r>
      <w:r>
        <w:rPr>
          <w:rFonts w:hint="eastAsia" w:ascii="仿宋_GB2312" w:hAnsi="仿宋_GB2312" w:eastAsia="仿宋_GB2312" w:cs="仿宋_GB2312"/>
          <w:sz w:val="32"/>
          <w:szCs w:val="32"/>
          <w:highlight w:val="none"/>
        </w:rPr>
        <w:t>明确了《办法》的制定目的和依据，界定了成果转化基地的概念和内涵，将概念验证中心、中试基地、孵化器三类平台统一纳入管理，并提出了基地建设的总体目标。</w:t>
      </w:r>
    </w:p>
    <w:p w14:paraId="4D457925">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第二章 职责（第四至七条）。</w:t>
      </w:r>
      <w:r>
        <w:rPr>
          <w:rFonts w:hint="eastAsia" w:ascii="仿宋_GB2312" w:hAnsi="仿宋_GB2312" w:eastAsia="仿宋_GB2312" w:cs="仿宋_GB2312"/>
          <w:sz w:val="32"/>
          <w:szCs w:val="32"/>
          <w:highlight w:val="none"/>
        </w:rPr>
        <w:t>明确了自治区科技厅、</w:t>
      </w:r>
      <w:r>
        <w:rPr>
          <w:rFonts w:hint="eastAsia" w:ascii="仿宋_GB2312" w:hAnsi="仿宋_GB2312" w:eastAsia="仿宋_GB2312" w:cs="仿宋_GB2312"/>
          <w:sz w:val="32"/>
          <w:szCs w:val="32"/>
          <w:highlight w:val="none"/>
          <w:lang w:eastAsia="zh-CN"/>
        </w:rPr>
        <w:t>相关</w:t>
      </w:r>
      <w:r>
        <w:rPr>
          <w:rFonts w:hint="eastAsia" w:ascii="仿宋_GB2312" w:hAnsi="仿宋_GB2312" w:eastAsia="仿宋_GB2312" w:cs="仿宋_GB2312"/>
          <w:sz w:val="32"/>
          <w:szCs w:val="32"/>
          <w:highlight w:val="none"/>
        </w:rPr>
        <w:t>部门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设区市科技局、</w:t>
      </w:r>
      <w:r>
        <w:rPr>
          <w:rFonts w:hint="eastAsia" w:ascii="仿宋_GB2312" w:hAnsi="仿宋_GB2312" w:eastAsia="仿宋_GB2312" w:cs="仿宋_GB2312"/>
          <w:sz w:val="32"/>
          <w:szCs w:val="32"/>
          <w:highlight w:val="none"/>
          <w:lang w:eastAsia="zh-CN"/>
        </w:rPr>
        <w:t>高新区管委会、</w:t>
      </w:r>
      <w:r>
        <w:rPr>
          <w:rFonts w:hint="eastAsia" w:ascii="仿宋_GB2312" w:hAnsi="仿宋_GB2312" w:eastAsia="仿宋_GB2312" w:cs="仿宋_GB2312"/>
          <w:sz w:val="32"/>
          <w:szCs w:val="32"/>
          <w:highlight w:val="none"/>
        </w:rPr>
        <w:t>依托单位、共建单位在成果转化基地建设管理中的职责分工，构建了权责清晰、协同高效的管理体系。</w:t>
      </w:r>
    </w:p>
    <w:p w14:paraId="252DED83">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第三章 申报与认定（第八至十五条）。</w:t>
      </w:r>
      <w:r>
        <w:rPr>
          <w:rFonts w:hint="eastAsia" w:ascii="仿宋_GB2312" w:hAnsi="仿宋_GB2312" w:eastAsia="仿宋_GB2312" w:cs="仿宋_GB2312"/>
          <w:sz w:val="32"/>
          <w:szCs w:val="32"/>
          <w:highlight w:val="none"/>
        </w:rPr>
        <w:t>分类规定了概念验证中心、中试基地、孵化器的具体认定条件，包括硬件条件、人才队伍、资金保障、管理机制等，并统一了申报认定程序。</w:t>
      </w:r>
    </w:p>
    <w:p w14:paraId="11FCD524">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第四章 管理与监督（第十六至二十二条）。</w:t>
      </w:r>
      <w:r>
        <w:rPr>
          <w:rFonts w:hint="eastAsia" w:ascii="仿宋_GB2312" w:hAnsi="仿宋_GB2312" w:eastAsia="仿宋_GB2312" w:cs="仿宋_GB2312"/>
          <w:sz w:val="32"/>
          <w:szCs w:val="32"/>
          <w:highlight w:val="none"/>
        </w:rPr>
        <w:t>建立了年度报告、绩效评估、重大事项报告、常态化监督等动态管理制度，明确了绩效评估等次划分及结果运用，规定了取消资格的六种情形</w:t>
      </w:r>
      <w:r>
        <w:rPr>
          <w:rFonts w:hint="eastAsia" w:ascii="仿宋_GB2312" w:hAnsi="仿宋_GB2312" w:eastAsia="仿宋_GB2312" w:cs="仿宋_GB2312"/>
          <w:sz w:val="32"/>
          <w:szCs w:val="32"/>
          <w:highlight w:val="none"/>
          <w:lang w:eastAsia="zh-CN"/>
        </w:rPr>
        <w:t>及科研诚信管理要求</w:t>
      </w:r>
      <w:r>
        <w:rPr>
          <w:rFonts w:hint="eastAsia" w:ascii="仿宋_GB2312" w:hAnsi="仿宋_GB2312" w:eastAsia="仿宋_GB2312" w:cs="仿宋_GB2312"/>
          <w:sz w:val="32"/>
          <w:szCs w:val="32"/>
          <w:highlight w:val="none"/>
        </w:rPr>
        <w:t>。</w:t>
      </w:r>
    </w:p>
    <w:p w14:paraId="12A6C545">
      <w:pPr>
        <w:keepNext w:val="0"/>
        <w:keepLines w:val="0"/>
        <w:pageBreakBefore w:val="0"/>
        <w:widowControl/>
        <w:suppressLineNumbers w:val="0"/>
        <w:shd w:val="clear" w:color="auto" w:fill="auto"/>
        <w:kinsoku/>
        <w:topLinePunct w:val="0"/>
        <w:bidi w:val="0"/>
        <w:snapToGrid/>
        <w:spacing w:line="58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第五章 支持政策（第二十三至二十</w:t>
      </w:r>
      <w:r>
        <w:rPr>
          <w:rFonts w:hint="eastAsia" w:ascii="仿宋_GB2312" w:hAnsi="仿宋_GB2312" w:eastAsia="仿宋_GB2312" w:cs="仿宋_GB2312"/>
          <w:b/>
          <w:bCs/>
          <w:sz w:val="32"/>
          <w:szCs w:val="32"/>
          <w:highlight w:val="none"/>
          <w:lang w:eastAsia="zh-CN"/>
        </w:rPr>
        <w:t>六</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lang w:val="en-US" w:eastAsia="zh-CN"/>
        </w:rPr>
        <w:t>明确对新认定的成果转化基地给予一次性科技项目资助，</w:t>
      </w:r>
      <w:r>
        <w:rPr>
          <w:rFonts w:hint="default" w:ascii="仿宋_GB2312" w:hAnsi="仿宋_GB2312" w:eastAsia="仿宋_GB2312" w:cs="仿宋_GB2312"/>
          <w:sz w:val="32"/>
          <w:szCs w:val="32"/>
          <w:highlight w:val="none"/>
          <w:lang w:val="en-US" w:eastAsia="zh-CN"/>
        </w:rPr>
        <w:t>不计入负责人申报超项限制；对绩效评估优秀、良好的给予稳定科技项目支持，其中优秀等次优先支持；鼓励各</w:t>
      </w:r>
      <w:r>
        <w:rPr>
          <w:rFonts w:hint="eastAsia" w:ascii="仿宋_GB2312" w:hAnsi="仿宋_GB2312" w:eastAsia="仿宋_GB2312" w:cs="仿宋_GB2312"/>
          <w:sz w:val="32"/>
          <w:szCs w:val="32"/>
          <w:highlight w:val="none"/>
          <w:lang w:val="en-US" w:eastAsia="zh-CN"/>
        </w:rPr>
        <w:t>设区</w:t>
      </w:r>
      <w:r>
        <w:rPr>
          <w:rFonts w:hint="default"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lang w:val="en-US" w:eastAsia="zh-CN"/>
        </w:rPr>
        <w:t>加大支持力度</w:t>
      </w:r>
      <w:r>
        <w:rPr>
          <w:rFonts w:hint="default" w:ascii="仿宋_GB2312" w:hAnsi="仿宋_GB2312" w:eastAsia="仿宋_GB2312" w:cs="仿宋_GB2312"/>
          <w:sz w:val="32"/>
          <w:szCs w:val="32"/>
          <w:highlight w:val="none"/>
          <w:lang w:val="en-US" w:eastAsia="zh-CN"/>
        </w:rPr>
        <w:t>；支持基地深化教育科技人才一体化改革，建立健全科研人员双向流动机制。</w:t>
      </w:r>
    </w:p>
    <w:p w14:paraId="19DF892F">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第六章 附则（第二十</w:t>
      </w:r>
      <w:r>
        <w:rPr>
          <w:rFonts w:hint="eastAsia" w:ascii="仿宋_GB2312" w:hAnsi="仿宋_GB2312" w:eastAsia="仿宋_GB2312" w:cs="仿宋_GB2312"/>
          <w:b/>
          <w:bCs/>
          <w:sz w:val="32"/>
          <w:szCs w:val="32"/>
          <w:highlight w:val="none"/>
          <w:lang w:eastAsia="zh-CN"/>
        </w:rPr>
        <w:t>七</w:t>
      </w:r>
      <w:r>
        <w:rPr>
          <w:rFonts w:hint="eastAsia" w:ascii="仿宋_GB2312" w:hAnsi="仿宋_GB2312" w:eastAsia="仿宋_GB2312" w:cs="仿宋_GB2312"/>
          <w:b/>
          <w:bCs/>
          <w:sz w:val="32"/>
          <w:szCs w:val="32"/>
          <w:highlight w:val="none"/>
        </w:rPr>
        <w:t>至二十</w:t>
      </w:r>
      <w:r>
        <w:rPr>
          <w:rFonts w:hint="eastAsia" w:ascii="仿宋_GB2312" w:hAnsi="仿宋_GB2312" w:eastAsia="仿宋_GB2312" w:cs="仿宋_GB2312"/>
          <w:b/>
          <w:bCs/>
          <w:sz w:val="32"/>
          <w:szCs w:val="32"/>
          <w:highlight w:val="none"/>
          <w:lang w:eastAsia="zh-CN"/>
        </w:rPr>
        <w:t>九</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明确了原孵化器、众创空间等平台的过渡衔接办法，规定了《办法》的解释权、施行日期及废止文件清单。</w:t>
      </w:r>
    </w:p>
    <w:p w14:paraId="48ED9B2F">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四、重点内容</w:t>
      </w:r>
    </w:p>
    <w:p w14:paraId="71CBCA6D">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（一）统筹管理，统一制度。</w:t>
      </w:r>
      <w:r>
        <w:rPr>
          <w:rFonts w:hint="eastAsia" w:ascii="仿宋_GB2312" w:hAnsi="仿宋_GB2312" w:eastAsia="仿宋_GB2312" w:cs="仿宋_GB2312"/>
          <w:sz w:val="32"/>
          <w:szCs w:val="32"/>
          <w:highlight w:val="none"/>
        </w:rPr>
        <w:t>将概念验证中心、中试基地、孵化器三类成果转化平台统一纳入“成果转化基地”管理框架，实现认定程序、管理监督、绩效评价、支持政策的“四统一”，解决了此前多头管理、标准不一的问题。</w:t>
      </w:r>
    </w:p>
    <w:p w14:paraId="6E3FB234">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（二）分类设置，精准施策。</w:t>
      </w:r>
      <w:r>
        <w:rPr>
          <w:rFonts w:hint="eastAsia" w:ascii="仿宋_GB2312" w:hAnsi="仿宋_GB2312" w:eastAsia="仿宋_GB2312" w:cs="仿宋_GB2312"/>
          <w:sz w:val="32"/>
          <w:szCs w:val="32"/>
          <w:highlight w:val="none"/>
        </w:rPr>
        <w:t>在统一管理框架下，针对三类平台的功能定位和建设规律，分类设置认定条件，既体现共性管理要求，又保留个性发展空间，确保政策精准有效。</w:t>
      </w:r>
    </w:p>
    <w:p w14:paraId="18FA52B7">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（三）动态管理，奖优罚劣。</w:t>
      </w:r>
      <w:r>
        <w:rPr>
          <w:rFonts w:hint="eastAsia" w:ascii="仿宋_GB2312" w:hAnsi="仿宋_GB2312" w:eastAsia="仿宋_GB2312" w:cs="仿宋_GB2312"/>
          <w:sz w:val="32"/>
          <w:szCs w:val="32"/>
          <w:highlight w:val="none"/>
        </w:rPr>
        <w:t>建立年度报告与绩效评估相结合的管理制度，每3年集中开展绩效评估，结果分为五个等次并向社会公布。对优秀、良好的给予稳定支持，对整改不合格的直接撤销资格，形成优胜劣汰的动态调整机制。</w:t>
      </w:r>
    </w:p>
    <w:p w14:paraId="64855391">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（四）强化衔接，平稳过渡。</w:t>
      </w:r>
      <w:r>
        <w:rPr>
          <w:rFonts w:hint="eastAsia" w:ascii="仿宋_GB2312" w:hAnsi="仿宋_GB2312" w:eastAsia="仿宋_GB2312" w:cs="仿宋_GB2312"/>
          <w:sz w:val="32"/>
          <w:szCs w:val="32"/>
          <w:highlight w:val="none"/>
        </w:rPr>
        <w:t>充分考虑历史存量平台的过渡问题，明确原孵化器、众创空间需重新申请认定，2028年起未通过的不再保留资格。对未成功转建为工信部孵化器的原国家级孵化器，保留其自治区级资格，实现平稳过渡。</w:t>
      </w:r>
    </w:p>
    <w:p w14:paraId="1986DF5E">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（五）政策支持，激励发展。</w:t>
      </w:r>
      <w:r>
        <w:rPr>
          <w:rFonts w:hint="eastAsia" w:ascii="仿宋_GB2312" w:hAnsi="仿宋_GB2312" w:eastAsia="仿宋_GB2312" w:cs="仿宋_GB2312"/>
          <w:sz w:val="32"/>
          <w:szCs w:val="32"/>
          <w:highlight w:val="none"/>
          <w:lang w:val="en-US" w:eastAsia="zh-CN"/>
        </w:rPr>
        <w:t>明确对新认定基地给予一次性项目支持，</w:t>
      </w:r>
      <w:r>
        <w:rPr>
          <w:rFonts w:hint="default" w:ascii="仿宋_GB2312" w:hAnsi="仿宋_GB2312" w:eastAsia="仿宋_GB2312" w:cs="仿宋_GB2312"/>
          <w:sz w:val="32"/>
          <w:szCs w:val="32"/>
          <w:highlight w:val="none"/>
          <w:lang w:val="en-US" w:eastAsia="zh-CN"/>
        </w:rPr>
        <w:t>不计入负责人申报超项限制；对绩效评估优秀、良好的给予稳定支持，其中优秀等次优先支持；支持基地深化教育科技人才一体化改革，鼓励各</w:t>
      </w:r>
      <w:r>
        <w:rPr>
          <w:rFonts w:hint="eastAsia" w:ascii="仿宋_GB2312" w:hAnsi="仿宋_GB2312" w:eastAsia="仿宋_GB2312" w:cs="仿宋_GB2312"/>
          <w:sz w:val="32"/>
          <w:szCs w:val="32"/>
          <w:highlight w:val="none"/>
          <w:lang w:val="en-US" w:eastAsia="zh-CN"/>
        </w:rPr>
        <w:t>设区加大支持力度</w:t>
      </w:r>
      <w:r>
        <w:rPr>
          <w:rFonts w:hint="default" w:ascii="仿宋_GB2312" w:hAnsi="仿宋_GB2312" w:eastAsia="仿宋_GB2312" w:cs="仿宋_GB2312"/>
          <w:sz w:val="32"/>
          <w:szCs w:val="32"/>
          <w:highlight w:val="none"/>
          <w:lang w:val="en-US" w:eastAsia="zh-CN"/>
        </w:rPr>
        <w:t>，构建上下联动、多方支持的激励体系。</w:t>
      </w:r>
    </w:p>
    <w:p w14:paraId="462C7AC3">
      <w:pPr>
        <w:keepNext w:val="0"/>
        <w:keepLines w:val="0"/>
        <w:pageBreakBefore w:val="0"/>
        <w:shd w:val="clear" w:color="auto" w:fill="auto"/>
        <w:kinsoku/>
        <w:wordWrap/>
        <w:overflowPunct/>
        <w:topLinePunct w:val="0"/>
        <w:autoSpaceDE/>
        <w:autoSpaceDN/>
        <w:bidi w:val="0"/>
        <w:adjustRightInd/>
        <w:snapToGrid/>
        <w:spacing w:line="580" w:lineRule="exact"/>
        <w:textAlignment w:val="auto"/>
        <w:rPr>
          <w:rFonts w:hint="default"/>
          <w:highlight w:val="none"/>
          <w:lang w:val="en-US" w:eastAsia="zh-CN"/>
        </w:rPr>
      </w:pPr>
    </w:p>
    <w:sectPr>
      <w:footerReference r:id="rId3" w:type="default"/>
      <w:pgSz w:w="11906" w:h="16838"/>
      <w:pgMar w:top="2098" w:right="1531" w:bottom="1440" w:left="1531"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3EC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56E2C1">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2456E2C1">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A6346"/>
    <w:rsid w:val="068132A5"/>
    <w:rsid w:val="3B670B4C"/>
    <w:rsid w:val="3EAB0813"/>
    <w:rsid w:val="3ED5976E"/>
    <w:rsid w:val="3EED86D6"/>
    <w:rsid w:val="5DF7A0A2"/>
    <w:rsid w:val="5EEF506D"/>
    <w:rsid w:val="5FFBC72A"/>
    <w:rsid w:val="67FE533C"/>
    <w:rsid w:val="7F53B097"/>
    <w:rsid w:val="98BF93E7"/>
    <w:rsid w:val="BEFE58C5"/>
    <w:rsid w:val="CFE3F73C"/>
    <w:rsid w:val="CFFFC0AB"/>
    <w:rsid w:val="DCFFAA6D"/>
    <w:rsid w:val="EE579D9E"/>
    <w:rsid w:val="FF678B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paragraph" w:styleId="6">
    <w:name w:val="heading 4"/>
    <w:basedOn w:val="1"/>
    <w:next w:val="1"/>
    <w:unhideWhenUsed/>
    <w:qFormat/>
    <w:uiPriority w:val="0"/>
    <w:pPr>
      <w:spacing w:before="100" w:beforeAutospacing="1" w:after="100" w:afterAutospacing="1"/>
      <w:jc w:val="left"/>
      <w:outlineLvl w:val="3"/>
    </w:pPr>
    <w:rPr>
      <w:rFonts w:hint="eastAsia" w:ascii="宋体" w:hAnsi="宋体"/>
      <w:b/>
      <w:kern w:val="0"/>
      <w:sz w:val="24"/>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正文1"/>
    <w:qFormat/>
    <w:uiPriority w:val="0"/>
    <w:pPr>
      <w:jc w:val="both"/>
    </w:pPr>
    <w:rPr>
      <w:rFonts w:ascii="Times New Roman" w:hAnsi="Times New Roman" w:eastAsia="宋体" w:cs="宋体"/>
      <w:kern w:val="2"/>
      <w:sz w:val="21"/>
      <w:szCs w:val="21"/>
      <w:lang w:val="en-US" w:eastAsia="zh-CN" w:bidi="ar-SA"/>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7">
    <w:name w:val="Normal Indent"/>
    <w:basedOn w:val="1"/>
    <w:next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character" w:styleId="13">
    <w:name w:val="Strong"/>
    <w:basedOn w:val="12"/>
    <w:qFormat/>
    <w:uiPriority w:val="0"/>
    <w:rPr>
      <w:b/>
    </w:rPr>
  </w:style>
  <w:style w:type="paragraph" w:customStyle="1" w:styleId="14">
    <w:name w:val="纯文本1"/>
    <w:basedOn w:val="1"/>
    <w:qFormat/>
    <w:uiPriority w:val="0"/>
    <w:pPr>
      <w:textAlignment w:val="baseline"/>
    </w:pPr>
    <w:rPr>
      <w:rFonts w:ascii="宋体" w:hAnsi="Courier New"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6829</Words>
  <Characters>6978</Characters>
  <Lines>0</Lines>
  <Paragraphs>0</Paragraphs>
  <TotalTime>25.6666666666667</TotalTime>
  <ScaleCrop>false</ScaleCrop>
  <LinksUpToDate>false</LinksUpToDate>
  <CharactersWithSpaces>7057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墨迹夏子</cp:lastModifiedBy>
  <cp:lastPrinted>2026-03-24T01:37:48Z</cp:lastPrinted>
  <dcterms:modified xsi:type="dcterms:W3CDTF">2026-03-23T11:08:01Z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B2471FD037274A68A279F83B8A5F887B_13</vt:lpwstr>
  </property>
</Properties>
</file>