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1C3C">
      <w:pPr>
        <w:keepNext w:val="0"/>
        <w:keepLines w:val="0"/>
        <w:pageBreakBefore w:val="0"/>
        <w:shd w:val="clear" w:color="auto" w:fill="auto"/>
        <w:kinsoku/>
        <w:wordWrap/>
        <w:overflowPunct/>
        <w:topLinePunct w:val="0"/>
        <w:bidi w:val="0"/>
        <w:spacing w:beforeAutospacing="0"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10C21E8E">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14:paraId="148C76B8">
      <w:pPr>
        <w:keepNext w:val="0"/>
        <w:keepLines w:val="0"/>
        <w:pageBreakBefore w:val="0"/>
        <w:shd w:val="clear" w:color="auto" w:fill="auto"/>
        <w:kinsoku/>
        <w:wordWrap/>
        <w:overflowPunct/>
        <w:topLinePunct w:val="0"/>
        <w:bidi w:val="0"/>
        <w:spacing w:beforeAutospacing="0" w:line="560" w:lineRule="exact"/>
        <w:jc w:val="center"/>
        <w:textAlignment w:val="auto"/>
        <w:rPr>
          <w:rFonts w:hint="eastAsia" w:ascii="Times New Roman" w:hAnsi="Times New Roman" w:eastAsia="方正小标宋简体" w:cs="Times New Roman"/>
          <w:bCs/>
          <w:sz w:val="44"/>
          <w:szCs w:val="44"/>
        </w:rPr>
      </w:pPr>
      <w:r>
        <w:rPr>
          <w:rFonts w:ascii="方正小标宋简体" w:hAnsi="Times New Roman" w:eastAsia="方正小标宋简体" w:cs="Times New Roman"/>
          <w:bCs/>
          <w:sz w:val="44"/>
          <w:szCs w:val="44"/>
        </w:rPr>
        <w:t>广西壮族自治区重点实验室管理办法</w:t>
      </w:r>
    </w:p>
    <w:p w14:paraId="49A54788">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center"/>
        <w:textAlignment w:val="auto"/>
        <w:rPr>
          <w:rFonts w:ascii="楷体_GB2312" w:hAnsi="宋体" w:eastAsia="楷体_GB2312" w:cs="宋体"/>
          <w:color w:val="000000"/>
          <w:kern w:val="0"/>
          <w:sz w:val="32"/>
          <w:szCs w:val="32"/>
        </w:rPr>
      </w:pPr>
      <w:r>
        <w:rPr>
          <w:rFonts w:hint="eastAsia" w:ascii="楷体_GB2312" w:hAnsi="宋体" w:eastAsia="楷体_GB2312" w:cs="宋体"/>
          <w:bCs/>
          <w:color w:val="000000"/>
          <w:kern w:val="0"/>
          <w:sz w:val="32"/>
          <w:szCs w:val="32"/>
        </w:rPr>
        <w:t>（征求意见稿）</w:t>
      </w:r>
    </w:p>
    <w:p w14:paraId="0FE23E3A">
      <w:pPr>
        <w:keepNext w:val="0"/>
        <w:keepLines w:val="0"/>
        <w:pageBreakBefore w:val="0"/>
        <w:shd w:val="clear" w:color="auto" w:fill="auto"/>
        <w:kinsoku/>
        <w:wordWrap/>
        <w:overflowPunct/>
        <w:topLinePunct w:val="0"/>
        <w:bidi w:val="0"/>
        <w:spacing w:beforeAutospacing="0" w:line="560" w:lineRule="exact"/>
        <w:textAlignment w:val="auto"/>
        <w:rPr>
          <w:rFonts w:hint="eastAsia"/>
        </w:rPr>
      </w:pPr>
      <w:r>
        <w:rPr>
          <w:rFonts w:ascii="Times New Roman" w:hAnsi="Times New Roman" w:eastAsia="方正仿宋_GBK" w:cs="Times New Roman"/>
          <w:color w:val="122E67"/>
          <w:szCs w:val="21"/>
        </w:rPr>
        <w:t xml:space="preserve"> </w:t>
      </w:r>
    </w:p>
    <w:p w14:paraId="4E71ECEC">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outlineLvl w:val="0"/>
        <w:rPr>
          <w:rFonts w:ascii="Times New Roman" w:hAnsi="Times New Roman" w:eastAsia="黑体" w:cs="Times New Roman"/>
          <w:kern w:val="0"/>
          <w:sz w:val="32"/>
          <w:szCs w:val="32"/>
        </w:rPr>
      </w:pPr>
      <w:r>
        <w:rPr>
          <w:rFonts w:ascii="黑体" w:hAnsi="黑体" w:eastAsia="黑体" w:cs="Times New Roman"/>
          <w:kern w:val="0"/>
          <w:sz w:val="32"/>
          <w:szCs w:val="32"/>
        </w:rPr>
        <w:t>第一章</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总</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则</w:t>
      </w:r>
    </w:p>
    <w:p w14:paraId="1FC56694">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cs="Times New Roman"/>
          <w:szCs w:val="21"/>
        </w:rPr>
        <w:t xml:space="preserve"> </w:t>
      </w:r>
    </w:p>
    <w:p w14:paraId="5FB6C3B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第一条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贯彻落实自治区党委科技委员会关于自治区级创新平台基地的管理要求，规范和加强广西壮族自治区重点实验室（以下简称</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重点实验室</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）的建设和运行管理，制定本办法。</w:t>
      </w:r>
    </w:p>
    <w:p w14:paraId="018C94E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第二条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重点实验室是开展高水平重大原始创新，凝聚培养优秀创新人才，开展高水平国内外创新合作的自治区级基础研究类科技创新平台，是培育广西实验室、全国重点实验室的重要基石。</w:t>
      </w:r>
    </w:p>
    <w:p w14:paraId="121EFCF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第三条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重点实验室必须坚持党的全面领导，贯彻落实党的理论和路线方针以及自治区党委、政府决策部署，坚持</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四个面向</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，按照国家和自治区的战略需求，打造使命定位清晰、体制机制创新、科研成效显著、优秀人才辈出的领军力量。</w:t>
      </w:r>
    </w:p>
    <w:p w14:paraId="09663FC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第四条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重点实验室建设应围绕广西十大支柱产业、农业及海洋等特色和急需产业发展需求，聚焦广西高峰、高原学科建设进行整体布局，强化交叉融合导向，形成</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产学研用</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深度融合的发展格局。</w:t>
      </w:r>
    </w:p>
    <w:p w14:paraId="60C16EEE">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第五条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重点实验室应健全</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独立、开放、流动、合作、竞争</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的运行管理制度，做到人员队伍明确、财务资产清晰、组织协同紧密。</w:t>
      </w:r>
    </w:p>
    <w:p w14:paraId="450DD623">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cs="Times New Roman"/>
          <w:szCs w:val="21"/>
        </w:rPr>
        <w:t xml:space="preserve"> </w:t>
      </w:r>
    </w:p>
    <w:p w14:paraId="0CABDF4F">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kern w:val="0"/>
          <w:sz w:val="32"/>
          <w:szCs w:val="32"/>
        </w:rPr>
      </w:pPr>
      <w:r>
        <w:rPr>
          <w:rFonts w:ascii="黑体" w:hAnsi="黑体" w:eastAsia="黑体" w:cs="Times New Roman"/>
          <w:kern w:val="0"/>
          <w:sz w:val="32"/>
          <w:szCs w:val="32"/>
        </w:rPr>
        <w:t>第二章</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职</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责</w:t>
      </w:r>
    </w:p>
    <w:p w14:paraId="0292D8BE">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cs="Times New Roman"/>
          <w:szCs w:val="21"/>
        </w:rPr>
        <w:t xml:space="preserve"> </w:t>
      </w:r>
    </w:p>
    <w:p w14:paraId="406C0E9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第六条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广西壮族自治区科学技术厅（以下简称</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科技厅</w:t>
      </w:r>
      <w:r>
        <w:rPr>
          <w:rFonts w:ascii="Times New Roman" w:hAnsi="Times New Roman" w:eastAsia="仿宋_GB2312" w:cs="Times New Roman"/>
          <w:kern w:val="0"/>
          <w:sz w:val="32"/>
          <w:szCs w:val="32"/>
        </w:rPr>
        <w:t>”</w:t>
      </w:r>
      <w:r>
        <w:rPr>
          <w:rFonts w:ascii="仿宋_GB2312" w:hAnsi="Times New Roman" w:eastAsia="仿宋_GB2312" w:cs="Times New Roman"/>
          <w:kern w:val="0"/>
          <w:sz w:val="32"/>
          <w:szCs w:val="32"/>
        </w:rPr>
        <w:t>）是重点实验室的牵头部门，主要职责是：</w:t>
      </w:r>
    </w:p>
    <w:p w14:paraId="53F2B3A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（一）贯彻落实自治区党委科技委员会关于自治区级科技创新平台的部署要求，指导重点实验室的建设和运行。</w:t>
      </w:r>
    </w:p>
    <w:p w14:paraId="770EF0D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（二）制定重点实验室的管理政策制度，规划布局方向。</w:t>
      </w:r>
    </w:p>
    <w:p w14:paraId="4FAE9FE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（三）批准重点实验室的设立、调整、撤销，推荐申报全国重点实验室。</w:t>
      </w:r>
    </w:p>
    <w:p w14:paraId="36ED3D7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（四）牵头组织开展定期评估，依据评估结果对重点实验室进行动态调整。</w:t>
      </w:r>
    </w:p>
    <w:p w14:paraId="5DA0161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第七条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园区、高新区管委会是辖区内重点实验室的主管部门，设区市科技行政主管部门是其余重点实验室的主管部门，主要职责是：贯彻落实重点实验室各项政策制度，制定本部门的重点实验室管理细则，督导依托单位做好重点实验室建设和运行，负责重点实验室的管理和监督，支持重点实验室的建设和发展，协调解决重点实验室建设和运行中的重大问题。</w:t>
      </w:r>
    </w:p>
    <w:p w14:paraId="6B92704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第八条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重点实验室所在高校、科研院所、企业等法人单位是重点实验室的依托单位（重点实验室主管部门和依托单位可以是同一单位），主要职责是：</w:t>
      </w:r>
    </w:p>
    <w:p w14:paraId="6F9FC2B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（一）承担重点实验室建设、运行的日常管理。</w:t>
      </w:r>
    </w:p>
    <w:p w14:paraId="777CF17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（二）聘任重点实验室主任、学术委员会主任、副主任、学术委员会委员，落实主任负责制。</w:t>
      </w:r>
    </w:p>
    <w:p w14:paraId="0C2FF98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（三）做好重点实验室人才队伍、支持经费、科研场地、仪器设备、安全保密、知识产权等运行管理与条件保障工作，解决建设和运行中的有关问题。</w:t>
      </w:r>
    </w:p>
    <w:p w14:paraId="09D0ED5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（四）涉及多家依托单位的，第一依托单位应发挥牵头作用，与联合共建的依托单位充分协商，共同履行职责。</w:t>
      </w:r>
    </w:p>
    <w:p w14:paraId="2D2EAB0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黑体" w:cs="Times New Roman"/>
          <w:kern w:val="0"/>
          <w:sz w:val="32"/>
          <w:szCs w:val="32"/>
        </w:rPr>
      </w:pPr>
      <w:r>
        <w:rPr>
          <w:rFonts w:ascii="仿宋_GB2312" w:hAnsi="Times New Roman" w:eastAsia="仿宋_GB2312" w:cs="Times New Roman"/>
          <w:kern w:val="0"/>
          <w:sz w:val="32"/>
          <w:szCs w:val="32"/>
        </w:rPr>
        <w:t>（五）指导做好重点实验室党建工作。</w:t>
      </w:r>
    </w:p>
    <w:p w14:paraId="27E69DE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第九条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重点实验室主要职责是：</w:t>
      </w:r>
      <w:r>
        <w:rPr>
          <w:rFonts w:ascii="Times New Roman" w:hAnsi="Times New Roman" w:eastAsia="仿宋_GB2312" w:cs="Times New Roman"/>
          <w:kern w:val="0"/>
          <w:sz w:val="32"/>
          <w:szCs w:val="32"/>
        </w:rPr>
        <w:t xml:space="preserve"> </w:t>
      </w:r>
    </w:p>
    <w:p w14:paraId="3355B78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（一）围绕战略定位和目标方向，开展有组织高水平基础研究、应用基础研究、前沿技术研究，产出重大原创性成果，支撑关键核心技术突破，推动学科建设与科技成果转化应用。</w:t>
      </w:r>
    </w:p>
    <w:p w14:paraId="5630AD0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（二）打造高水平科研人才队伍，形成持续创新能力。</w:t>
      </w:r>
    </w:p>
    <w:p w14:paraId="079E4F3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（三）建立协同攻关创新机制，推动大型科研仪器和科学数据等科技资源开放共享。</w:t>
      </w:r>
    </w:p>
    <w:p w14:paraId="312A671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（四）积极开展国内外科技合作交流，与港澳地区、东盟国家等围绕有关技术难题开展联合攻关，提升国际话语权。</w:t>
      </w:r>
    </w:p>
    <w:p w14:paraId="11F8659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（五）加强党组织和党员队伍建设，加强科研诚信和作风学风建设，大力弘扬科学家精神，积极开展科学技术普及，营造良好创新环境。</w:t>
      </w:r>
    </w:p>
    <w:p w14:paraId="30B75C0B">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eastAsia="黑体" w:cs="Times New Roman"/>
          <w:kern w:val="0"/>
          <w:sz w:val="32"/>
          <w:szCs w:val="32"/>
        </w:rPr>
        <w:t xml:space="preserve"> </w:t>
      </w:r>
    </w:p>
    <w:p w14:paraId="3BCE495A">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kern w:val="0"/>
          <w:sz w:val="32"/>
          <w:szCs w:val="32"/>
        </w:rPr>
      </w:pPr>
      <w:r>
        <w:rPr>
          <w:rFonts w:ascii="黑体" w:hAnsi="黑体" w:eastAsia="黑体" w:cs="Times New Roman"/>
          <w:kern w:val="0"/>
          <w:sz w:val="32"/>
          <w:szCs w:val="32"/>
        </w:rPr>
        <w:t>第三章</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建</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设</w:t>
      </w:r>
    </w:p>
    <w:p w14:paraId="50B64C95">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cs="Times New Roman"/>
          <w:szCs w:val="21"/>
        </w:rPr>
        <w:t xml:space="preserve"> </w:t>
      </w:r>
    </w:p>
    <w:p w14:paraId="425EAB9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根据国家和自治区重大战略需求，有计划、有重点地遴选建设，保持重点实验室总体规模稳定、适度。</w:t>
      </w:r>
    </w:p>
    <w:p w14:paraId="37421AC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第十一条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重点实验室实行集中申报认定制，须满足以下条件：</w:t>
      </w:r>
    </w:p>
    <w:p w14:paraId="25793385">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（一）申报对象：</w:t>
      </w:r>
      <w:r>
        <w:rPr>
          <w:rFonts w:ascii="仿宋_GB2312" w:hAnsi="Times New Roman" w:eastAsia="仿宋_GB2312" w:cs="Times New Roman"/>
          <w:kern w:val="0"/>
          <w:sz w:val="32"/>
          <w:szCs w:val="32"/>
        </w:rPr>
        <w:t>广西壮族自治区行政区域内注册登记的具有独立法人资格的高等学校、科研院所、科技型企业或其他具有一定原始创新能力的企事业单位；与广西壮族自治区人民政府签署了科技合作协议，具有独立法人资格的区外单位，且相关实验室主体建设在广西壮族自治区行政区域内。重点实验室申报单位包括第一依托单位和联合共建的依托单位，原则上建设单位不得超过</w:t>
      </w:r>
      <w:r>
        <w:rPr>
          <w:rFonts w:ascii="Times New Roman" w:hAnsi="Times New Roman" w:eastAsia="仿宋_GB2312" w:cs="Times New Roman"/>
          <w:kern w:val="0"/>
          <w:sz w:val="32"/>
          <w:szCs w:val="32"/>
        </w:rPr>
        <w:t>3</w:t>
      </w:r>
      <w:r>
        <w:rPr>
          <w:rFonts w:ascii="仿宋_GB2312" w:hAnsi="Times New Roman" w:eastAsia="仿宋_GB2312" w:cs="Times New Roman"/>
          <w:kern w:val="0"/>
          <w:sz w:val="32"/>
          <w:szCs w:val="32"/>
        </w:rPr>
        <w:t>家。由第一依托单位所在的主管部门进行推荐。</w:t>
      </w:r>
    </w:p>
    <w:p w14:paraId="0243CBCA">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（二）运行基础：</w:t>
      </w:r>
      <w:r>
        <w:rPr>
          <w:rFonts w:ascii="仿宋_GB2312" w:hAnsi="Times New Roman" w:eastAsia="仿宋_GB2312" w:cs="Times New Roman"/>
          <w:kern w:val="0"/>
          <w:sz w:val="32"/>
          <w:szCs w:val="32"/>
        </w:rPr>
        <w:t>拟申报的重点实验室应自主建设且有效运行</w:t>
      </w:r>
      <w:r>
        <w:rPr>
          <w:rFonts w:ascii="Times New Roman" w:hAnsi="Times New Roman" w:eastAsia="仿宋_GB2312" w:cs="Times New Roman"/>
          <w:kern w:val="0"/>
          <w:sz w:val="32"/>
          <w:szCs w:val="32"/>
        </w:rPr>
        <w:t>1</w:t>
      </w:r>
      <w:r>
        <w:rPr>
          <w:rFonts w:ascii="仿宋_GB2312" w:hAnsi="Times New Roman" w:eastAsia="仿宋_GB2312" w:cs="Times New Roman"/>
          <w:kern w:val="0"/>
          <w:sz w:val="32"/>
          <w:szCs w:val="32"/>
        </w:rPr>
        <w:t>年以上，在国内相关领域具有一定竞争力。</w:t>
      </w:r>
    </w:p>
    <w:p w14:paraId="4B52D3A4">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（三）科研水平：</w:t>
      </w:r>
      <w:r>
        <w:rPr>
          <w:rFonts w:ascii="仿宋_GB2312" w:hAnsi="Times New Roman" w:eastAsia="仿宋_GB2312" w:cs="Times New Roman"/>
          <w:kern w:val="0"/>
          <w:sz w:val="32"/>
          <w:szCs w:val="32"/>
        </w:rPr>
        <w:t>研究水平在自治区内能引领同类学科或行业发展，具有一定的国内、国际竞争力；近三年内固定成员原则上应主持承担国家、省部级科技计划项目</w:t>
      </w:r>
      <w:r>
        <w:rPr>
          <w:rFonts w:ascii="Times New Roman" w:hAnsi="Times New Roman" w:eastAsia="仿宋_GB2312" w:cs="Times New Roman"/>
          <w:kern w:val="0"/>
          <w:sz w:val="32"/>
          <w:szCs w:val="32"/>
        </w:rPr>
        <w:t>10</w:t>
      </w:r>
      <w:r>
        <w:rPr>
          <w:rFonts w:ascii="仿宋_GB2312" w:hAnsi="Times New Roman" w:eastAsia="仿宋_GB2312" w:cs="Times New Roman"/>
          <w:kern w:val="0"/>
          <w:sz w:val="32"/>
          <w:szCs w:val="32"/>
        </w:rPr>
        <w:t>项（含）以上；主持制定行业（地方）标准；拥有获奖成果或授权发明专利。</w:t>
      </w:r>
    </w:p>
    <w:p w14:paraId="6D29258C">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（四）人才队伍：</w:t>
      </w:r>
      <w:r>
        <w:rPr>
          <w:rFonts w:ascii="仿宋_GB2312" w:hAnsi="Times New Roman" w:eastAsia="仿宋_GB2312" w:cs="Times New Roman"/>
          <w:kern w:val="0"/>
          <w:sz w:val="32"/>
          <w:szCs w:val="32"/>
        </w:rPr>
        <w:t>以科技领军人才为核心，专业能力突出、相对稳定集中、年龄结构合理。固定人员原则上不少于</w:t>
      </w:r>
      <w:r>
        <w:rPr>
          <w:rFonts w:ascii="Times New Roman" w:hAnsi="Times New Roman" w:eastAsia="仿宋_GB2312" w:cs="Times New Roman"/>
          <w:kern w:val="0"/>
          <w:sz w:val="32"/>
          <w:szCs w:val="32"/>
        </w:rPr>
        <w:t>20</w:t>
      </w:r>
      <w:r>
        <w:rPr>
          <w:rFonts w:ascii="仿宋_GB2312" w:hAnsi="Times New Roman" w:eastAsia="仿宋_GB2312" w:cs="Times New Roman"/>
          <w:kern w:val="0"/>
          <w:sz w:val="32"/>
          <w:szCs w:val="32"/>
        </w:rPr>
        <w:t>人，其中专职管理人员不少于</w:t>
      </w:r>
      <w:r>
        <w:rPr>
          <w:rFonts w:ascii="Times New Roman" w:hAnsi="Times New Roman" w:eastAsia="仿宋_GB2312" w:cs="Times New Roman"/>
          <w:kern w:val="0"/>
          <w:sz w:val="32"/>
          <w:szCs w:val="32"/>
        </w:rPr>
        <w:t>3</w:t>
      </w:r>
      <w:r>
        <w:rPr>
          <w:rFonts w:ascii="仿宋_GB2312" w:hAnsi="Times New Roman" w:eastAsia="仿宋_GB2312" w:cs="Times New Roman"/>
          <w:kern w:val="0"/>
          <w:sz w:val="32"/>
          <w:szCs w:val="32"/>
        </w:rPr>
        <w:t>人；各主要研究方向的学术带头人原则上应主持过国家自然科学基金课题</w:t>
      </w:r>
      <w:r>
        <w:rPr>
          <w:rFonts w:ascii="Times New Roman" w:hAnsi="Times New Roman" w:eastAsia="仿宋_GB2312" w:cs="Times New Roman"/>
          <w:kern w:val="0"/>
          <w:sz w:val="32"/>
          <w:szCs w:val="32"/>
        </w:rPr>
        <w:t>1</w:t>
      </w:r>
      <w:r>
        <w:rPr>
          <w:rFonts w:ascii="仿宋_GB2312" w:hAnsi="Times New Roman" w:eastAsia="仿宋_GB2312" w:cs="Times New Roman"/>
          <w:kern w:val="0"/>
          <w:sz w:val="32"/>
          <w:szCs w:val="32"/>
        </w:rPr>
        <w:t>项（含）或主持过省部级科技计划项目</w:t>
      </w:r>
      <w:r>
        <w:rPr>
          <w:rFonts w:ascii="Times New Roman" w:hAnsi="Times New Roman" w:eastAsia="仿宋_GB2312" w:cs="Times New Roman"/>
          <w:kern w:val="0"/>
          <w:sz w:val="32"/>
          <w:szCs w:val="32"/>
        </w:rPr>
        <w:t>3</w:t>
      </w:r>
      <w:r>
        <w:rPr>
          <w:rFonts w:ascii="仿宋_GB2312" w:hAnsi="Times New Roman" w:eastAsia="仿宋_GB2312" w:cs="Times New Roman"/>
          <w:kern w:val="0"/>
          <w:sz w:val="32"/>
          <w:szCs w:val="32"/>
        </w:rPr>
        <w:t>项（含）以上；重点实验室主任在学科或行业领域内具备较强的影响力，在</w:t>
      </w:r>
      <w:r>
        <w:rPr>
          <w:rFonts w:ascii="Times New Roman" w:hAnsi="Times New Roman" w:eastAsia="仿宋_GB2312" w:cs="Times New Roman"/>
          <w:kern w:val="0"/>
          <w:sz w:val="32"/>
          <w:szCs w:val="32"/>
        </w:rPr>
        <w:t>T1</w:t>
      </w:r>
      <w:r>
        <w:rPr>
          <w:rFonts w:ascii="仿宋_GB2312" w:hAnsi="Times New Roman" w:eastAsia="仿宋_GB2312" w:cs="Times New Roman"/>
          <w:kern w:val="0"/>
          <w:sz w:val="32"/>
          <w:szCs w:val="32"/>
        </w:rPr>
        <w:t>级、</w:t>
      </w:r>
      <w:r>
        <w:rPr>
          <w:rFonts w:ascii="Times New Roman" w:hAnsi="Times New Roman" w:eastAsia="仿宋_GB2312" w:cs="Times New Roman"/>
          <w:kern w:val="0"/>
          <w:sz w:val="32"/>
          <w:szCs w:val="32"/>
        </w:rPr>
        <w:t>T2</w:t>
      </w:r>
      <w:r>
        <w:rPr>
          <w:rFonts w:ascii="仿宋_GB2312" w:hAnsi="Times New Roman" w:eastAsia="仿宋_GB2312" w:cs="Times New Roman"/>
          <w:kern w:val="0"/>
          <w:sz w:val="32"/>
          <w:szCs w:val="32"/>
        </w:rPr>
        <w:t>级、</w:t>
      </w:r>
      <w:r>
        <w:rPr>
          <w:rFonts w:ascii="Times New Roman" w:hAnsi="Times New Roman" w:eastAsia="仿宋_GB2312" w:cs="Times New Roman"/>
          <w:kern w:val="0"/>
          <w:sz w:val="32"/>
          <w:szCs w:val="32"/>
        </w:rPr>
        <w:t>T3</w:t>
      </w:r>
      <w:r>
        <w:rPr>
          <w:rFonts w:ascii="仿宋_GB2312" w:hAnsi="Times New Roman" w:eastAsia="仿宋_GB2312" w:cs="Times New Roman"/>
          <w:kern w:val="0"/>
          <w:sz w:val="32"/>
          <w:szCs w:val="32"/>
        </w:rPr>
        <w:t>级或行业公认的高质量科技期刊发表论文</w:t>
      </w:r>
      <w:r>
        <w:rPr>
          <w:rFonts w:ascii="Times New Roman" w:hAnsi="Times New Roman" w:eastAsia="仿宋_GB2312" w:cs="Times New Roman"/>
          <w:kern w:val="0"/>
          <w:sz w:val="32"/>
          <w:szCs w:val="32"/>
        </w:rPr>
        <w:t>5</w:t>
      </w:r>
      <w:r>
        <w:rPr>
          <w:rFonts w:ascii="仿宋_GB2312" w:hAnsi="Times New Roman" w:eastAsia="仿宋_GB2312" w:cs="Times New Roman"/>
          <w:kern w:val="0"/>
          <w:sz w:val="32"/>
          <w:szCs w:val="32"/>
        </w:rPr>
        <w:t>篇以上，或获得国家级科学技术奖励</w:t>
      </w:r>
      <w:r>
        <w:rPr>
          <w:rFonts w:ascii="Times New Roman" w:hAnsi="Times New Roman" w:eastAsia="仿宋_GB2312" w:cs="Times New Roman"/>
          <w:kern w:val="0"/>
          <w:sz w:val="32"/>
          <w:szCs w:val="32"/>
        </w:rPr>
        <w:t>1</w:t>
      </w:r>
      <w:r>
        <w:rPr>
          <w:rFonts w:ascii="仿宋_GB2312" w:hAnsi="Times New Roman" w:eastAsia="仿宋_GB2312" w:cs="Times New Roman"/>
          <w:kern w:val="0"/>
          <w:sz w:val="32"/>
          <w:szCs w:val="32"/>
        </w:rPr>
        <w:t>项（含）或省部级科学技术奖励</w:t>
      </w:r>
      <w:r>
        <w:rPr>
          <w:rFonts w:ascii="Times New Roman" w:hAnsi="Times New Roman" w:eastAsia="仿宋_GB2312" w:cs="Times New Roman"/>
          <w:kern w:val="0"/>
          <w:sz w:val="32"/>
          <w:szCs w:val="32"/>
        </w:rPr>
        <w:t>2</w:t>
      </w:r>
      <w:r>
        <w:rPr>
          <w:rFonts w:ascii="仿宋_GB2312" w:hAnsi="Times New Roman" w:eastAsia="仿宋_GB2312" w:cs="Times New Roman"/>
          <w:kern w:val="0"/>
          <w:sz w:val="32"/>
          <w:szCs w:val="32"/>
        </w:rPr>
        <w:t>项（含）以上。</w:t>
      </w:r>
    </w:p>
    <w:p w14:paraId="6105F8C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（五）条件保障：</w:t>
      </w:r>
      <w:r>
        <w:rPr>
          <w:rFonts w:ascii="仿宋_GB2312" w:hAnsi="Times New Roman" w:eastAsia="仿宋_GB2312" w:cs="Times New Roman"/>
          <w:kern w:val="0"/>
          <w:sz w:val="32"/>
          <w:szCs w:val="32"/>
        </w:rPr>
        <w:t>主管部门、依托单位保障有力，能全面支持建设运行。主管部门能全面管理和监督实验室的建设运行；依托单位能稳定支持重点实验室的自主创新研究、科研仪器设备更新维护和开放运行，每年为重点实验室提供不低于</w:t>
      </w:r>
      <w:r>
        <w:rPr>
          <w:rFonts w:ascii="Times New Roman" w:hAnsi="Times New Roman" w:eastAsia="仿宋_GB2312" w:cs="Times New Roman"/>
          <w:kern w:val="0"/>
          <w:sz w:val="32"/>
          <w:szCs w:val="32"/>
        </w:rPr>
        <w:t>50</w:t>
      </w:r>
      <w:r>
        <w:rPr>
          <w:rFonts w:ascii="仿宋_GB2312" w:hAnsi="Times New Roman" w:eastAsia="仿宋_GB2312" w:cs="Times New Roman"/>
          <w:kern w:val="0"/>
          <w:sz w:val="32"/>
          <w:szCs w:val="32"/>
        </w:rPr>
        <w:t>万元的运行经费。</w:t>
      </w:r>
    </w:p>
    <w:p w14:paraId="30235C57">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（六）软硬件条件：</w:t>
      </w:r>
      <w:r>
        <w:rPr>
          <w:rFonts w:ascii="仿宋_GB2312" w:hAnsi="Times New Roman" w:eastAsia="仿宋_GB2312" w:cs="Times New Roman"/>
          <w:kern w:val="0"/>
          <w:sz w:val="32"/>
          <w:szCs w:val="32"/>
        </w:rPr>
        <w:t>具备良好的科研实验条件，科研用房相对集中；原则上科研用房面积</w:t>
      </w:r>
      <w:r>
        <w:rPr>
          <w:rFonts w:ascii="Times New Roman" w:hAnsi="Times New Roman" w:eastAsia="仿宋_GB2312" w:cs="Times New Roman"/>
          <w:kern w:val="0"/>
          <w:sz w:val="32"/>
          <w:szCs w:val="32"/>
        </w:rPr>
        <w:t>1000</w:t>
      </w:r>
      <w:r>
        <w:rPr>
          <w:rFonts w:ascii="仿宋_GB2312" w:hAnsi="Times New Roman" w:eastAsia="仿宋_GB2312" w:cs="Times New Roman"/>
          <w:kern w:val="0"/>
          <w:sz w:val="32"/>
          <w:szCs w:val="32"/>
        </w:rPr>
        <w:t>平方米以上、仪器设备总值</w:t>
      </w:r>
      <w:r>
        <w:rPr>
          <w:rFonts w:ascii="Times New Roman" w:hAnsi="Times New Roman" w:eastAsia="仿宋_GB2312" w:cs="Times New Roman"/>
          <w:kern w:val="0"/>
          <w:sz w:val="32"/>
          <w:szCs w:val="32"/>
        </w:rPr>
        <w:t>1000</w:t>
      </w:r>
      <w:r>
        <w:rPr>
          <w:rFonts w:ascii="仿宋_GB2312" w:hAnsi="Times New Roman" w:eastAsia="仿宋_GB2312" w:cs="Times New Roman"/>
          <w:kern w:val="0"/>
          <w:sz w:val="32"/>
          <w:szCs w:val="32"/>
        </w:rPr>
        <w:t>万元人民币以上（从事数学理论研究、软件研究开发等特殊领域、行业的重点实验室可适当降低）。</w:t>
      </w:r>
    </w:p>
    <w:p w14:paraId="390928B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（七）制度建设：</w:t>
      </w:r>
      <w:r>
        <w:rPr>
          <w:rFonts w:ascii="仿宋_GB2312" w:hAnsi="Times New Roman" w:eastAsia="仿宋_GB2312" w:cs="Times New Roman"/>
          <w:kern w:val="0"/>
          <w:sz w:val="32"/>
          <w:szCs w:val="32"/>
        </w:rPr>
        <w:t>具备完善的运行管理制度体系，科技创新成效比较显著；信息化建设成效明显，重点实验室网站宣传与科普具有一定成效，且纳入依托单位信息化工作统筹管理。</w:t>
      </w:r>
    </w:p>
    <w:p w14:paraId="692CF0D4">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（八）开放共享：</w:t>
      </w:r>
      <w:r>
        <w:rPr>
          <w:rFonts w:ascii="仿宋_GB2312" w:hAnsi="Times New Roman" w:eastAsia="仿宋_GB2312" w:cs="Times New Roman"/>
          <w:kern w:val="0"/>
          <w:sz w:val="32"/>
          <w:szCs w:val="32"/>
        </w:rPr>
        <w:t>依托单位应重视大型科研仪器设备开放共享工作；在重点实验室申请认定的前三年内，依托单位原则上应每年参加自治区大型科研仪器开放共享绩效考核（从事数学理论研究、软件研究开发等特殊领域、行业的重点实验室可适当减免）。</w:t>
      </w:r>
    </w:p>
    <w:p w14:paraId="5D08820F">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ascii="Times New Roman" w:hAnsi="Times New Roman" w:eastAsia="仿宋_GB2312" w:cs="Times New Roman"/>
          <w:kern w:val="0"/>
          <w:sz w:val="32"/>
          <w:szCs w:val="32"/>
        </w:rPr>
      </w:pPr>
      <w:r>
        <w:rPr>
          <w:rFonts w:hint="eastAsia" w:ascii="楷体" w:hAnsi="楷体" w:eastAsia="楷体" w:cs="楷体"/>
          <w:b/>
          <w:bCs/>
          <w:kern w:val="0"/>
          <w:sz w:val="32"/>
          <w:szCs w:val="32"/>
        </w:rPr>
        <w:t>（九）其他：</w:t>
      </w:r>
      <w:r>
        <w:rPr>
          <w:rFonts w:ascii="仿宋_GB2312" w:hAnsi="Times New Roman" w:eastAsia="仿宋_GB2312" w:cs="Times New Roman"/>
          <w:kern w:val="0"/>
          <w:sz w:val="32"/>
          <w:szCs w:val="32"/>
        </w:rPr>
        <w:t>依托单位近五年内未发生环保、安全、知识产权等方面的问题，或所受各级部门行政处罚与拟建重点实验室无直接关系。重点实验室科研人员无科学技术活动违规行为、科研失信行为及其他相关信用记录、无违法违纪行为。</w:t>
      </w:r>
    </w:p>
    <w:p w14:paraId="21CBDB9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第十二条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重点实验室认定流程：</w:t>
      </w:r>
    </w:p>
    <w:p w14:paraId="23452ED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（一）科技厅发布申报通知和要求。</w:t>
      </w:r>
    </w:p>
    <w:p w14:paraId="2795625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（二）主管部门按照通知要求，组织依托单位填写提交重点实验室认定申请书及有关附件材料，审核后报科技厅。</w:t>
      </w:r>
    </w:p>
    <w:p w14:paraId="71920DA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highlight w:val="yellow"/>
        </w:rPr>
      </w:pPr>
      <w:r>
        <w:rPr>
          <w:rFonts w:ascii="仿宋_GB2312" w:hAnsi="Times New Roman" w:eastAsia="仿宋_GB2312" w:cs="Times New Roman"/>
          <w:kern w:val="0"/>
          <w:sz w:val="32"/>
          <w:szCs w:val="32"/>
        </w:rPr>
        <w:t>（三）科技厅组织或委托第三方专业机构对申报材料进行形式审查，组织专家评审，择优公示、认定。</w:t>
      </w:r>
    </w:p>
    <w:p w14:paraId="3404A93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第十三条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对新认定的重点实验室予以一次性奖励后补助支持。</w:t>
      </w:r>
    </w:p>
    <w:p w14:paraId="6950F688">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cs="Times New Roman"/>
          <w:szCs w:val="21"/>
        </w:rPr>
        <w:t xml:space="preserve"> </w:t>
      </w:r>
    </w:p>
    <w:p w14:paraId="5968F80E">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kern w:val="0"/>
          <w:sz w:val="32"/>
          <w:szCs w:val="32"/>
        </w:rPr>
      </w:pPr>
      <w:r>
        <w:rPr>
          <w:rFonts w:ascii="黑体" w:hAnsi="黑体" w:eastAsia="黑体" w:cs="Times New Roman"/>
          <w:kern w:val="0"/>
          <w:sz w:val="32"/>
          <w:szCs w:val="32"/>
        </w:rPr>
        <w:t>第四章</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运</w:t>
      </w:r>
      <w:r>
        <w:rPr>
          <w:rFonts w:ascii="Times New Roman" w:hAnsi="Times New Roman" w:eastAsia="黑体" w:cs="Times New Roman"/>
          <w:kern w:val="0"/>
          <w:sz w:val="32"/>
          <w:szCs w:val="32"/>
        </w:rPr>
        <w:t xml:space="preserve">  </w:t>
      </w:r>
      <w:r>
        <w:rPr>
          <w:rFonts w:ascii="黑体" w:hAnsi="黑体" w:eastAsia="黑体" w:cs="Times New Roman"/>
          <w:kern w:val="0"/>
          <w:sz w:val="32"/>
          <w:szCs w:val="32"/>
        </w:rPr>
        <w:t>行</w:t>
      </w:r>
    </w:p>
    <w:p w14:paraId="26528F47">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eastAsia="仿宋_GB2312" w:cs="Times New Roman"/>
          <w:kern w:val="0"/>
          <w:sz w:val="32"/>
          <w:szCs w:val="32"/>
        </w:rPr>
        <w:t xml:space="preserve"> </w:t>
      </w:r>
    </w:p>
    <w:p w14:paraId="6DDB1EF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第十四条</w:t>
      </w:r>
      <w:r>
        <w:rPr>
          <w:rFonts w:ascii="Times New Roman" w:hAnsi="Times New Roman" w:eastAsia="黑体" w:cs="Times New Roman"/>
          <w:kern w:val="0"/>
          <w:sz w:val="32"/>
          <w:szCs w:val="32"/>
        </w:rPr>
        <w:t xml:space="preserve">  </w:t>
      </w:r>
      <w:r>
        <w:rPr>
          <w:rFonts w:ascii="仿宋_GB2312" w:hAnsi="Times New Roman" w:eastAsia="仿宋_GB2312" w:cs="Times New Roman"/>
          <w:kern w:val="0"/>
          <w:sz w:val="32"/>
          <w:szCs w:val="32"/>
        </w:rPr>
        <w:t>重点实验室应加强党组织和党员队伍建设，强化党风廉政建设，为推动重点实验室建设发展提供坚强的思想、政治、组织保障。</w:t>
      </w:r>
    </w:p>
    <w:p w14:paraId="6D8A753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第十五条</w:t>
      </w:r>
      <w:r>
        <w:rPr>
          <w:rFonts w:ascii="Times New Roman" w:hAnsi="Times New Roman" w:eastAsia="黑体" w:cs="Times New Roman"/>
          <w:kern w:val="0"/>
          <w:sz w:val="32"/>
          <w:szCs w:val="32"/>
        </w:rPr>
        <w:t xml:space="preserve"> </w:t>
      </w:r>
      <w:r>
        <w:rPr>
          <w:rFonts w:ascii="仿宋_GB2312" w:hAnsi="Times New Roman" w:eastAsia="仿宋_GB2312" w:cs="Times New Roman"/>
          <w:kern w:val="0"/>
          <w:sz w:val="32"/>
          <w:szCs w:val="32"/>
        </w:rPr>
        <w:t>重点实验室实行依托单位领导下的主任负责制，由政治素质好、具有领导能力、德才兼备、年富力强的领军科学家担任，负责重点实验室建设发展，组织开展重大科研任务攻关。实验室主任在任务组织实施、科研资源配置、经费使用管理和人员聘用考核等方面应拥有自主权。</w:t>
      </w:r>
    </w:p>
    <w:p w14:paraId="71D15AD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实验室主任由依托单位公开招聘，择优聘任，报科技厅备案，每届任期三年，累计任职一般不超过三届，原则上应为依托单位在职人员，全职全时在实验室工作，任期内一般不超过退休年龄（院士除外）。</w:t>
      </w:r>
    </w:p>
    <w:p w14:paraId="559D932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第十六条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学术委员会是重点实验室的学术指导机构，负责对重点实验室的发展目标、研究方向、重大学术活动、年度工作计划和总结等提出咨询建议。学术委员会会议每年至少召开一次。</w:t>
      </w:r>
    </w:p>
    <w:p w14:paraId="097847E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学术委员会由国内外高水平专家组成，一般可为</w:t>
      </w:r>
      <w:r>
        <w:rPr>
          <w:rFonts w:ascii="Times New Roman" w:hAnsi="Times New Roman" w:eastAsia="仿宋_GB2312" w:cs="Times New Roman"/>
          <w:kern w:val="0"/>
          <w:sz w:val="32"/>
          <w:szCs w:val="32"/>
        </w:rPr>
        <w:t>9</w:t>
      </w:r>
      <w:r>
        <w:rPr>
          <w:rFonts w:ascii="仿宋_GB2312" w:hAnsi="Times New Roman" w:eastAsia="仿宋_GB2312" w:cs="Times New Roman"/>
          <w:kern w:val="0"/>
          <w:sz w:val="32"/>
          <w:szCs w:val="32"/>
        </w:rPr>
        <w:t>人至</w:t>
      </w:r>
      <w:r>
        <w:rPr>
          <w:rFonts w:ascii="Times New Roman" w:hAnsi="Times New Roman" w:eastAsia="仿宋_GB2312" w:cs="Times New Roman"/>
          <w:kern w:val="0"/>
          <w:sz w:val="32"/>
          <w:szCs w:val="32"/>
        </w:rPr>
        <w:t>13</w:t>
      </w:r>
      <w:r>
        <w:rPr>
          <w:rFonts w:ascii="仿宋_GB2312" w:hAnsi="Times New Roman" w:eastAsia="仿宋_GB2312" w:cs="Times New Roman"/>
          <w:kern w:val="0"/>
          <w:sz w:val="32"/>
          <w:szCs w:val="32"/>
        </w:rPr>
        <w:t>人，其中依托单位人员不超过三分之一。学术委员会主任应由依托单位聘任非依托单位人员担任，报科技厅备案。学术委员会委员由依托单位聘任，一位专家不得同时担任超过</w:t>
      </w:r>
      <w:r>
        <w:rPr>
          <w:rFonts w:ascii="Times New Roman" w:hAnsi="Times New Roman" w:eastAsia="仿宋_GB2312" w:cs="Times New Roman"/>
          <w:kern w:val="0"/>
          <w:sz w:val="32"/>
          <w:szCs w:val="32"/>
        </w:rPr>
        <w:t>3</w:t>
      </w:r>
      <w:r>
        <w:rPr>
          <w:rFonts w:ascii="仿宋_GB2312" w:hAnsi="Times New Roman" w:eastAsia="仿宋_GB2312" w:cs="Times New Roman"/>
          <w:kern w:val="0"/>
          <w:sz w:val="32"/>
          <w:szCs w:val="32"/>
        </w:rPr>
        <w:t>个实验室的学术委员会委员。学术委员会每届任期三年，每届委员更换比例在三分之一以上。</w:t>
      </w:r>
    </w:p>
    <w:p w14:paraId="4E13373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第十七条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应健全人员分类管理与激励机制。重点实验室由固定人员和流动人员组成。固定人员由依托单位聘（任）用，全职全时在重点实验室开展工作，原则上只能在一个自治区级基础研究类科技创新平台任职。固定人员信息须通过年度报告上报，并接受查重。流动人员包括访问学者、博士后研究人员及兼职人员。流动人员进入重点实验室工作，须以签订工作协议或颁发聘书等形式，明确工作任务和时间。</w:t>
      </w:r>
    </w:p>
    <w:p w14:paraId="51A5D8B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第十八条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重点实验室应注重学术梯队和优秀中青年队伍建设，统筹各类资源设立专门经费支持青年科技人员的科研启动，鼓励青年科技人才挑大梁、当主角。重点实验室主任、副主任中原则上应配备</w:t>
      </w:r>
      <w:r>
        <w:rPr>
          <w:rFonts w:ascii="Times New Roman" w:hAnsi="Times New Roman" w:eastAsia="仿宋_GB2312" w:cs="Times New Roman"/>
          <w:kern w:val="0"/>
          <w:sz w:val="32"/>
          <w:szCs w:val="32"/>
        </w:rPr>
        <w:t>45</w:t>
      </w:r>
      <w:r>
        <w:rPr>
          <w:rFonts w:ascii="仿宋_GB2312" w:hAnsi="Times New Roman" w:eastAsia="仿宋_GB2312" w:cs="Times New Roman"/>
          <w:kern w:val="0"/>
          <w:sz w:val="32"/>
          <w:szCs w:val="32"/>
        </w:rPr>
        <w:t>周岁以下科研技术骨干。</w:t>
      </w:r>
    </w:p>
    <w:p w14:paraId="01874A9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第十九条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应积极开展国内外科技合作和交流，与港澳地区、东盟国家等围绕关键技术难题开展联合攻关，建立协同攻关的科研组织模式。同时可自主设立开放课题开展基础前沿研究，鼓励开展非共识性研究、实验技术方法与仪器设备提升改造等创新研究。</w:t>
      </w:r>
    </w:p>
    <w:p w14:paraId="61932B8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第二十条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依托单位应严格遵守国家和自治区财务、审计等相关制度支出经费，组织重点实验室制定开放课题经费管理办法，做好开放课题经费的管理工作。</w:t>
      </w:r>
    </w:p>
    <w:p w14:paraId="32B69E6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第二十一条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重点实验室应按照国家有关规定和要求，加强信息化能力建设，建立健全科学数据汇交机制，推动大型科研仪器和科学数据等科技资源开放共享。</w:t>
      </w:r>
    </w:p>
    <w:p w14:paraId="5E8FF04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第二十二条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应加强知识产权的创造、保护与应用。在重点实验室完成的专著、论文等研究成果均应标注重点实验室名称，软件、数据库、专利申请、标准制修订、技术成果转让、申报奖励等按国家有关规定办理。对其他单位或个人利用重点实验室平台取得的成果按国家、自治区有关规定及双方约定办理。凡未按规定标注名称的研究成果不得作为重点实验室的研究成果参与年度考核和定期评估。</w:t>
      </w:r>
    </w:p>
    <w:p w14:paraId="56BE9426">
      <w:pPr>
        <w:keepNext w:val="0"/>
        <w:keepLines w:val="0"/>
        <w:pageBreakBefore w:val="0"/>
        <w:shd w:val="clear" w:color="auto" w:fill="auto"/>
        <w:kinsoku/>
        <w:wordWrap/>
        <w:overflowPunct/>
        <w:topLinePunct w:val="0"/>
        <w:autoSpaceDE w:val="0"/>
        <w:autoSpaceDN w:val="0"/>
        <w:bidi w:val="0"/>
        <w:adjustRightInd w:val="0"/>
        <w:spacing w:beforeAutospacing="0" w:line="560" w:lineRule="exact"/>
        <w:ind w:firstLine="640" w:firstLineChars="200"/>
        <w:jc w:val="left"/>
        <w:textAlignment w:val="auto"/>
        <w:rPr>
          <w:rFonts w:hint="eastAsia" w:ascii="宋体" w:hAnsi="宋体" w:cs="宋体"/>
          <w:color w:val="000000"/>
          <w:kern w:val="0"/>
          <w:sz w:val="24"/>
          <w:szCs w:val="24"/>
        </w:rPr>
      </w:pPr>
      <w:r>
        <w:rPr>
          <w:rFonts w:hint="eastAsia" w:ascii="黑体" w:hAnsi="黑体" w:eastAsia="黑体" w:cs="Times New Roman"/>
          <w:color w:val="000000"/>
          <w:kern w:val="0"/>
          <w:sz w:val="32"/>
          <w:szCs w:val="32"/>
        </w:rPr>
        <w:t>第二十三条</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重点实验室应建立健全科技成果转化机制，积极推动产学研用深度融合。鼓励实验室通过自行实施、转让、许可、作价投资等方式推动科技成果转化；鼓励依托单位配备专业化技术转移转化力量，加强与产业界合作，提升服务产业创新和经济社会发展能力。</w:t>
      </w:r>
    </w:p>
    <w:p w14:paraId="5147B50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黑体" w:hAnsi="黑体" w:eastAsia="黑体" w:cs="Times New Roman"/>
          <w:kern w:val="0"/>
          <w:sz w:val="32"/>
          <w:szCs w:val="32"/>
        </w:rPr>
        <w:t>第二十四条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重点实验室应重视科学普及，依托全国科技活动周广西活动等，通过开放交流、科普讲座、科普进基层等形式，每年向社会开展科普活动</w:t>
      </w:r>
      <w:r>
        <w:rPr>
          <w:rFonts w:ascii="Times New Roman" w:hAnsi="Times New Roman" w:eastAsia="仿宋_GB2312" w:cs="Times New Roman"/>
          <w:kern w:val="0"/>
          <w:sz w:val="32"/>
          <w:szCs w:val="32"/>
        </w:rPr>
        <w:t>1</w:t>
      </w:r>
      <w:r>
        <w:rPr>
          <w:rFonts w:hint="eastAsia" w:ascii="仿宋_GB2312" w:hAnsi="Times New Roman" w:eastAsia="仿宋_GB2312" w:cs="Times New Roman"/>
          <w:kern w:val="0"/>
          <w:sz w:val="32"/>
          <w:szCs w:val="32"/>
        </w:rPr>
        <w:t>次以上；有条件的应向社会公众特别是学生开放，每年不少于</w:t>
      </w:r>
      <w:r>
        <w:rPr>
          <w:rFonts w:ascii="Times New Roman" w:hAnsi="Times New Roman" w:eastAsia="仿宋_GB2312" w:cs="Times New Roman"/>
          <w:kern w:val="0"/>
          <w:sz w:val="32"/>
          <w:szCs w:val="32"/>
        </w:rPr>
        <w:t>10</w:t>
      </w:r>
      <w:r>
        <w:rPr>
          <w:rFonts w:hint="eastAsia" w:ascii="仿宋_GB2312" w:hAnsi="Times New Roman" w:eastAsia="仿宋_GB2312" w:cs="Times New Roman"/>
          <w:kern w:val="0"/>
          <w:sz w:val="32"/>
          <w:szCs w:val="32"/>
        </w:rPr>
        <w:t>天。</w:t>
      </w:r>
    </w:p>
    <w:p w14:paraId="56894A4E">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第二十五条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重点实验室应严格落实国家安全保密相关法律法规，建立健全相关制度，确保国家秘密安全，强化安全生产管理。</w:t>
      </w:r>
    </w:p>
    <w:p w14:paraId="76C428D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第二十六条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重点实验室实行年度报告制度。按要求每年就上年度实验室人员、经费、成果、落实学术委员会意见等情况及本年度工作计划，形成年度报告报科技厅。</w:t>
      </w:r>
    </w:p>
    <w:p w14:paraId="5F8C72C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第二十七条</w:t>
      </w:r>
      <w:r>
        <w:rPr>
          <w:rFonts w:ascii="Times New Roman" w:hAnsi="Times New Roman" w:eastAsia="黑体"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重点实验室需变更名称，调整主要研究方向、依托单位组成等情况，或依托单位法人主体、机构性质等出现重大变化时，由依托单位报请科技厅研究审批。</w:t>
      </w:r>
    </w:p>
    <w:p w14:paraId="05593AF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color w:val="000000"/>
          <w:szCs w:val="21"/>
          <w:highlight w:val="yellow"/>
        </w:rPr>
      </w:pPr>
      <w:r>
        <w:rPr>
          <w:rFonts w:hint="eastAsia" w:ascii="仿宋_GB2312" w:hAnsi="Times New Roman" w:eastAsia="仿宋_GB2312" w:cs="Times New Roman"/>
          <w:color w:val="000000"/>
          <w:sz w:val="32"/>
          <w:szCs w:val="32"/>
        </w:rPr>
        <w:t>定期评估当年及整改期间，原则上不受理重点实验室名称、依托单位等变更申请。</w:t>
      </w:r>
    </w:p>
    <w:p w14:paraId="1303169A">
      <w:pPr>
        <w:keepNext w:val="0"/>
        <w:keepLines w:val="0"/>
        <w:pageBreakBefore w:val="0"/>
        <w:shd w:val="clear" w:color="auto" w:fill="auto"/>
        <w:kinsoku/>
        <w:wordWrap/>
        <w:overflowPunct/>
        <w:topLinePunct w:val="0"/>
        <w:bidi w:val="0"/>
        <w:spacing w:beforeAutospacing="0" w:line="560" w:lineRule="exact"/>
        <w:textAlignment w:val="auto"/>
        <w:rPr>
          <w:szCs w:val="21"/>
        </w:rPr>
      </w:pPr>
      <w:r>
        <w:rPr>
          <w:rFonts w:ascii="Times New Roman" w:hAnsi="Times New Roman" w:eastAsia="黑体" w:cs="Times New Roman"/>
          <w:kern w:val="0"/>
          <w:sz w:val="32"/>
          <w:szCs w:val="32"/>
        </w:rPr>
        <w:t xml:space="preserve"> </w:t>
      </w:r>
    </w:p>
    <w:p w14:paraId="0EF47986">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kern w:val="0"/>
          <w:sz w:val="32"/>
          <w:szCs w:val="32"/>
        </w:rPr>
      </w:pPr>
      <w:r>
        <w:rPr>
          <w:rFonts w:hint="eastAsia" w:ascii="黑体" w:hAnsi="黑体" w:eastAsia="黑体" w:cs="Times New Roman"/>
          <w:kern w:val="0"/>
          <w:sz w:val="32"/>
          <w:szCs w:val="32"/>
        </w:rPr>
        <w:t>第五章</w:t>
      </w:r>
      <w:r>
        <w:rPr>
          <w:rFonts w:ascii="Times New Roman" w:hAnsi="Times New Roman" w:eastAsia="黑体" w:cs="Times New Roman"/>
          <w:kern w:val="0"/>
          <w:sz w:val="32"/>
          <w:szCs w:val="32"/>
        </w:rPr>
        <w:t xml:space="preserve">  </w:t>
      </w:r>
      <w:r>
        <w:rPr>
          <w:rFonts w:hint="eastAsia" w:ascii="黑体" w:hAnsi="黑体" w:eastAsia="黑体" w:cs="Times New Roman"/>
          <w:kern w:val="0"/>
          <w:sz w:val="32"/>
          <w:szCs w:val="32"/>
        </w:rPr>
        <w:t>评</w:t>
      </w:r>
      <w:r>
        <w:rPr>
          <w:rFonts w:ascii="Times New Roman" w:hAnsi="Times New Roman" w:eastAsia="黑体" w:cs="Times New Roman"/>
          <w:kern w:val="0"/>
          <w:sz w:val="32"/>
          <w:szCs w:val="32"/>
        </w:rPr>
        <w:t xml:space="preserve">  </w:t>
      </w:r>
      <w:r>
        <w:rPr>
          <w:rFonts w:hint="eastAsia" w:ascii="黑体" w:hAnsi="黑体" w:eastAsia="黑体" w:cs="Times New Roman"/>
          <w:kern w:val="0"/>
          <w:sz w:val="32"/>
          <w:szCs w:val="32"/>
        </w:rPr>
        <w:t>估</w:t>
      </w:r>
    </w:p>
    <w:p w14:paraId="620ADC48">
      <w:pPr>
        <w:keepNext w:val="0"/>
        <w:keepLines w:val="0"/>
        <w:pageBreakBefore w:val="0"/>
        <w:shd w:val="clear" w:color="auto" w:fill="auto"/>
        <w:kinsoku/>
        <w:wordWrap/>
        <w:overflowPunct/>
        <w:topLinePunct w:val="0"/>
        <w:bidi w:val="0"/>
        <w:spacing w:beforeAutospacing="0" w:line="560" w:lineRule="exact"/>
        <w:textAlignment w:val="auto"/>
        <w:rPr>
          <w:szCs w:val="21"/>
        </w:rPr>
      </w:pPr>
      <w:r>
        <w:rPr>
          <w:rFonts w:ascii="Times New Roman" w:hAnsi="Times New Roman" w:cs="Times New Roman"/>
          <w:szCs w:val="21"/>
        </w:rPr>
        <w:t xml:space="preserve"> </w:t>
      </w:r>
    </w:p>
    <w:p w14:paraId="0483DE2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第二十八条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科技厅牵头对重点实验室组织开展定期评估，采取年度考核与定期评估相结合方式对重点实验室进行综合评价，重点评估实验室在开展原始创新、突破关键核心技术、推动产业及学科发展等方面的实际贡献。主要评价指标包括研究成果、人才培养、开放合作、条件保障与组织管理，以及后补助经费使用管理情况等。</w:t>
      </w:r>
    </w:p>
    <w:p w14:paraId="27AA7D2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第二十九条</w:t>
      </w:r>
      <w:r>
        <w:rPr>
          <w:rFonts w:ascii="Times New Roman" w:hAnsi="Times New Roman" w:eastAsia="黑体" w:cs="Times New Roman"/>
          <w:kern w:val="0"/>
          <w:sz w:val="32"/>
          <w:szCs w:val="32"/>
        </w:rPr>
        <w:t xml:space="preserve">  </w:t>
      </w:r>
      <w:r>
        <w:rPr>
          <w:rFonts w:hint="eastAsia" w:ascii="仿宋_GB2312" w:hAnsi="Times New Roman" w:eastAsia="仿宋_GB2312" w:cs="Times New Roman"/>
          <w:kern w:val="0"/>
          <w:sz w:val="32"/>
          <w:szCs w:val="32"/>
        </w:rPr>
        <w:t>评估工作制定专门规则，坚持科学合理、客观公正、以评促建。采取指标评测与专家评议结合、会议评议与现场考察结合方式组织实施，原则上每</w:t>
      </w:r>
      <w:r>
        <w:rPr>
          <w:rFonts w:ascii="Times New Roman" w:hAnsi="Times New Roman" w:eastAsia="仿宋_GB2312" w:cs="Times New Roman"/>
          <w:kern w:val="0"/>
          <w:sz w:val="32"/>
          <w:szCs w:val="32"/>
        </w:rPr>
        <w:t>3</w:t>
      </w:r>
      <w:r>
        <w:rPr>
          <w:rFonts w:hint="eastAsia" w:ascii="仿宋_GB2312" w:hAnsi="Times New Roman" w:eastAsia="仿宋_GB2312" w:cs="Times New Roman"/>
          <w:kern w:val="0"/>
          <w:sz w:val="32"/>
          <w:szCs w:val="32"/>
        </w:rPr>
        <w:t>年为一个评估周期。</w:t>
      </w:r>
    </w:p>
    <w:p w14:paraId="52A742F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评估结果分为优秀、良好、合格、基本合格、不合格五档。根据评估结果进行动态调整和分档支持。强化评估结果应用，评估结果为</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优秀</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良好</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的，予以奖励性后补助；</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基本合格</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的，按要求整改，并在</w:t>
      </w:r>
      <w:r>
        <w:rPr>
          <w:rFonts w:ascii="Times New Roman" w:hAnsi="Times New Roman" w:eastAsia="仿宋_GB2312" w:cs="Times New Roman"/>
          <w:kern w:val="0"/>
          <w:sz w:val="32"/>
          <w:szCs w:val="32"/>
        </w:rPr>
        <w:t>1</w:t>
      </w:r>
      <w:r>
        <w:rPr>
          <w:rFonts w:hint="eastAsia" w:ascii="仿宋_GB2312" w:hAnsi="Times New Roman" w:eastAsia="仿宋_GB2312" w:cs="Times New Roman"/>
          <w:kern w:val="0"/>
          <w:sz w:val="32"/>
          <w:szCs w:val="32"/>
        </w:rPr>
        <w:t>年后复评；</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不合格</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、无正当理由不参加或中途退出评估的，予以撤销。</w:t>
      </w:r>
    </w:p>
    <w:p w14:paraId="25DF8568">
      <w:pPr>
        <w:keepNext w:val="0"/>
        <w:keepLines w:val="0"/>
        <w:pageBreakBefore w:val="0"/>
        <w:shd w:val="clear" w:color="auto" w:fill="auto"/>
        <w:kinsoku/>
        <w:wordWrap/>
        <w:overflowPunct/>
        <w:topLinePunct w:val="0"/>
        <w:autoSpaceDE w:val="0"/>
        <w:autoSpaceDN w:val="0"/>
        <w:bidi w:val="0"/>
        <w:adjustRightInd w:val="0"/>
        <w:spacing w:beforeAutospacing="0" w:line="560" w:lineRule="exact"/>
        <w:ind w:firstLine="640" w:firstLineChars="200"/>
        <w:jc w:val="left"/>
        <w:textAlignment w:val="auto"/>
        <w:rPr>
          <w:rFonts w:ascii="Times New Roman" w:hAnsi="Times New Roman" w:cs="Times New Roman"/>
          <w:color w:val="000000"/>
          <w:kern w:val="0"/>
          <w:sz w:val="24"/>
          <w:szCs w:val="24"/>
        </w:rPr>
      </w:pPr>
      <w:r>
        <w:rPr>
          <w:rFonts w:hint="eastAsia" w:ascii="黑体" w:hAnsi="黑体" w:eastAsia="黑体" w:cs="Times New Roman"/>
          <w:color w:val="000000"/>
          <w:kern w:val="0"/>
          <w:sz w:val="32"/>
          <w:szCs w:val="32"/>
        </w:rPr>
        <w:t>第三十一条</w:t>
      </w:r>
      <w:r>
        <w:rPr>
          <w:rFonts w:ascii="Times New Roman" w:hAnsi="Times New Roman" w:eastAsia="黑体"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后补助经费应单独核算，用于支持重点实验室围绕研究方向所开展的自主选题研究，可开支设备费、业务费、劳务费等与科研活动直接相关的费用，不得列支有工资性收入的人员工资、奖金、津补贴和福利。</w:t>
      </w:r>
    </w:p>
    <w:p w14:paraId="7BE6F899">
      <w:pPr>
        <w:keepNext w:val="0"/>
        <w:keepLines w:val="0"/>
        <w:pageBreakBefore w:val="0"/>
        <w:shd w:val="clear" w:color="auto" w:fill="auto"/>
        <w:kinsoku/>
        <w:wordWrap/>
        <w:overflowPunct/>
        <w:topLinePunct w:val="0"/>
        <w:bidi w:val="0"/>
        <w:spacing w:beforeAutospacing="0" w:line="560" w:lineRule="exact"/>
        <w:textAlignment w:val="auto"/>
        <w:rPr>
          <w:szCs w:val="21"/>
        </w:rPr>
      </w:pPr>
      <w:r>
        <w:rPr>
          <w:rFonts w:ascii="Times New Roman" w:hAnsi="Times New Roman" w:cs="Times New Roman"/>
          <w:szCs w:val="21"/>
        </w:rPr>
        <w:t xml:space="preserve"> </w:t>
      </w:r>
    </w:p>
    <w:p w14:paraId="67CB3908">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kern w:val="0"/>
          <w:sz w:val="32"/>
          <w:szCs w:val="32"/>
        </w:rPr>
      </w:pPr>
      <w:r>
        <w:rPr>
          <w:rFonts w:hint="eastAsia" w:ascii="黑体" w:hAnsi="黑体" w:eastAsia="黑体" w:cs="Times New Roman"/>
          <w:kern w:val="0"/>
          <w:sz w:val="32"/>
          <w:szCs w:val="32"/>
        </w:rPr>
        <w:t>第六章</w:t>
      </w:r>
      <w:r>
        <w:rPr>
          <w:rFonts w:ascii="Times New Roman" w:hAnsi="Times New Roman" w:eastAsia="黑体" w:cs="Times New Roman"/>
          <w:kern w:val="0"/>
          <w:sz w:val="32"/>
          <w:szCs w:val="32"/>
        </w:rPr>
        <w:t xml:space="preserve">  </w:t>
      </w:r>
      <w:r>
        <w:rPr>
          <w:rFonts w:hint="eastAsia" w:ascii="黑体" w:hAnsi="黑体" w:eastAsia="黑体" w:cs="Times New Roman"/>
          <w:kern w:val="0"/>
          <w:sz w:val="32"/>
          <w:szCs w:val="32"/>
        </w:rPr>
        <w:t>附</w:t>
      </w:r>
      <w:r>
        <w:rPr>
          <w:rFonts w:ascii="Times New Roman" w:hAnsi="Times New Roman" w:eastAsia="黑体" w:cs="Times New Roman"/>
          <w:kern w:val="0"/>
          <w:sz w:val="32"/>
          <w:szCs w:val="32"/>
        </w:rPr>
        <w:t xml:space="preserve">  </w:t>
      </w:r>
      <w:r>
        <w:rPr>
          <w:rFonts w:hint="eastAsia" w:ascii="黑体" w:hAnsi="黑体" w:eastAsia="黑体" w:cs="Times New Roman"/>
          <w:kern w:val="0"/>
          <w:sz w:val="32"/>
          <w:szCs w:val="32"/>
        </w:rPr>
        <w:t>则</w:t>
      </w:r>
    </w:p>
    <w:p w14:paraId="0921F9B7">
      <w:pPr>
        <w:keepNext w:val="0"/>
        <w:keepLines w:val="0"/>
        <w:pageBreakBefore w:val="0"/>
        <w:shd w:val="clear" w:color="auto" w:fill="auto"/>
        <w:kinsoku/>
        <w:wordWrap/>
        <w:overflowPunct/>
        <w:topLinePunct w:val="0"/>
        <w:bidi w:val="0"/>
        <w:spacing w:beforeAutospacing="0" w:line="560" w:lineRule="exact"/>
        <w:textAlignment w:val="auto"/>
        <w:rPr>
          <w:szCs w:val="21"/>
        </w:rPr>
      </w:pPr>
      <w:r>
        <w:rPr>
          <w:rFonts w:ascii="Times New Roman" w:hAnsi="Times New Roman" w:cs="Times New Roman"/>
          <w:szCs w:val="21"/>
        </w:rPr>
        <w:t xml:space="preserve"> </w:t>
      </w:r>
    </w:p>
    <w:p w14:paraId="37A88A5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第三十二条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重点实验室统一命名为</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广西</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重点实验室</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，英文名称为</w:t>
      </w:r>
      <w:r>
        <w:rPr>
          <w:rFonts w:ascii="Times New Roman" w:hAnsi="Times New Roman" w:eastAsia="仿宋_GB2312" w:cs="Times New Roman"/>
          <w:kern w:val="0"/>
          <w:sz w:val="32"/>
          <w:szCs w:val="32"/>
        </w:rPr>
        <w:t>“Guangxi Key Laboratory of ××”</w:t>
      </w:r>
      <w:r>
        <w:rPr>
          <w:rFonts w:hint="eastAsia" w:ascii="仿宋_GB2312" w:hAnsi="Times New Roman" w:eastAsia="仿宋_GB2312" w:cs="Times New Roman"/>
          <w:kern w:val="0"/>
          <w:sz w:val="32"/>
          <w:szCs w:val="32"/>
        </w:rPr>
        <w:t>。</w:t>
      </w:r>
    </w:p>
    <w:p w14:paraId="45DD91B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第三十三条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相关单位不得将</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广西重点实验室</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等字样用于广告、产品商标等商业化行为。如出现重大科研诚信问题、安全责任事故、违法违规事件等，造成严重不良社会影响、重点实验室无法正常运行或开展科研活动等情况，科技厅按有关规定调查处理，严重者予以撤销。</w:t>
      </w:r>
    </w:p>
    <w:p w14:paraId="703FDBB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第三十四条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本办法是主管部门、依托单位制定管理细则的依据。</w:t>
      </w:r>
    </w:p>
    <w:p w14:paraId="61104FE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第三十五条</w:t>
      </w:r>
      <w:r>
        <w:rPr>
          <w:rFonts w:ascii="Times New Roman" w:hAnsi="Times New Roman" w:eastAsia="仿宋_GB2312" w:cs="Times New Roman"/>
          <w:kern w:val="0"/>
          <w:sz w:val="32"/>
          <w:szCs w:val="32"/>
        </w:rPr>
        <w:t xml:space="preserve">  </w:t>
      </w:r>
      <w:r>
        <w:rPr>
          <w:rFonts w:hint="eastAsia" w:ascii="仿宋_GB2312" w:hAnsi="Times New Roman" w:eastAsia="仿宋_GB2312" w:cs="Times New Roman"/>
          <w:kern w:val="0"/>
          <w:sz w:val="32"/>
          <w:szCs w:val="32"/>
        </w:rPr>
        <w:t>本办法由科技厅负责解释。</w:t>
      </w:r>
    </w:p>
    <w:p w14:paraId="6F67E5D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第三十六条</w:t>
      </w:r>
      <w:r>
        <w:rPr>
          <w:rFonts w:ascii="Times New Roman" w:hAnsi="Times New Roman" w:eastAsia="黑体" w:cs="Times New Roman"/>
          <w:kern w:val="0"/>
          <w:sz w:val="32"/>
          <w:szCs w:val="32"/>
        </w:rPr>
        <w:t xml:space="preserve">  </w:t>
      </w:r>
      <w:r>
        <w:rPr>
          <w:rFonts w:hint="eastAsia" w:ascii="仿宋_GB2312" w:hAnsi="Times New Roman" w:eastAsia="仿宋_GB2312" w:cs="Times New Roman"/>
          <w:kern w:val="0"/>
          <w:sz w:val="32"/>
          <w:szCs w:val="32"/>
        </w:rPr>
        <w:t>本办法自颁布之日起施行，《广西壮族自治区重点实验室管理办法》（桂科规字〔</w:t>
      </w:r>
      <w:r>
        <w:rPr>
          <w:rFonts w:ascii="Times New Roman" w:hAnsi="Times New Roman" w:eastAsia="仿宋_GB2312" w:cs="Times New Roman"/>
          <w:kern w:val="0"/>
          <w:sz w:val="32"/>
          <w:szCs w:val="32"/>
        </w:rPr>
        <w:t>2025</w:t>
      </w:r>
      <w:r>
        <w:rPr>
          <w:rFonts w:hint="eastAsia" w:ascii="仿宋_GB2312" w:hAnsi="Times New Roman" w:eastAsia="仿宋_GB2312" w:cs="Times New Roman"/>
          <w:kern w:val="0"/>
          <w:sz w:val="32"/>
          <w:szCs w:val="32"/>
        </w:rPr>
        <w:t>〕</w:t>
      </w:r>
      <w:r>
        <w:rPr>
          <w:rFonts w:ascii="Times New Roman" w:hAnsi="Times New Roman" w:eastAsia="仿宋_GB2312" w:cs="Times New Roman"/>
          <w:kern w:val="0"/>
          <w:sz w:val="32"/>
          <w:szCs w:val="32"/>
        </w:rPr>
        <w:t>12</w:t>
      </w:r>
      <w:r>
        <w:rPr>
          <w:rFonts w:hint="eastAsia" w:ascii="仿宋_GB2312" w:hAnsi="Times New Roman" w:eastAsia="仿宋_GB2312" w:cs="Times New Roman"/>
          <w:kern w:val="0"/>
          <w:sz w:val="32"/>
          <w:szCs w:val="32"/>
        </w:rPr>
        <w:t>号）同时废止。</w:t>
      </w:r>
    </w:p>
    <w:p w14:paraId="65BF27A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p>
    <w:p w14:paraId="3772CF04">
      <w:pPr>
        <w:pStyle w:val="2"/>
        <w:rPr>
          <w:rFonts w:hint="eastAsia"/>
        </w:rPr>
      </w:pPr>
      <w:bookmarkStart w:id="0" w:name="_GoBack"/>
      <w:bookmarkEnd w:id="0"/>
    </w:p>
    <w:sectPr>
      <w:footerReference r:id="rId3"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9321">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066357EF">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066357EF">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15E05F5F"/>
    <w:rsid w:val="21F82EFF"/>
    <w:rsid w:val="27E5F429"/>
    <w:rsid w:val="2FA945EC"/>
    <w:rsid w:val="33E7557F"/>
    <w:rsid w:val="37D6C699"/>
    <w:rsid w:val="37DDEFA1"/>
    <w:rsid w:val="3EDD408D"/>
    <w:rsid w:val="3FFFAEA7"/>
    <w:rsid w:val="4FFBDC0A"/>
    <w:rsid w:val="50F808A3"/>
    <w:rsid w:val="54160AB0"/>
    <w:rsid w:val="5EF6C42D"/>
    <w:rsid w:val="60BC2B54"/>
    <w:rsid w:val="618434D4"/>
    <w:rsid w:val="638E6AAC"/>
    <w:rsid w:val="66B7B07C"/>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7269</Words>
  <Characters>7305</Characters>
  <Lines>497</Lines>
  <Paragraphs>363</Paragraphs>
  <TotalTime>9</TotalTime>
  <ScaleCrop>false</ScaleCrop>
  <LinksUpToDate>false</LinksUpToDate>
  <CharactersWithSpaces>7333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2026-03-30T10:53:50Z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A91D2CB285B444CF96220F514A7CEE97_13</vt:lpwstr>
  </property>
  <property fmtid="{D5CDD505-2E9C-101B-9397-08002B2CF9AE}" pid="4" name="KSOTemplateDocerSaveRecord">
    <vt:lpwstr>eyJoZGlkIjoiYzY5ZDFkYjAwZjNhYTM1NDBlZTczZjFiNGMyNzYxN2IiLCJ1c2VySWQiOiIzNjAwMjk3NDgifQ==</vt:lpwstr>
  </property>
</Properties>
</file>