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6F1D2">
      <w:pPr>
        <w:keepNext w:val="0"/>
        <w:keepLines w:val="0"/>
        <w:pageBreakBefore w:val="0"/>
        <w:shd w:val="clear" w:color="auto" w:fill="auto"/>
        <w:kinsoku/>
        <w:wordWrap/>
        <w:overflowPunct/>
        <w:topLinePunct w:val="0"/>
        <w:bidi w:val="0"/>
        <w:spacing w:beforeAutospacing="0" w:line="560" w:lineRule="exact"/>
        <w:jc w:val="left"/>
        <w:textAlignment w:val="auto"/>
        <w:rPr>
          <w:rFonts w:hint="eastAsia" w:ascii="黑体" w:hAnsi="宋体" w:eastAsia="黑体"/>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14:paraId="5DB88C0B">
      <w:pPr>
        <w:keepNext w:val="0"/>
        <w:keepLines w:val="0"/>
        <w:pageBreakBefore w:val="0"/>
        <w:shd w:val="clear" w:color="auto" w:fill="auto"/>
        <w:kinsoku/>
        <w:wordWrap/>
        <w:overflowPunct/>
        <w:topLinePunct w:val="0"/>
        <w:bidi w:val="0"/>
        <w:adjustRightInd w:val="0"/>
        <w:snapToGrid w:val="0"/>
        <w:spacing w:beforeAutospacing="0" w:line="560" w:lineRule="exact"/>
        <w:textAlignment w:val="auto"/>
        <w:rPr>
          <w:rFonts w:hint="eastAsia" w:ascii="仿宋_GB2312" w:hAnsi="Times New Roman" w:eastAsia="仿宋_GB2312" w:cs="Times New Roman"/>
          <w:snapToGrid w:val="0"/>
          <w:sz w:val="32"/>
          <w:szCs w:val="32"/>
        </w:rPr>
      </w:pPr>
      <w:r>
        <w:rPr>
          <w:rFonts w:hint="eastAsia" w:ascii="仿宋_GB2312" w:hAnsi="宋体" w:eastAsia="仿宋_GB2312" w:cs="宋体"/>
          <w:color w:val="000000"/>
          <w:kern w:val="0"/>
          <w:sz w:val="24"/>
          <w:szCs w:val="24"/>
        </w:rPr>
        <w:t xml:space="preserve"> </w:t>
      </w:r>
      <w:r>
        <w:rPr>
          <w:rFonts w:hint="eastAsia" w:ascii="仿宋_GB2312" w:hAnsi="Times New Roman" w:eastAsia="仿宋_GB2312" w:cs="Times New Roman"/>
          <w:snapToGrid w:val="0"/>
          <w:sz w:val="32"/>
          <w:szCs w:val="32"/>
          <w:bdr w:val="single" w:color="000000" w:sz="0" w:space="0"/>
        </w:rPr>
        <w:t xml:space="preserve">   </w:t>
      </w:r>
      <w:r>
        <w:rPr>
          <w:rFonts w:hint="eastAsia" w:ascii="仿宋_GB2312" w:hAnsi="Times New Roman" w:eastAsia="仿宋_GB2312" w:cs="Times New Roman"/>
          <w:snapToGrid w:val="0"/>
          <w:sz w:val="32"/>
          <w:szCs w:val="32"/>
        </w:rPr>
        <w:t>表示删除，</w:t>
      </w:r>
      <w:r>
        <w:rPr>
          <w:rFonts w:hint="eastAsia" w:ascii="仿宋_GB2312" w:hAnsi="Times New Roman" w:eastAsia="仿宋_GB2312" w:cs="Times New Roman"/>
          <w:snapToGrid w:val="0"/>
          <w:sz w:val="32"/>
          <w:szCs w:val="32"/>
          <w:u w:val="single"/>
        </w:rPr>
        <w:t xml:space="preserve">   </w:t>
      </w:r>
      <w:r>
        <w:rPr>
          <w:rFonts w:hint="eastAsia" w:ascii="仿宋_GB2312" w:hAnsi="Times New Roman" w:eastAsia="仿宋_GB2312" w:cs="Times New Roman"/>
          <w:snapToGrid w:val="0"/>
          <w:sz w:val="32"/>
          <w:szCs w:val="32"/>
        </w:rPr>
        <w:t>表示新增，其余为原管理办法内容。</w:t>
      </w:r>
    </w:p>
    <w:p w14:paraId="567FB3FA">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rPr>
          <w:rFonts w:hint="eastAsia" w:ascii="宋体" w:hAnsi="宋体" w:cs="宋体"/>
          <w:color w:val="000000"/>
          <w:kern w:val="0"/>
          <w:sz w:val="24"/>
          <w:szCs w:val="24"/>
        </w:rPr>
      </w:pPr>
    </w:p>
    <w:p w14:paraId="6D5AF762">
      <w:pPr>
        <w:keepNext w:val="0"/>
        <w:keepLines w:val="0"/>
        <w:pageBreakBefore w:val="0"/>
        <w:shd w:val="clear" w:color="auto" w:fill="auto"/>
        <w:kinsoku/>
        <w:wordWrap/>
        <w:overflowPunct/>
        <w:topLinePunct w:val="0"/>
        <w:bidi w:val="0"/>
        <w:spacing w:beforeAutospacing="0" w:line="560" w:lineRule="exact"/>
        <w:jc w:val="center"/>
        <w:textAlignment w:val="auto"/>
        <w:rPr>
          <w:rFonts w:hint="eastAsia" w:ascii="Times New Roman" w:hAnsi="Times New Roman" w:eastAsia="方正小标宋简体" w:cs="Times New Roman"/>
          <w:bCs/>
          <w:sz w:val="44"/>
          <w:szCs w:val="44"/>
        </w:rPr>
      </w:pPr>
      <w:r>
        <w:rPr>
          <w:rFonts w:hint="eastAsia" w:ascii="方正小标宋简体" w:eastAsia="方正小标宋简体"/>
          <w:bCs/>
          <w:sz w:val="44"/>
          <w:szCs w:val="44"/>
        </w:rPr>
        <w:t>广西壮族自治区重点实验室管理办法</w:t>
      </w:r>
    </w:p>
    <w:p w14:paraId="666144CC">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center"/>
        <w:textAlignment w:val="auto"/>
        <w:rPr>
          <w:rFonts w:ascii="楷体_GB2312" w:hAnsi="宋体" w:eastAsia="楷体_GB2312" w:cs="宋体"/>
          <w:color w:val="000000"/>
          <w:kern w:val="0"/>
          <w:sz w:val="32"/>
          <w:szCs w:val="32"/>
        </w:rPr>
      </w:pPr>
      <w:r>
        <w:rPr>
          <w:rFonts w:hint="eastAsia" w:ascii="楷体_GB2312" w:hAnsi="宋体" w:eastAsia="楷体_GB2312" w:cs="宋体"/>
          <w:bCs/>
          <w:color w:val="000000"/>
          <w:kern w:val="0"/>
          <w:sz w:val="32"/>
          <w:szCs w:val="32"/>
        </w:rPr>
        <w:t>（征求意见稿）</w:t>
      </w:r>
    </w:p>
    <w:p w14:paraId="53F3D7E1">
      <w:pPr>
        <w:keepNext w:val="0"/>
        <w:keepLines w:val="0"/>
        <w:pageBreakBefore w:val="0"/>
        <w:shd w:val="clear" w:color="auto" w:fill="auto"/>
        <w:kinsoku/>
        <w:wordWrap/>
        <w:overflowPunct/>
        <w:topLinePunct w:val="0"/>
        <w:bidi w:val="0"/>
        <w:spacing w:beforeAutospacing="0" w:line="560" w:lineRule="exact"/>
        <w:textAlignment w:val="auto"/>
        <w:rPr>
          <w:rFonts w:hint="eastAsia"/>
        </w:rPr>
      </w:pPr>
      <w:r>
        <w:rPr>
          <w:rFonts w:ascii="Times New Roman" w:hAnsi="Times New Roman" w:eastAsia="方正仿宋_GBK"/>
          <w:color w:val="122E67"/>
          <w:szCs w:val="21"/>
        </w:rPr>
        <w:t xml:space="preserve"> </w:t>
      </w:r>
    </w:p>
    <w:p w14:paraId="38067851">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outlineLvl w:val="0"/>
        <w:rPr>
          <w:rFonts w:ascii="黑体" w:eastAsia="黑体"/>
          <w:kern w:val="0"/>
          <w:sz w:val="32"/>
          <w:szCs w:val="32"/>
        </w:rPr>
      </w:pPr>
      <w:r>
        <w:rPr>
          <w:rFonts w:hint="eastAsia" w:ascii="黑体" w:hAnsi="黑体" w:eastAsia="黑体"/>
          <w:kern w:val="0"/>
          <w:sz w:val="32"/>
          <w:szCs w:val="32"/>
        </w:rPr>
        <w:t>第一章</w:t>
      </w:r>
      <w:r>
        <w:rPr>
          <w:rFonts w:hint="eastAsia" w:ascii="黑体" w:eastAsia="黑体"/>
          <w:kern w:val="0"/>
          <w:sz w:val="32"/>
          <w:szCs w:val="32"/>
        </w:rPr>
        <w:t xml:space="preserve">  </w:t>
      </w:r>
      <w:r>
        <w:rPr>
          <w:rFonts w:hint="eastAsia" w:ascii="黑体" w:hAnsi="黑体" w:eastAsia="黑体"/>
          <w:kern w:val="0"/>
          <w:sz w:val="32"/>
          <w:szCs w:val="32"/>
        </w:rPr>
        <w:t>总</w:t>
      </w:r>
      <w:r>
        <w:rPr>
          <w:rFonts w:hint="eastAsia" w:ascii="黑体" w:eastAsia="黑体"/>
          <w:kern w:val="0"/>
          <w:sz w:val="32"/>
          <w:szCs w:val="32"/>
        </w:rPr>
        <w:t xml:space="preserve">  </w:t>
      </w:r>
      <w:r>
        <w:rPr>
          <w:rFonts w:hint="eastAsia" w:ascii="黑体" w:hAnsi="黑体" w:eastAsia="黑体"/>
          <w:kern w:val="0"/>
          <w:sz w:val="32"/>
          <w:szCs w:val="32"/>
        </w:rPr>
        <w:t>则</w:t>
      </w:r>
    </w:p>
    <w:p w14:paraId="4AAF22C2">
      <w:pPr>
        <w:keepNext w:val="0"/>
        <w:keepLines w:val="0"/>
        <w:pageBreakBefore w:val="0"/>
        <w:shd w:val="clear" w:color="auto" w:fill="auto"/>
        <w:kinsoku/>
        <w:wordWrap/>
        <w:overflowPunct/>
        <w:topLinePunct w:val="0"/>
        <w:bidi w:val="0"/>
        <w:spacing w:beforeAutospacing="0" w:line="560" w:lineRule="exact"/>
        <w:textAlignment w:val="auto"/>
        <w:rPr>
          <w:rFonts w:hint="eastAsia"/>
        </w:rPr>
      </w:pPr>
      <w:r>
        <w:rPr>
          <w:rFonts w:cs="Times New Roman"/>
          <w:szCs w:val="21"/>
        </w:rPr>
        <w:t xml:space="preserve"> </w:t>
      </w:r>
    </w:p>
    <w:p w14:paraId="106D262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第一条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贯彻落实自治区党委科技委员会关于自治区级创新平台基地的管理要求，</w:t>
      </w:r>
      <w:r>
        <w:rPr>
          <w:rFonts w:hint="eastAsia" w:ascii="仿宋_GB2312" w:eastAsia="仿宋_GB2312"/>
          <w:kern w:val="0"/>
          <w:sz w:val="32"/>
          <w:szCs w:val="32"/>
        </w:rPr>
        <w:t>规范和加强广西壮族自治区重点实验室（以下简称“</w:t>
      </w:r>
      <w:r>
        <w:rPr>
          <w:rFonts w:hint="eastAsia" w:ascii="仿宋_GB2312" w:eastAsia="仿宋_GB2312"/>
          <w:kern w:val="0"/>
          <w:sz w:val="32"/>
          <w:szCs w:val="32"/>
          <w:u w:val="single"/>
        </w:rPr>
        <w:t>重点</w:t>
      </w:r>
      <w:r>
        <w:rPr>
          <w:rFonts w:hint="eastAsia" w:ascii="仿宋_GB2312" w:eastAsia="仿宋_GB2312"/>
          <w:kern w:val="0"/>
          <w:sz w:val="32"/>
          <w:szCs w:val="32"/>
        </w:rPr>
        <w:t>实验室”）的建设和运行管理，制定本办法。</w:t>
      </w:r>
    </w:p>
    <w:p w14:paraId="099CC63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eastAsia="仿宋_GB2312"/>
          <w:kern w:val="0"/>
          <w:sz w:val="32"/>
          <w:szCs w:val="32"/>
        </w:rPr>
      </w:pPr>
      <w:r>
        <w:rPr>
          <w:rFonts w:hint="eastAsia" w:ascii="黑体" w:hAnsi="黑体" w:eastAsia="黑体"/>
          <w:kern w:val="0"/>
          <w:sz w:val="32"/>
          <w:szCs w:val="32"/>
        </w:rPr>
        <w:t>第二条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实验室是实现重大原始创新，开展高水平基础研究、应用基础研究</w:t>
      </w:r>
      <w:r>
        <w:rPr>
          <w:rFonts w:hint="eastAsia" w:ascii="仿宋_GB2312" w:eastAsia="仿宋_GB2312"/>
          <w:kern w:val="0"/>
          <w:sz w:val="32"/>
          <w:szCs w:val="32"/>
          <w:u w:val="single"/>
        </w:rPr>
        <w:t>重大原始创新</w:t>
      </w:r>
      <w:r>
        <w:rPr>
          <w:rFonts w:hint="eastAsia" w:ascii="仿宋_GB2312" w:eastAsia="仿宋_GB2312"/>
          <w:kern w:val="0"/>
          <w:sz w:val="32"/>
          <w:szCs w:val="32"/>
        </w:rPr>
        <w:t>，前沿技术研究，</w:t>
      </w:r>
      <w:r>
        <w:rPr>
          <w:rFonts w:hint="eastAsia" w:ascii="仿宋_GB2312" w:eastAsia="仿宋_GB2312"/>
          <w:kern w:val="0"/>
          <w:sz w:val="32"/>
          <w:szCs w:val="32"/>
          <w:u w:val="single"/>
        </w:rPr>
        <w:t>凝聚</w:t>
      </w:r>
      <w:r>
        <w:rPr>
          <w:rFonts w:hint="eastAsia" w:ascii="仿宋_GB2312" w:eastAsia="仿宋_GB2312"/>
          <w:kern w:val="0"/>
          <w:sz w:val="32"/>
          <w:szCs w:val="32"/>
        </w:rPr>
        <w:t>培养优秀创新人才，开展高水平国内外创新合作的自治区级</w:t>
      </w:r>
      <w:r>
        <w:rPr>
          <w:rFonts w:hint="eastAsia" w:ascii="仿宋_GB2312" w:eastAsia="仿宋_GB2312"/>
          <w:kern w:val="0"/>
          <w:sz w:val="32"/>
          <w:szCs w:val="32"/>
          <w:u w:val="single"/>
        </w:rPr>
        <w:t>基础研究类</w:t>
      </w:r>
      <w:r>
        <w:rPr>
          <w:rFonts w:hint="eastAsia" w:ascii="仿宋_GB2312" w:eastAsia="仿宋_GB2312"/>
          <w:kern w:val="0"/>
          <w:sz w:val="32"/>
          <w:szCs w:val="32"/>
        </w:rPr>
        <w:t>科技创新平台，是培育广西实验室、全国重点实验室的重要基石。</w:t>
      </w:r>
    </w:p>
    <w:p w14:paraId="7A50DB8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eastAsia="仿宋_GB2312"/>
          <w:kern w:val="0"/>
          <w:sz w:val="32"/>
          <w:szCs w:val="32"/>
        </w:rPr>
      </w:pPr>
      <w:r>
        <w:rPr>
          <w:rFonts w:hint="eastAsia" w:ascii="黑体" w:hAnsi="黑体" w:eastAsia="黑体"/>
          <w:kern w:val="0"/>
          <w:sz w:val="32"/>
          <w:szCs w:val="32"/>
        </w:rPr>
        <w:t>第三条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必须坚持党的全面领导，贯彻落实党的理论和路线方针以及自治区党委、政府决策部署，坚持“四个面向”，按照国家和自治区的战略需求，打造使命定位清晰、体制机制创新、科研成效显著、优秀人才辈出的领军力量。</w:t>
      </w:r>
    </w:p>
    <w:p w14:paraId="036E4637">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kern w:val="0"/>
          <w:sz w:val="32"/>
          <w:szCs w:val="32"/>
          <w:u w:val="single"/>
        </w:rPr>
      </w:pPr>
      <w:r>
        <w:rPr>
          <w:rFonts w:hint="eastAsia" w:ascii="黑体" w:hAnsi="黑体" w:eastAsia="黑体"/>
          <w:kern w:val="0"/>
          <w:sz w:val="32"/>
          <w:szCs w:val="32"/>
          <w:u w:val="single"/>
        </w:rPr>
        <w:t>第四条</w:t>
      </w:r>
      <w:r>
        <w:rPr>
          <w:rFonts w:ascii="Times New Roman" w:hAnsi="Times New Roman" w:eastAsia="仿宋_GB2312"/>
          <w:kern w:val="0"/>
          <w:sz w:val="32"/>
          <w:szCs w:val="32"/>
          <w:u w:val="single"/>
        </w:rPr>
        <w:t xml:space="preserve">  </w:t>
      </w:r>
      <w:r>
        <w:rPr>
          <w:rFonts w:hint="eastAsia" w:ascii="仿宋_GB2312" w:eastAsia="仿宋_GB2312"/>
          <w:kern w:val="0"/>
          <w:sz w:val="32"/>
          <w:szCs w:val="32"/>
          <w:u w:val="single"/>
        </w:rPr>
        <w:t>重点实验室建设应围绕广西十大支柱产业、农业及海洋等特色和急需产业发展需求，聚焦广西高峰、高原学科建设进行整体布局，强化交叉融合导向，形成“产学研用”深度融合的发展格局。</w:t>
      </w:r>
    </w:p>
    <w:p w14:paraId="13919D4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kern w:val="0"/>
          <w:sz w:val="32"/>
          <w:szCs w:val="32"/>
        </w:rPr>
      </w:pPr>
      <w:r>
        <w:rPr>
          <w:rFonts w:hint="eastAsia" w:ascii="黑体" w:hAnsi="黑体" w:eastAsia="黑体"/>
          <w:kern w:val="0"/>
          <w:sz w:val="32"/>
          <w:szCs w:val="32"/>
        </w:rPr>
        <w:t>第五条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实验室应健全“独立、开放、流动、合作、竞争”的运行管理制度，做到人员队伍明确、财务资产清晰、组织协同紧密。</w:t>
      </w:r>
    </w:p>
    <w:p w14:paraId="7849132F">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bdr w:val="single" w:color="000000" w:sz="4" w:space="0"/>
        </w:rPr>
        <w:t>第五条</w:t>
      </w:r>
      <w:r>
        <w:rPr>
          <w:rFonts w:ascii="Times New Roman" w:hAnsi="Times New Roman" w:eastAsia="仿宋_GB2312"/>
          <w:kern w:val="0"/>
          <w:sz w:val="32"/>
          <w:szCs w:val="32"/>
          <w:bdr w:val="single" w:color="000000" w:sz="4" w:space="0"/>
        </w:rPr>
        <w:t xml:space="preserve">  </w:t>
      </w:r>
      <w:r>
        <w:rPr>
          <w:rFonts w:hint="eastAsia" w:ascii="仿宋_GB2312" w:eastAsia="仿宋_GB2312"/>
          <w:kern w:val="0"/>
          <w:sz w:val="32"/>
          <w:szCs w:val="32"/>
          <w:bdr w:val="single" w:color="000000" w:sz="4" w:space="0"/>
        </w:rPr>
        <w:t>自治区各类科技计划、人才计划、条件能力建设项目等，对符合条件的实验室予以支持。</w:t>
      </w:r>
    </w:p>
    <w:p w14:paraId="3A16D0D0">
      <w:pPr>
        <w:keepNext w:val="0"/>
        <w:keepLines w:val="0"/>
        <w:pageBreakBefore w:val="0"/>
        <w:shd w:val="clear" w:color="auto" w:fill="auto"/>
        <w:kinsoku/>
        <w:wordWrap/>
        <w:overflowPunct/>
        <w:topLinePunct w:val="0"/>
        <w:bidi w:val="0"/>
        <w:spacing w:beforeAutospacing="0" w:line="560" w:lineRule="exact"/>
        <w:textAlignment w:val="auto"/>
      </w:pPr>
      <w:r>
        <w:rPr>
          <w:rFonts w:cs="Times New Roman"/>
          <w:szCs w:val="21"/>
        </w:rPr>
        <w:t xml:space="preserve"> </w:t>
      </w:r>
    </w:p>
    <w:p w14:paraId="0300C23A">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kern w:val="0"/>
          <w:sz w:val="32"/>
          <w:szCs w:val="32"/>
        </w:rPr>
      </w:pPr>
      <w:r>
        <w:rPr>
          <w:rFonts w:hint="eastAsia" w:ascii="黑体" w:hAnsi="黑体" w:eastAsia="黑体"/>
          <w:kern w:val="0"/>
          <w:sz w:val="32"/>
          <w:szCs w:val="32"/>
        </w:rPr>
        <w:t>第二章</w:t>
      </w:r>
      <w:r>
        <w:rPr>
          <w:rFonts w:ascii="Times New Roman" w:hAnsi="Times New Roman" w:eastAsia="黑体"/>
          <w:kern w:val="0"/>
          <w:sz w:val="32"/>
          <w:szCs w:val="32"/>
        </w:rPr>
        <w:t xml:space="preserve">  </w:t>
      </w:r>
      <w:r>
        <w:rPr>
          <w:rFonts w:hint="eastAsia" w:ascii="黑体" w:hAnsi="黑体" w:eastAsia="黑体"/>
          <w:kern w:val="0"/>
          <w:sz w:val="32"/>
          <w:szCs w:val="32"/>
        </w:rPr>
        <w:t>职</w:t>
      </w:r>
      <w:r>
        <w:rPr>
          <w:rFonts w:hint="eastAsia" w:ascii="黑体" w:eastAsia="黑体"/>
          <w:kern w:val="0"/>
          <w:sz w:val="32"/>
          <w:szCs w:val="32"/>
        </w:rPr>
        <w:t xml:space="preserve">  </w:t>
      </w:r>
      <w:r>
        <w:rPr>
          <w:rFonts w:hint="eastAsia" w:ascii="黑体" w:hAnsi="黑体" w:eastAsia="黑体"/>
          <w:kern w:val="0"/>
          <w:sz w:val="32"/>
          <w:szCs w:val="32"/>
        </w:rPr>
        <w:t>责</w:t>
      </w:r>
    </w:p>
    <w:p w14:paraId="71E85A29">
      <w:pPr>
        <w:keepNext w:val="0"/>
        <w:keepLines w:val="0"/>
        <w:pageBreakBefore w:val="0"/>
        <w:shd w:val="clear" w:color="auto" w:fill="auto"/>
        <w:kinsoku/>
        <w:wordWrap/>
        <w:overflowPunct/>
        <w:topLinePunct w:val="0"/>
        <w:bidi w:val="0"/>
        <w:spacing w:beforeAutospacing="0" w:line="560" w:lineRule="exact"/>
        <w:textAlignment w:val="auto"/>
      </w:pPr>
      <w:r>
        <w:rPr>
          <w:rFonts w:cs="Times New Roman"/>
          <w:szCs w:val="21"/>
        </w:rPr>
        <w:t xml:space="preserve"> </w:t>
      </w:r>
    </w:p>
    <w:p w14:paraId="5D1089FE">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第六条</w:t>
      </w:r>
      <w:r>
        <w:rPr>
          <w:rFonts w:ascii="Times New Roman" w:hAnsi="Times New Roman" w:eastAsia="仿宋_GB2312"/>
          <w:kern w:val="0"/>
          <w:sz w:val="32"/>
          <w:szCs w:val="32"/>
        </w:rPr>
        <w:t xml:space="preserve">  </w:t>
      </w:r>
      <w:r>
        <w:rPr>
          <w:rFonts w:hint="eastAsia" w:ascii="仿宋_GB2312" w:eastAsia="仿宋_GB2312"/>
          <w:kern w:val="0"/>
          <w:sz w:val="32"/>
          <w:szCs w:val="32"/>
        </w:rPr>
        <w:t>广西壮族自治区科学技术厅（以下简称“科技厅”）是</w:t>
      </w:r>
      <w:r>
        <w:rPr>
          <w:rFonts w:hint="eastAsia" w:ascii="仿宋_GB2312" w:eastAsia="仿宋_GB2312"/>
          <w:kern w:val="0"/>
          <w:sz w:val="32"/>
          <w:szCs w:val="32"/>
          <w:u w:val="single"/>
        </w:rPr>
        <w:t>重点</w:t>
      </w:r>
      <w:r>
        <w:rPr>
          <w:rFonts w:hint="eastAsia" w:ascii="仿宋_GB2312" w:eastAsia="仿宋_GB2312"/>
          <w:kern w:val="0"/>
          <w:sz w:val="32"/>
          <w:szCs w:val="32"/>
        </w:rPr>
        <w:t>实验室的牵头部门，主要职责是：</w:t>
      </w:r>
    </w:p>
    <w:p w14:paraId="2BCD7EE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（一）贯彻落实</w:t>
      </w:r>
      <w:r>
        <w:rPr>
          <w:rFonts w:hint="eastAsia" w:ascii="仿宋_GB2312" w:eastAsia="仿宋_GB2312"/>
          <w:kern w:val="0"/>
          <w:sz w:val="32"/>
          <w:szCs w:val="32"/>
          <w:u w:val="single"/>
        </w:rPr>
        <w:t>自治区党委</w:t>
      </w:r>
      <w:r>
        <w:rPr>
          <w:rFonts w:hint="eastAsia" w:ascii="仿宋_GB2312" w:eastAsia="仿宋_GB2312"/>
          <w:kern w:val="0"/>
          <w:sz w:val="32"/>
          <w:szCs w:val="32"/>
        </w:rPr>
        <w:t>中央科技委员会关于</w:t>
      </w:r>
      <w:r>
        <w:rPr>
          <w:rFonts w:hint="eastAsia" w:ascii="仿宋_GB2312" w:eastAsia="仿宋_GB2312"/>
          <w:kern w:val="0"/>
          <w:sz w:val="32"/>
          <w:szCs w:val="32"/>
          <w:u w:val="single"/>
        </w:rPr>
        <w:t>自治区级</w:t>
      </w:r>
      <w:r>
        <w:rPr>
          <w:rFonts w:hint="eastAsia" w:ascii="仿宋_GB2312" w:eastAsia="仿宋_GB2312"/>
          <w:kern w:val="0"/>
          <w:sz w:val="32"/>
          <w:szCs w:val="32"/>
        </w:rPr>
        <w:t>科技创新平台的部署要求</w:t>
      </w:r>
      <w:r>
        <w:rPr>
          <w:rFonts w:hint="eastAsia" w:ascii="仿宋_GB2312" w:eastAsia="仿宋_GB2312"/>
          <w:kern w:val="0"/>
          <w:sz w:val="32"/>
          <w:szCs w:val="32"/>
          <w:u w:val="single"/>
        </w:rPr>
        <w:t>，指导重点实验室的建设和运行</w:t>
      </w:r>
      <w:r>
        <w:rPr>
          <w:rFonts w:hint="eastAsia" w:ascii="仿宋_GB2312" w:eastAsia="仿宋_GB2312"/>
          <w:kern w:val="0"/>
          <w:sz w:val="32"/>
          <w:szCs w:val="32"/>
        </w:rPr>
        <w:t>。</w:t>
      </w:r>
    </w:p>
    <w:p w14:paraId="0DB1DA6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kern w:val="0"/>
          <w:sz w:val="32"/>
          <w:szCs w:val="32"/>
        </w:rPr>
      </w:pPr>
      <w:r>
        <w:rPr>
          <w:rFonts w:hint="eastAsia" w:ascii="仿宋_GB2312" w:eastAsia="仿宋_GB2312"/>
          <w:kern w:val="0"/>
          <w:sz w:val="32"/>
          <w:szCs w:val="32"/>
        </w:rPr>
        <w:t>（二）制定</w:t>
      </w:r>
      <w:r>
        <w:rPr>
          <w:rFonts w:hint="eastAsia" w:ascii="仿宋_GB2312" w:eastAsia="仿宋_GB2312"/>
          <w:kern w:val="0"/>
          <w:sz w:val="32"/>
          <w:szCs w:val="32"/>
          <w:u w:val="single"/>
        </w:rPr>
        <w:t>重点</w:t>
      </w:r>
      <w:r>
        <w:rPr>
          <w:rFonts w:hint="eastAsia" w:ascii="仿宋_GB2312" w:eastAsia="仿宋_GB2312"/>
          <w:kern w:val="0"/>
          <w:sz w:val="32"/>
          <w:szCs w:val="32"/>
        </w:rPr>
        <w:t>实验室的管理政策制度，规划布局方向。</w:t>
      </w:r>
    </w:p>
    <w:p w14:paraId="5301B06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（三）批准</w:t>
      </w:r>
      <w:r>
        <w:rPr>
          <w:rFonts w:hint="eastAsia" w:ascii="仿宋_GB2312" w:eastAsia="仿宋_GB2312"/>
          <w:kern w:val="0"/>
          <w:sz w:val="32"/>
          <w:szCs w:val="32"/>
          <w:u w:val="single"/>
        </w:rPr>
        <w:t>重点</w:t>
      </w:r>
      <w:r>
        <w:rPr>
          <w:rFonts w:hint="eastAsia" w:ascii="仿宋_GB2312" w:eastAsia="仿宋_GB2312"/>
          <w:kern w:val="0"/>
          <w:sz w:val="32"/>
          <w:szCs w:val="32"/>
        </w:rPr>
        <w:t>实验室的设立、调整、撤销，推荐申报全国重点实验室。</w:t>
      </w:r>
    </w:p>
    <w:p w14:paraId="65EFCB0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（四）牵头组织开展定期评估，依据评估结果对</w:t>
      </w:r>
      <w:r>
        <w:rPr>
          <w:rFonts w:hint="eastAsia" w:ascii="仿宋_GB2312" w:eastAsia="仿宋_GB2312"/>
          <w:kern w:val="0"/>
          <w:sz w:val="32"/>
          <w:szCs w:val="32"/>
          <w:u w:val="single"/>
        </w:rPr>
        <w:t>重点</w:t>
      </w:r>
      <w:r>
        <w:rPr>
          <w:rFonts w:hint="eastAsia" w:ascii="仿宋_GB2312" w:eastAsia="仿宋_GB2312"/>
          <w:kern w:val="0"/>
          <w:sz w:val="32"/>
          <w:szCs w:val="32"/>
        </w:rPr>
        <w:t>实验室进行动态调整。</w:t>
      </w:r>
    </w:p>
    <w:p w14:paraId="24E6BCD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第七条</w:t>
      </w:r>
      <w:r>
        <w:rPr>
          <w:rFonts w:ascii="Times New Roman" w:hAnsi="Times New Roman" w:eastAsia="仿宋_GB2312"/>
          <w:kern w:val="0"/>
          <w:sz w:val="32"/>
          <w:szCs w:val="32"/>
        </w:rPr>
        <w:t xml:space="preserve">  </w:t>
      </w:r>
      <w:r>
        <w:rPr>
          <w:rFonts w:hint="eastAsia" w:ascii="仿宋_GB2312" w:eastAsia="仿宋_GB2312"/>
          <w:kern w:val="0"/>
          <w:sz w:val="32"/>
          <w:szCs w:val="32"/>
        </w:rPr>
        <w:t>园区、高新区管委会是辖区内</w:t>
      </w:r>
      <w:r>
        <w:rPr>
          <w:rFonts w:hint="eastAsia" w:ascii="仿宋_GB2312" w:eastAsia="仿宋_GB2312"/>
          <w:kern w:val="0"/>
          <w:sz w:val="32"/>
          <w:szCs w:val="32"/>
          <w:u w:val="single"/>
        </w:rPr>
        <w:t>重点</w:t>
      </w:r>
      <w:r>
        <w:rPr>
          <w:rFonts w:hint="eastAsia" w:ascii="仿宋_GB2312" w:eastAsia="仿宋_GB2312"/>
          <w:kern w:val="0"/>
          <w:sz w:val="32"/>
          <w:szCs w:val="32"/>
        </w:rPr>
        <w:t>实验室的主管部门，设区市科技行政主管部门是其余</w:t>
      </w:r>
      <w:r>
        <w:rPr>
          <w:rFonts w:hint="eastAsia" w:ascii="仿宋_GB2312" w:eastAsia="仿宋_GB2312"/>
          <w:kern w:val="0"/>
          <w:sz w:val="32"/>
          <w:szCs w:val="32"/>
          <w:u w:val="single"/>
        </w:rPr>
        <w:t>重点</w:t>
      </w:r>
      <w:r>
        <w:rPr>
          <w:rFonts w:hint="eastAsia" w:ascii="仿宋_GB2312" w:eastAsia="仿宋_GB2312"/>
          <w:kern w:val="0"/>
          <w:sz w:val="32"/>
          <w:szCs w:val="32"/>
        </w:rPr>
        <w:t>实验室的主管部门，主要职责是：贯彻落实</w:t>
      </w:r>
      <w:r>
        <w:rPr>
          <w:rFonts w:hint="eastAsia" w:ascii="仿宋_GB2312" w:eastAsia="仿宋_GB2312"/>
          <w:kern w:val="0"/>
          <w:sz w:val="32"/>
          <w:szCs w:val="32"/>
          <w:u w:val="single"/>
        </w:rPr>
        <w:t>重点</w:t>
      </w:r>
      <w:r>
        <w:rPr>
          <w:rFonts w:hint="eastAsia" w:ascii="仿宋_GB2312" w:eastAsia="仿宋_GB2312"/>
          <w:kern w:val="0"/>
          <w:sz w:val="32"/>
          <w:szCs w:val="32"/>
        </w:rPr>
        <w:t>实验室各项政策制度，制定本部门的</w:t>
      </w:r>
      <w:r>
        <w:rPr>
          <w:rFonts w:hint="eastAsia" w:ascii="仿宋_GB2312" w:eastAsia="仿宋_GB2312"/>
          <w:kern w:val="0"/>
          <w:sz w:val="32"/>
          <w:szCs w:val="32"/>
          <w:u w:val="single"/>
        </w:rPr>
        <w:t>重点</w:t>
      </w:r>
      <w:r>
        <w:rPr>
          <w:rFonts w:hint="eastAsia" w:ascii="仿宋_GB2312" w:eastAsia="仿宋_GB2312"/>
          <w:kern w:val="0"/>
          <w:sz w:val="32"/>
          <w:szCs w:val="32"/>
        </w:rPr>
        <w:t>实验室管理细则，督导依托单位做好</w:t>
      </w:r>
      <w:r>
        <w:rPr>
          <w:rFonts w:hint="eastAsia" w:ascii="仿宋_GB2312" w:eastAsia="仿宋_GB2312"/>
          <w:kern w:val="0"/>
          <w:sz w:val="32"/>
          <w:szCs w:val="32"/>
          <w:u w:val="single"/>
        </w:rPr>
        <w:t>重点</w:t>
      </w:r>
      <w:r>
        <w:rPr>
          <w:rFonts w:hint="eastAsia" w:ascii="仿宋_GB2312" w:eastAsia="仿宋_GB2312"/>
          <w:kern w:val="0"/>
          <w:sz w:val="32"/>
          <w:szCs w:val="32"/>
        </w:rPr>
        <w:t>实验室建设和运行，负责</w:t>
      </w:r>
      <w:r>
        <w:rPr>
          <w:rFonts w:hint="eastAsia" w:ascii="仿宋_GB2312" w:eastAsia="仿宋_GB2312"/>
          <w:kern w:val="0"/>
          <w:sz w:val="32"/>
          <w:szCs w:val="32"/>
          <w:u w:val="single"/>
        </w:rPr>
        <w:t>重点</w:t>
      </w:r>
      <w:r>
        <w:rPr>
          <w:rFonts w:hint="eastAsia" w:ascii="仿宋_GB2312" w:eastAsia="仿宋_GB2312"/>
          <w:kern w:val="0"/>
          <w:sz w:val="32"/>
          <w:szCs w:val="32"/>
        </w:rPr>
        <w:t>实验室的管理和监督，支持</w:t>
      </w:r>
      <w:r>
        <w:rPr>
          <w:rFonts w:hint="eastAsia" w:ascii="仿宋_GB2312" w:eastAsia="仿宋_GB2312"/>
          <w:kern w:val="0"/>
          <w:sz w:val="32"/>
          <w:szCs w:val="32"/>
          <w:u w:val="single"/>
        </w:rPr>
        <w:t>重点</w:t>
      </w:r>
      <w:r>
        <w:rPr>
          <w:rFonts w:hint="eastAsia" w:ascii="仿宋_GB2312" w:eastAsia="仿宋_GB2312"/>
          <w:kern w:val="0"/>
          <w:sz w:val="32"/>
          <w:szCs w:val="32"/>
        </w:rPr>
        <w:t>实验室的建设和发展，协调解决</w:t>
      </w:r>
      <w:r>
        <w:rPr>
          <w:rFonts w:hint="eastAsia" w:ascii="仿宋_GB2312" w:eastAsia="仿宋_GB2312"/>
          <w:kern w:val="0"/>
          <w:sz w:val="32"/>
          <w:szCs w:val="32"/>
          <w:u w:val="single"/>
        </w:rPr>
        <w:t>重点</w:t>
      </w:r>
      <w:r>
        <w:rPr>
          <w:rFonts w:hint="eastAsia" w:ascii="仿宋_GB2312" w:eastAsia="仿宋_GB2312"/>
          <w:kern w:val="0"/>
          <w:sz w:val="32"/>
          <w:szCs w:val="32"/>
        </w:rPr>
        <w:t>实验室建设和运行中的重大问题。</w:t>
      </w:r>
    </w:p>
    <w:p w14:paraId="6D81299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第八条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实验室所在高校、科研院所、企业等法人单位是</w:t>
      </w:r>
      <w:r>
        <w:rPr>
          <w:rFonts w:hint="eastAsia" w:ascii="仿宋_GB2312" w:eastAsia="仿宋_GB2312"/>
          <w:kern w:val="0"/>
          <w:sz w:val="32"/>
          <w:szCs w:val="32"/>
          <w:u w:val="single"/>
        </w:rPr>
        <w:t>重点</w:t>
      </w:r>
      <w:r>
        <w:rPr>
          <w:rFonts w:hint="eastAsia" w:ascii="仿宋_GB2312" w:eastAsia="仿宋_GB2312"/>
          <w:kern w:val="0"/>
          <w:sz w:val="32"/>
          <w:szCs w:val="32"/>
        </w:rPr>
        <w:t>实验室的依托单位（</w:t>
      </w:r>
      <w:r>
        <w:rPr>
          <w:rFonts w:hint="eastAsia" w:ascii="仿宋_GB2312" w:eastAsia="仿宋_GB2312"/>
          <w:kern w:val="0"/>
          <w:sz w:val="32"/>
          <w:szCs w:val="32"/>
          <w:u w:val="single"/>
        </w:rPr>
        <w:t>重点</w:t>
      </w:r>
      <w:r>
        <w:rPr>
          <w:rFonts w:hint="eastAsia" w:ascii="仿宋_GB2312" w:eastAsia="仿宋_GB2312"/>
          <w:kern w:val="0"/>
          <w:sz w:val="32"/>
          <w:szCs w:val="32"/>
        </w:rPr>
        <w:t>实验室主管部门和依托单位可以是同一单位），主要职责是：</w:t>
      </w:r>
    </w:p>
    <w:p w14:paraId="56E8E34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（一）承担</w:t>
      </w:r>
      <w:r>
        <w:rPr>
          <w:rFonts w:hint="eastAsia" w:ascii="仿宋_GB2312" w:eastAsia="仿宋_GB2312"/>
          <w:kern w:val="0"/>
          <w:sz w:val="32"/>
          <w:szCs w:val="32"/>
          <w:u w:val="single"/>
        </w:rPr>
        <w:t>重点</w:t>
      </w:r>
      <w:r>
        <w:rPr>
          <w:rFonts w:hint="eastAsia" w:ascii="仿宋_GB2312" w:eastAsia="仿宋_GB2312"/>
          <w:kern w:val="0"/>
          <w:sz w:val="32"/>
          <w:szCs w:val="32"/>
        </w:rPr>
        <w:t>实验室建设、运行的日常管理。</w:t>
      </w:r>
    </w:p>
    <w:p w14:paraId="60F0993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（二）聘任</w:t>
      </w:r>
      <w:r>
        <w:rPr>
          <w:rFonts w:hint="eastAsia" w:ascii="仿宋_GB2312" w:eastAsia="仿宋_GB2312"/>
          <w:kern w:val="0"/>
          <w:sz w:val="32"/>
          <w:szCs w:val="32"/>
          <w:u w:val="single"/>
        </w:rPr>
        <w:t>重点</w:t>
      </w:r>
      <w:r>
        <w:rPr>
          <w:rFonts w:hint="eastAsia" w:ascii="仿宋_GB2312" w:eastAsia="仿宋_GB2312"/>
          <w:kern w:val="0"/>
          <w:sz w:val="32"/>
          <w:szCs w:val="32"/>
        </w:rPr>
        <w:t>实验室主任、学术委员会主任、副主任、学术委员会委员，落实主任负责制。</w:t>
      </w:r>
    </w:p>
    <w:p w14:paraId="2FC8F8D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（三）做好</w:t>
      </w:r>
      <w:r>
        <w:rPr>
          <w:rFonts w:hint="eastAsia" w:ascii="仿宋_GB2312" w:eastAsia="仿宋_GB2312"/>
          <w:kern w:val="0"/>
          <w:sz w:val="32"/>
          <w:szCs w:val="32"/>
          <w:u w:val="single"/>
        </w:rPr>
        <w:t>重点</w:t>
      </w:r>
      <w:r>
        <w:rPr>
          <w:rFonts w:hint="eastAsia" w:ascii="仿宋_GB2312" w:eastAsia="仿宋_GB2312"/>
          <w:kern w:val="0"/>
          <w:sz w:val="32"/>
          <w:szCs w:val="32"/>
        </w:rPr>
        <w:t>实验室人才队伍、支持经费、科研场地、仪器设备、安全保密、知识产权等运行管理与条件保障工作，解决建设和运行中的有关问题。</w:t>
      </w:r>
    </w:p>
    <w:p w14:paraId="706E67C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（四）涉及多家依托单位的，第一依托单位应发挥牵头作用，与联合共建的依托单位充分协商，共同履行职责。</w:t>
      </w:r>
    </w:p>
    <w:p w14:paraId="210E809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黑体"/>
          <w:kern w:val="0"/>
          <w:sz w:val="32"/>
          <w:szCs w:val="32"/>
        </w:rPr>
      </w:pPr>
      <w:r>
        <w:rPr>
          <w:rFonts w:hint="eastAsia" w:ascii="仿宋_GB2312" w:eastAsia="仿宋_GB2312"/>
          <w:kern w:val="0"/>
          <w:sz w:val="32"/>
          <w:szCs w:val="32"/>
        </w:rPr>
        <w:t>（五）指导做好</w:t>
      </w:r>
      <w:r>
        <w:rPr>
          <w:rFonts w:hint="eastAsia" w:ascii="仿宋_GB2312" w:eastAsia="仿宋_GB2312"/>
          <w:kern w:val="0"/>
          <w:sz w:val="32"/>
          <w:szCs w:val="32"/>
          <w:u w:val="single"/>
        </w:rPr>
        <w:t>重点</w:t>
      </w:r>
      <w:r>
        <w:rPr>
          <w:rFonts w:hint="eastAsia" w:ascii="仿宋_GB2312" w:eastAsia="仿宋_GB2312"/>
          <w:kern w:val="0"/>
          <w:sz w:val="32"/>
          <w:szCs w:val="32"/>
        </w:rPr>
        <w:t>实验室党建工作。</w:t>
      </w:r>
    </w:p>
    <w:p w14:paraId="2D75FC3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第九条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实验室主要职责是：</w:t>
      </w:r>
      <w:r>
        <w:rPr>
          <w:rFonts w:ascii="Times New Roman" w:hAnsi="Times New Roman" w:eastAsia="仿宋_GB2312"/>
          <w:kern w:val="0"/>
          <w:sz w:val="32"/>
          <w:szCs w:val="32"/>
        </w:rPr>
        <w:t xml:space="preserve"> </w:t>
      </w:r>
    </w:p>
    <w:p w14:paraId="56FED14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（一）围绕战略定位和目标方向，开展有组织高水平基础研究、应用基础研究、前沿技术研究，产出重大原创性成果</w:t>
      </w:r>
      <w:r>
        <w:rPr>
          <w:rFonts w:hint="eastAsia" w:ascii="仿宋_GB2312" w:eastAsia="仿宋_GB2312"/>
          <w:kern w:val="0"/>
          <w:sz w:val="32"/>
          <w:szCs w:val="32"/>
          <w:u w:val="single"/>
        </w:rPr>
        <w:t>，支撑关键核心技术突破，推动学科建设与科技成果转化应用。</w:t>
      </w:r>
    </w:p>
    <w:p w14:paraId="21B8E9E9">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kern w:val="0"/>
          <w:sz w:val="32"/>
          <w:szCs w:val="32"/>
        </w:rPr>
      </w:pPr>
      <w:r>
        <w:rPr>
          <w:rFonts w:hint="eastAsia" w:ascii="仿宋_GB2312" w:eastAsia="仿宋_GB2312"/>
          <w:kern w:val="0"/>
          <w:sz w:val="32"/>
          <w:szCs w:val="32"/>
        </w:rPr>
        <w:t>（二）打造高水平科研人才队伍，形成持续创新能力。</w:t>
      </w:r>
    </w:p>
    <w:p w14:paraId="32BF338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（三）建立协同攻关创新机制，推动大型科研仪器和科学数据等科技资源开放共享。</w:t>
      </w:r>
    </w:p>
    <w:p w14:paraId="120E1EC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（四）积极开展国内外科技合作交流，积极与</w:t>
      </w:r>
      <w:r>
        <w:rPr>
          <w:rFonts w:hint="eastAsia" w:ascii="仿宋_GB2312" w:eastAsia="仿宋_GB2312"/>
          <w:kern w:val="0"/>
          <w:sz w:val="32"/>
          <w:szCs w:val="32"/>
          <w:u w:val="single"/>
        </w:rPr>
        <w:t>港澳地区、</w:t>
      </w:r>
      <w:r>
        <w:rPr>
          <w:rFonts w:hint="eastAsia" w:ascii="仿宋_GB2312" w:eastAsia="仿宋_GB2312"/>
          <w:kern w:val="0"/>
          <w:sz w:val="32"/>
          <w:szCs w:val="32"/>
        </w:rPr>
        <w:t>东盟国家、</w:t>
      </w:r>
      <w:r>
        <w:rPr>
          <w:rFonts w:hint="eastAsia" w:eastAsia="仿宋_GB2312" w:cs="Calibri"/>
          <w:kern w:val="0"/>
          <w:sz w:val="32"/>
          <w:szCs w:val="32"/>
        </w:rPr>
        <w:t>“</w:t>
      </w:r>
      <w:r>
        <w:rPr>
          <w:rFonts w:hint="eastAsia" w:ascii="仿宋_GB2312" w:eastAsia="仿宋_GB2312"/>
          <w:kern w:val="0"/>
          <w:sz w:val="32"/>
          <w:szCs w:val="32"/>
        </w:rPr>
        <w:t>一带一路</w:t>
      </w:r>
      <w:r>
        <w:rPr>
          <w:rFonts w:hint="eastAsia" w:eastAsia="仿宋_GB2312" w:cs="Calibri"/>
          <w:kern w:val="0"/>
          <w:sz w:val="32"/>
          <w:szCs w:val="32"/>
        </w:rPr>
        <w:t>”</w:t>
      </w:r>
      <w:r>
        <w:rPr>
          <w:rFonts w:hint="eastAsia" w:ascii="仿宋_GB2312" w:eastAsia="仿宋_GB2312"/>
          <w:kern w:val="0"/>
          <w:sz w:val="32"/>
          <w:szCs w:val="32"/>
        </w:rPr>
        <w:t>沿线国家</w:t>
      </w:r>
      <w:r>
        <w:rPr>
          <w:rFonts w:hint="eastAsia" w:ascii="仿宋_GB2312" w:eastAsia="仿宋_GB2312"/>
          <w:kern w:val="0"/>
          <w:sz w:val="32"/>
          <w:szCs w:val="32"/>
          <w:u w:val="single"/>
        </w:rPr>
        <w:t>等</w:t>
      </w:r>
      <w:r>
        <w:rPr>
          <w:rFonts w:hint="eastAsia" w:ascii="仿宋_GB2312" w:eastAsia="仿宋_GB2312"/>
          <w:kern w:val="0"/>
          <w:sz w:val="32"/>
          <w:szCs w:val="32"/>
        </w:rPr>
        <w:t>围绕有关技术难题开展联合攻关，提升国际话语权。</w:t>
      </w:r>
    </w:p>
    <w:p w14:paraId="5BB0C82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（五）加强党组织和党员队伍建设，加强科研诚信和作风学风建设，大力弘扬科学家精神，实施科研诚信承诺制度，积极开展科学技术普及，营造包容民主、潜心研究、开放协调的良好创新环境。</w:t>
      </w:r>
    </w:p>
    <w:p w14:paraId="328A0EFC">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eastAsia="黑体" w:cs="Times New Roman"/>
          <w:kern w:val="0"/>
          <w:sz w:val="32"/>
          <w:szCs w:val="32"/>
        </w:rPr>
        <w:t xml:space="preserve"> </w:t>
      </w:r>
    </w:p>
    <w:p w14:paraId="2E967397">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kern w:val="0"/>
          <w:sz w:val="32"/>
          <w:szCs w:val="32"/>
        </w:rPr>
      </w:pPr>
      <w:r>
        <w:rPr>
          <w:rFonts w:hint="eastAsia" w:ascii="黑体" w:hAnsi="黑体" w:eastAsia="黑体"/>
          <w:kern w:val="0"/>
          <w:sz w:val="32"/>
          <w:szCs w:val="32"/>
        </w:rPr>
        <w:t>第三章</w:t>
      </w:r>
      <w:r>
        <w:rPr>
          <w:rFonts w:ascii="Times New Roman" w:hAnsi="Times New Roman" w:eastAsia="黑体"/>
          <w:kern w:val="0"/>
          <w:sz w:val="32"/>
          <w:szCs w:val="32"/>
        </w:rPr>
        <w:t xml:space="preserve">  </w:t>
      </w:r>
      <w:r>
        <w:rPr>
          <w:rFonts w:hint="eastAsia" w:ascii="黑体" w:hAnsi="黑体" w:eastAsia="黑体"/>
          <w:kern w:val="0"/>
          <w:sz w:val="32"/>
          <w:szCs w:val="32"/>
        </w:rPr>
        <w:t>建</w:t>
      </w:r>
      <w:r>
        <w:rPr>
          <w:rFonts w:hint="eastAsia" w:ascii="黑体" w:eastAsia="黑体"/>
          <w:kern w:val="0"/>
          <w:sz w:val="32"/>
          <w:szCs w:val="32"/>
        </w:rPr>
        <w:t xml:space="preserve">  </w:t>
      </w:r>
      <w:r>
        <w:rPr>
          <w:rFonts w:hint="eastAsia" w:ascii="黑体" w:hAnsi="黑体" w:eastAsia="黑体"/>
          <w:kern w:val="0"/>
          <w:sz w:val="32"/>
          <w:szCs w:val="32"/>
        </w:rPr>
        <w:t>设</w:t>
      </w:r>
    </w:p>
    <w:p w14:paraId="3BC86001">
      <w:pPr>
        <w:keepNext w:val="0"/>
        <w:keepLines w:val="0"/>
        <w:pageBreakBefore w:val="0"/>
        <w:shd w:val="clear" w:color="auto" w:fill="auto"/>
        <w:kinsoku/>
        <w:wordWrap/>
        <w:overflowPunct/>
        <w:topLinePunct w:val="0"/>
        <w:bidi w:val="0"/>
        <w:spacing w:beforeAutospacing="0" w:line="560" w:lineRule="exact"/>
        <w:textAlignment w:val="auto"/>
      </w:pPr>
      <w:r>
        <w:rPr>
          <w:rFonts w:cs="Times New Roman"/>
          <w:szCs w:val="21"/>
        </w:rPr>
        <w:t xml:space="preserve"> </w:t>
      </w:r>
    </w:p>
    <w:p w14:paraId="5A74A50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第十条</w:t>
      </w:r>
      <w:r>
        <w:rPr>
          <w:rFonts w:ascii="Times New Roman" w:hAnsi="Times New Roman" w:eastAsia="仿宋_GB2312"/>
          <w:kern w:val="0"/>
          <w:sz w:val="32"/>
          <w:szCs w:val="32"/>
        </w:rPr>
        <w:t xml:space="preserve">  </w:t>
      </w:r>
      <w:r>
        <w:rPr>
          <w:rFonts w:hint="eastAsia" w:ascii="仿宋_GB2312" w:eastAsia="仿宋_GB2312"/>
          <w:kern w:val="0"/>
          <w:sz w:val="32"/>
          <w:szCs w:val="32"/>
        </w:rPr>
        <w:t>根据国家和自治区重大战略需求，有计划、有重点地遴选建设，保持</w:t>
      </w:r>
      <w:r>
        <w:rPr>
          <w:rFonts w:hint="eastAsia" w:ascii="仿宋_GB2312" w:eastAsia="仿宋_GB2312"/>
          <w:kern w:val="0"/>
          <w:sz w:val="32"/>
          <w:szCs w:val="32"/>
          <w:u w:val="single"/>
        </w:rPr>
        <w:t>重点</w:t>
      </w:r>
      <w:r>
        <w:rPr>
          <w:rFonts w:hint="eastAsia" w:ascii="仿宋_GB2312" w:eastAsia="仿宋_GB2312"/>
          <w:kern w:val="0"/>
          <w:sz w:val="32"/>
          <w:szCs w:val="32"/>
        </w:rPr>
        <w:t>实验室总体规模稳定、适度。</w:t>
      </w:r>
    </w:p>
    <w:p w14:paraId="09EA527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第十一条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实验室实行集中申报认定制，须满足以下条件：</w:t>
      </w:r>
    </w:p>
    <w:p w14:paraId="6AF8771E">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（一）申报对象：</w:t>
      </w:r>
      <w:r>
        <w:rPr>
          <w:rFonts w:hint="eastAsia" w:ascii="仿宋_GB2312" w:eastAsia="仿宋_GB2312"/>
          <w:kern w:val="0"/>
          <w:sz w:val="32"/>
          <w:szCs w:val="32"/>
        </w:rPr>
        <w:t>广西壮族自治区行政区域内注册登记的具有独立法人资格的高等学校、科研院所、科技型企业或其他具有一定基础研究</w:t>
      </w:r>
      <w:r>
        <w:rPr>
          <w:rFonts w:hint="eastAsia" w:ascii="仿宋_GB2312" w:eastAsia="仿宋_GB2312"/>
          <w:kern w:val="0"/>
          <w:sz w:val="32"/>
          <w:szCs w:val="32"/>
          <w:u w:val="single"/>
        </w:rPr>
        <w:t>原始创新</w:t>
      </w:r>
      <w:r>
        <w:rPr>
          <w:rFonts w:hint="eastAsia" w:ascii="仿宋_GB2312" w:eastAsia="仿宋_GB2312"/>
          <w:kern w:val="0"/>
          <w:sz w:val="32"/>
          <w:szCs w:val="32"/>
        </w:rPr>
        <w:t>能力的企事业单位；与广西壮族自治区人民政府签署了科技合作协议，具有独立法人资格的区外单位，且相关实验室主体建设在广西壮族自治区行政区域内。</w:t>
      </w:r>
      <w:r>
        <w:rPr>
          <w:rFonts w:hint="eastAsia" w:ascii="仿宋_GB2312" w:eastAsia="仿宋_GB2312"/>
          <w:kern w:val="0"/>
          <w:sz w:val="32"/>
          <w:szCs w:val="32"/>
          <w:u w:val="single"/>
        </w:rPr>
        <w:t>重点</w:t>
      </w:r>
      <w:r>
        <w:rPr>
          <w:rFonts w:hint="eastAsia" w:ascii="仿宋_GB2312" w:eastAsia="仿宋_GB2312"/>
          <w:kern w:val="0"/>
          <w:sz w:val="32"/>
          <w:szCs w:val="32"/>
        </w:rPr>
        <w:t>实验室申报单位包括第一依托单位和联合共建的依托单位，原则上建设单位不得超过</w:t>
      </w:r>
      <w:r>
        <w:rPr>
          <w:rFonts w:ascii="Times New Roman" w:hAnsi="Times New Roman" w:eastAsia="仿宋_GB2312"/>
          <w:kern w:val="0"/>
          <w:sz w:val="32"/>
          <w:szCs w:val="32"/>
        </w:rPr>
        <w:t>3</w:t>
      </w:r>
      <w:r>
        <w:rPr>
          <w:rFonts w:hint="eastAsia" w:ascii="仿宋_GB2312" w:eastAsia="仿宋_GB2312"/>
          <w:kern w:val="0"/>
          <w:sz w:val="32"/>
          <w:szCs w:val="32"/>
        </w:rPr>
        <w:t>家。由第一依托单位所在的主管部门进行推荐。</w:t>
      </w:r>
    </w:p>
    <w:p w14:paraId="74B675C2">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bdr w:val="single" w:color="000000" w:sz="4" w:space="0"/>
        </w:rPr>
        <w:t>（二）战略定位：</w:t>
      </w:r>
      <w:r>
        <w:rPr>
          <w:rFonts w:hint="eastAsia" w:ascii="仿宋_GB2312" w:eastAsia="仿宋_GB2312"/>
          <w:kern w:val="0"/>
          <w:sz w:val="32"/>
          <w:szCs w:val="32"/>
          <w:bdr w:val="single" w:color="000000" w:sz="4" w:space="0"/>
        </w:rPr>
        <w:t>聚焦国家战略需求，能支撑解决广西特色优势产业发展面临的关键瓶颈问题，从事基础研究、应用基础研究、前沿技术研究。</w:t>
      </w:r>
    </w:p>
    <w:p w14:paraId="437FC89D">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三</w:t>
      </w:r>
      <w:r>
        <w:rPr>
          <w:rFonts w:hint="eastAsia" w:ascii="楷体" w:hAnsi="楷体" w:eastAsia="楷体" w:cs="楷体"/>
          <w:b/>
          <w:bCs/>
          <w:kern w:val="0"/>
          <w:sz w:val="32"/>
          <w:szCs w:val="32"/>
          <w:u w:val="single"/>
        </w:rPr>
        <w:t>二</w:t>
      </w:r>
      <w:r>
        <w:rPr>
          <w:rFonts w:hint="eastAsia" w:ascii="楷体" w:hAnsi="楷体" w:eastAsia="楷体" w:cs="楷体"/>
          <w:b/>
          <w:bCs/>
          <w:kern w:val="0"/>
          <w:sz w:val="32"/>
          <w:szCs w:val="32"/>
        </w:rPr>
        <w:t>）运行基础：</w:t>
      </w:r>
      <w:r>
        <w:rPr>
          <w:rFonts w:hint="eastAsia" w:ascii="仿宋_GB2312" w:eastAsia="仿宋_GB2312"/>
          <w:kern w:val="0"/>
          <w:sz w:val="32"/>
          <w:szCs w:val="32"/>
        </w:rPr>
        <w:t>拟申报的</w:t>
      </w:r>
      <w:r>
        <w:rPr>
          <w:rFonts w:hint="eastAsia" w:ascii="仿宋_GB2312" w:eastAsia="仿宋_GB2312"/>
          <w:kern w:val="0"/>
          <w:sz w:val="32"/>
          <w:szCs w:val="32"/>
          <w:u w:val="single"/>
        </w:rPr>
        <w:t>重点</w:t>
      </w:r>
      <w:r>
        <w:rPr>
          <w:rFonts w:hint="eastAsia" w:ascii="仿宋_GB2312" w:eastAsia="仿宋_GB2312"/>
          <w:kern w:val="0"/>
          <w:sz w:val="32"/>
          <w:szCs w:val="32"/>
        </w:rPr>
        <w:t>实验室应自主建设且有效运行</w:t>
      </w:r>
      <w:r>
        <w:rPr>
          <w:rFonts w:ascii="Times New Roman" w:hAnsi="Times New Roman" w:eastAsia="仿宋_GB2312"/>
          <w:kern w:val="0"/>
          <w:sz w:val="32"/>
          <w:szCs w:val="32"/>
        </w:rPr>
        <w:t>1</w:t>
      </w:r>
      <w:r>
        <w:rPr>
          <w:rFonts w:hint="eastAsia" w:ascii="仿宋_GB2312" w:eastAsia="仿宋_GB2312"/>
          <w:kern w:val="0"/>
          <w:sz w:val="32"/>
          <w:szCs w:val="32"/>
        </w:rPr>
        <w:t>年以上，在国内相关领域具有一定竞争力。</w:t>
      </w:r>
    </w:p>
    <w:p w14:paraId="317FDA3F">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四</w:t>
      </w:r>
      <w:r>
        <w:rPr>
          <w:rFonts w:hint="eastAsia" w:ascii="楷体" w:hAnsi="楷体" w:eastAsia="楷体" w:cs="楷体"/>
          <w:b/>
          <w:bCs/>
          <w:kern w:val="0"/>
          <w:sz w:val="32"/>
          <w:szCs w:val="32"/>
          <w:u w:val="single"/>
        </w:rPr>
        <w:t>三</w:t>
      </w:r>
      <w:r>
        <w:rPr>
          <w:rFonts w:hint="eastAsia" w:ascii="楷体" w:hAnsi="楷体" w:eastAsia="楷体" w:cs="楷体"/>
          <w:b/>
          <w:bCs/>
          <w:kern w:val="0"/>
          <w:sz w:val="32"/>
          <w:szCs w:val="32"/>
        </w:rPr>
        <w:t>）科研水平：</w:t>
      </w:r>
      <w:r>
        <w:rPr>
          <w:rFonts w:hint="eastAsia" w:ascii="仿宋_GB2312" w:eastAsia="仿宋_GB2312"/>
          <w:kern w:val="0"/>
          <w:sz w:val="32"/>
          <w:szCs w:val="32"/>
        </w:rPr>
        <w:t>研究水平在自治区内能引领同类学科或行业发展，具有一定的国内、国际竞争力；近三年内固定成员原则上应主持承担国家、省部级科技计划（基金）项目</w:t>
      </w:r>
      <w:r>
        <w:rPr>
          <w:rFonts w:ascii="Times New Roman" w:hAnsi="Times New Roman" w:eastAsia="仿宋_GB2312"/>
          <w:kern w:val="0"/>
          <w:sz w:val="32"/>
          <w:szCs w:val="32"/>
        </w:rPr>
        <w:t>10</w:t>
      </w:r>
      <w:r>
        <w:rPr>
          <w:rFonts w:hint="eastAsia" w:ascii="仿宋_GB2312" w:eastAsia="仿宋_GB2312"/>
          <w:kern w:val="0"/>
          <w:sz w:val="32"/>
          <w:szCs w:val="32"/>
        </w:rPr>
        <w:t>项（含）以上；主持制定行业（地方）标准；拥有获奖成果或授权发明专利。</w:t>
      </w:r>
    </w:p>
    <w:p w14:paraId="240E4809">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五</w:t>
      </w:r>
      <w:r>
        <w:rPr>
          <w:rFonts w:hint="eastAsia" w:ascii="楷体" w:hAnsi="楷体" w:eastAsia="楷体" w:cs="楷体"/>
          <w:b/>
          <w:bCs/>
          <w:kern w:val="0"/>
          <w:sz w:val="32"/>
          <w:szCs w:val="32"/>
          <w:u w:val="single"/>
        </w:rPr>
        <w:t>四</w:t>
      </w:r>
      <w:r>
        <w:rPr>
          <w:rFonts w:hint="eastAsia" w:ascii="楷体" w:hAnsi="楷体" w:eastAsia="楷体" w:cs="楷体"/>
          <w:b/>
          <w:bCs/>
          <w:kern w:val="0"/>
          <w:sz w:val="32"/>
          <w:szCs w:val="32"/>
        </w:rPr>
        <w:t>）人才队伍：</w:t>
      </w:r>
      <w:r>
        <w:rPr>
          <w:rFonts w:hint="eastAsia" w:ascii="仿宋_GB2312" w:eastAsia="仿宋_GB2312"/>
          <w:kern w:val="0"/>
          <w:sz w:val="32"/>
          <w:szCs w:val="32"/>
        </w:rPr>
        <w:t>以科技领军人才为核心，专业能力突出、相对稳定集中、年龄结构合理。固定人员原则上不少于</w:t>
      </w:r>
      <w:r>
        <w:rPr>
          <w:rFonts w:ascii="Times New Roman" w:hAnsi="Times New Roman" w:eastAsia="仿宋_GB2312"/>
          <w:kern w:val="0"/>
          <w:sz w:val="32"/>
          <w:szCs w:val="32"/>
        </w:rPr>
        <w:t>20</w:t>
      </w:r>
      <w:r>
        <w:rPr>
          <w:rFonts w:hint="eastAsia" w:ascii="仿宋_GB2312" w:eastAsia="仿宋_GB2312"/>
          <w:kern w:val="0"/>
          <w:sz w:val="32"/>
          <w:szCs w:val="32"/>
        </w:rPr>
        <w:t>人，其中专职管理人员不少于</w:t>
      </w:r>
      <w:r>
        <w:rPr>
          <w:rFonts w:ascii="Times New Roman" w:hAnsi="Times New Roman" w:eastAsia="仿宋_GB2312"/>
          <w:kern w:val="0"/>
          <w:sz w:val="32"/>
          <w:szCs w:val="32"/>
        </w:rPr>
        <w:t>3</w:t>
      </w:r>
      <w:r>
        <w:rPr>
          <w:rFonts w:hint="eastAsia" w:ascii="仿宋_GB2312" w:eastAsia="仿宋_GB2312"/>
          <w:kern w:val="0"/>
          <w:sz w:val="32"/>
          <w:szCs w:val="32"/>
        </w:rPr>
        <w:t>人；各主要研究方向的学术带头人原则上应主持过国家自然科学基金课题</w:t>
      </w:r>
      <w:r>
        <w:rPr>
          <w:rFonts w:ascii="Times New Roman" w:hAnsi="Times New Roman" w:eastAsia="仿宋_GB2312"/>
          <w:kern w:val="0"/>
          <w:sz w:val="32"/>
          <w:szCs w:val="32"/>
        </w:rPr>
        <w:t>1</w:t>
      </w:r>
      <w:r>
        <w:rPr>
          <w:rFonts w:hint="eastAsia" w:ascii="仿宋_GB2312" w:eastAsia="仿宋_GB2312"/>
          <w:kern w:val="0"/>
          <w:sz w:val="32"/>
          <w:szCs w:val="32"/>
        </w:rPr>
        <w:t>项（含）或主持过省部级科技计划（基金）项目</w:t>
      </w:r>
      <w:r>
        <w:rPr>
          <w:rFonts w:ascii="Times New Roman" w:hAnsi="Times New Roman" w:eastAsia="仿宋_GB2312"/>
          <w:kern w:val="0"/>
          <w:sz w:val="32"/>
          <w:szCs w:val="32"/>
        </w:rPr>
        <w:t>3</w:t>
      </w:r>
      <w:r>
        <w:rPr>
          <w:rFonts w:hint="eastAsia" w:ascii="仿宋_GB2312" w:eastAsia="仿宋_GB2312"/>
          <w:kern w:val="0"/>
          <w:sz w:val="32"/>
          <w:szCs w:val="32"/>
        </w:rPr>
        <w:t>项（含）以上；</w:t>
      </w:r>
      <w:r>
        <w:rPr>
          <w:rFonts w:hint="eastAsia" w:ascii="仿宋_GB2312" w:eastAsia="仿宋_GB2312"/>
          <w:kern w:val="0"/>
          <w:sz w:val="32"/>
          <w:szCs w:val="32"/>
          <w:u w:val="single"/>
        </w:rPr>
        <w:t>重点</w:t>
      </w:r>
      <w:r>
        <w:rPr>
          <w:rFonts w:hint="eastAsia" w:ascii="仿宋_GB2312" w:eastAsia="仿宋_GB2312"/>
          <w:kern w:val="0"/>
          <w:sz w:val="32"/>
          <w:szCs w:val="32"/>
        </w:rPr>
        <w:t>实验室主任在学科或行业领域内具备较强的影响力，在</w:t>
      </w:r>
      <w:r>
        <w:rPr>
          <w:rFonts w:ascii="Times New Roman" w:hAnsi="Times New Roman" w:eastAsia="仿宋_GB2312"/>
          <w:kern w:val="0"/>
          <w:sz w:val="32"/>
          <w:szCs w:val="32"/>
        </w:rPr>
        <w:t>T1</w:t>
      </w:r>
      <w:r>
        <w:rPr>
          <w:rFonts w:hint="eastAsia" w:ascii="仿宋_GB2312" w:eastAsia="仿宋_GB2312"/>
          <w:kern w:val="0"/>
          <w:sz w:val="32"/>
          <w:szCs w:val="32"/>
        </w:rPr>
        <w:t>级、</w:t>
      </w:r>
      <w:r>
        <w:rPr>
          <w:rFonts w:ascii="Times New Roman" w:hAnsi="Times New Roman" w:eastAsia="仿宋_GB2312"/>
          <w:kern w:val="0"/>
          <w:sz w:val="32"/>
          <w:szCs w:val="32"/>
        </w:rPr>
        <w:t>T2</w:t>
      </w:r>
      <w:r>
        <w:rPr>
          <w:rFonts w:hint="eastAsia" w:ascii="仿宋_GB2312" w:eastAsia="仿宋_GB2312"/>
          <w:kern w:val="0"/>
          <w:sz w:val="32"/>
          <w:szCs w:val="32"/>
        </w:rPr>
        <w:t>级、</w:t>
      </w:r>
      <w:r>
        <w:rPr>
          <w:rFonts w:ascii="Times New Roman" w:hAnsi="Times New Roman" w:eastAsia="仿宋_GB2312"/>
          <w:kern w:val="0"/>
          <w:sz w:val="32"/>
          <w:szCs w:val="32"/>
        </w:rPr>
        <w:t>T3</w:t>
      </w:r>
      <w:r>
        <w:rPr>
          <w:rFonts w:hint="eastAsia" w:ascii="仿宋_GB2312" w:eastAsia="仿宋_GB2312"/>
          <w:kern w:val="0"/>
          <w:sz w:val="32"/>
          <w:szCs w:val="32"/>
        </w:rPr>
        <w:t>级或行业公认的高质量科技期刊发表论文</w:t>
      </w:r>
      <w:r>
        <w:rPr>
          <w:rFonts w:ascii="Times New Roman" w:hAnsi="Times New Roman" w:eastAsia="仿宋_GB2312"/>
          <w:kern w:val="0"/>
          <w:sz w:val="32"/>
          <w:szCs w:val="32"/>
        </w:rPr>
        <w:t>5</w:t>
      </w:r>
      <w:r>
        <w:rPr>
          <w:rFonts w:hint="eastAsia" w:ascii="仿宋_GB2312" w:eastAsia="仿宋_GB2312"/>
          <w:kern w:val="0"/>
          <w:sz w:val="32"/>
          <w:szCs w:val="32"/>
        </w:rPr>
        <w:t>篇以上，或获得国家级科学技术奖励</w:t>
      </w:r>
      <w:r>
        <w:rPr>
          <w:rFonts w:ascii="Times New Roman" w:hAnsi="Times New Roman" w:eastAsia="仿宋_GB2312"/>
          <w:kern w:val="0"/>
          <w:sz w:val="32"/>
          <w:szCs w:val="32"/>
        </w:rPr>
        <w:t>1</w:t>
      </w:r>
      <w:r>
        <w:rPr>
          <w:rFonts w:hint="eastAsia" w:ascii="仿宋_GB2312" w:eastAsia="仿宋_GB2312"/>
          <w:kern w:val="0"/>
          <w:sz w:val="32"/>
          <w:szCs w:val="32"/>
        </w:rPr>
        <w:t>项（含）或省部级科学技术奖励</w:t>
      </w:r>
      <w:r>
        <w:rPr>
          <w:rFonts w:ascii="Times New Roman" w:hAnsi="Times New Roman" w:eastAsia="仿宋_GB2312"/>
          <w:kern w:val="0"/>
          <w:sz w:val="32"/>
          <w:szCs w:val="32"/>
        </w:rPr>
        <w:t>2</w:t>
      </w:r>
      <w:r>
        <w:rPr>
          <w:rFonts w:hint="eastAsia" w:ascii="仿宋_GB2312" w:eastAsia="仿宋_GB2312"/>
          <w:kern w:val="0"/>
          <w:sz w:val="32"/>
          <w:szCs w:val="32"/>
        </w:rPr>
        <w:t>项（含）以上。</w:t>
      </w:r>
    </w:p>
    <w:p w14:paraId="4B988610">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六</w:t>
      </w:r>
      <w:r>
        <w:rPr>
          <w:rFonts w:hint="eastAsia" w:ascii="楷体" w:hAnsi="楷体" w:eastAsia="楷体" w:cs="楷体"/>
          <w:b/>
          <w:bCs/>
          <w:kern w:val="0"/>
          <w:sz w:val="32"/>
          <w:szCs w:val="32"/>
          <w:u w:val="single"/>
        </w:rPr>
        <w:t>五</w:t>
      </w:r>
      <w:r>
        <w:rPr>
          <w:rFonts w:hint="eastAsia" w:ascii="楷体" w:hAnsi="楷体" w:eastAsia="楷体" w:cs="楷体"/>
          <w:b/>
          <w:bCs/>
          <w:kern w:val="0"/>
          <w:sz w:val="32"/>
          <w:szCs w:val="32"/>
        </w:rPr>
        <w:t>）条件保障：</w:t>
      </w:r>
      <w:r>
        <w:rPr>
          <w:rFonts w:hint="eastAsia" w:ascii="仿宋_GB2312" w:eastAsia="仿宋_GB2312"/>
          <w:kern w:val="0"/>
          <w:sz w:val="32"/>
          <w:szCs w:val="32"/>
        </w:rPr>
        <w:t>主管部门、依托单位保障有力，能全面支持建设运行。主管部门能全面管理和监督实验室的建设运行；依托单位能稳定支持</w:t>
      </w:r>
      <w:r>
        <w:rPr>
          <w:rFonts w:hint="eastAsia" w:ascii="仿宋_GB2312" w:eastAsia="仿宋_GB2312"/>
          <w:kern w:val="0"/>
          <w:sz w:val="32"/>
          <w:szCs w:val="32"/>
          <w:u w:val="single"/>
        </w:rPr>
        <w:t>重点</w:t>
      </w:r>
      <w:r>
        <w:rPr>
          <w:rFonts w:hint="eastAsia" w:ascii="仿宋_GB2312" w:eastAsia="仿宋_GB2312"/>
          <w:kern w:val="0"/>
          <w:sz w:val="32"/>
          <w:szCs w:val="32"/>
        </w:rPr>
        <w:t>实验室的自主创新研究、科研仪器设备更新维护和开放运行，每年为</w:t>
      </w:r>
      <w:r>
        <w:rPr>
          <w:rFonts w:hint="eastAsia" w:ascii="仿宋_GB2312" w:eastAsia="仿宋_GB2312"/>
          <w:kern w:val="0"/>
          <w:sz w:val="32"/>
          <w:szCs w:val="32"/>
          <w:u w:val="single"/>
        </w:rPr>
        <w:t>重点</w:t>
      </w:r>
      <w:r>
        <w:rPr>
          <w:rFonts w:hint="eastAsia" w:ascii="仿宋_GB2312" w:eastAsia="仿宋_GB2312"/>
          <w:kern w:val="0"/>
          <w:sz w:val="32"/>
          <w:szCs w:val="32"/>
        </w:rPr>
        <w:t>实验室提供不低于</w:t>
      </w:r>
      <w:r>
        <w:rPr>
          <w:rFonts w:ascii="Times New Roman" w:hAnsi="Times New Roman" w:eastAsia="仿宋_GB2312"/>
          <w:kern w:val="0"/>
          <w:sz w:val="32"/>
          <w:szCs w:val="32"/>
        </w:rPr>
        <w:t>50</w:t>
      </w:r>
      <w:r>
        <w:rPr>
          <w:rFonts w:hint="eastAsia" w:ascii="仿宋_GB2312" w:eastAsia="仿宋_GB2312"/>
          <w:kern w:val="0"/>
          <w:sz w:val="32"/>
          <w:szCs w:val="32"/>
        </w:rPr>
        <w:t>万元的运行经费；在实验室申请认定为实验室的前三年，依托单位原则上累计为实验室提供的建设、运行经费应不低于</w:t>
      </w:r>
      <w:r>
        <w:rPr>
          <w:rFonts w:ascii="Times New Roman" w:hAnsi="Times New Roman" w:eastAsia="仿宋_GB2312"/>
          <w:kern w:val="0"/>
          <w:sz w:val="32"/>
          <w:szCs w:val="32"/>
        </w:rPr>
        <w:t>1000</w:t>
      </w:r>
      <w:r>
        <w:rPr>
          <w:rFonts w:hint="eastAsia" w:ascii="仿宋_GB2312" w:eastAsia="仿宋_GB2312"/>
          <w:kern w:val="0"/>
          <w:sz w:val="32"/>
          <w:szCs w:val="32"/>
        </w:rPr>
        <w:t>万元人民币。</w:t>
      </w:r>
    </w:p>
    <w:p w14:paraId="402A7F93">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七</w:t>
      </w:r>
      <w:r>
        <w:rPr>
          <w:rFonts w:hint="eastAsia" w:ascii="楷体" w:hAnsi="楷体" w:eastAsia="楷体" w:cs="楷体"/>
          <w:b/>
          <w:bCs/>
          <w:kern w:val="0"/>
          <w:sz w:val="32"/>
          <w:szCs w:val="32"/>
          <w:u w:val="single"/>
        </w:rPr>
        <w:t>六</w:t>
      </w:r>
      <w:r>
        <w:rPr>
          <w:rFonts w:hint="eastAsia" w:ascii="楷体" w:hAnsi="楷体" w:eastAsia="楷体" w:cs="楷体"/>
          <w:b/>
          <w:bCs/>
          <w:kern w:val="0"/>
          <w:sz w:val="32"/>
          <w:szCs w:val="32"/>
        </w:rPr>
        <w:t>）软硬件条件：</w:t>
      </w:r>
      <w:r>
        <w:rPr>
          <w:rFonts w:hint="eastAsia" w:ascii="仿宋_GB2312" w:eastAsia="仿宋_GB2312"/>
          <w:kern w:val="0"/>
          <w:sz w:val="32"/>
          <w:szCs w:val="32"/>
        </w:rPr>
        <w:t>具备良好的科研实验条件，科研用房相对集中；原则上科研用房面积</w:t>
      </w:r>
      <w:r>
        <w:rPr>
          <w:rFonts w:ascii="Times New Roman" w:hAnsi="Times New Roman" w:eastAsia="仿宋_GB2312"/>
          <w:kern w:val="0"/>
          <w:sz w:val="32"/>
          <w:szCs w:val="32"/>
        </w:rPr>
        <w:t>1000</w:t>
      </w:r>
      <w:r>
        <w:rPr>
          <w:rFonts w:hint="eastAsia" w:ascii="仿宋_GB2312" w:eastAsia="仿宋_GB2312"/>
          <w:kern w:val="0"/>
          <w:sz w:val="32"/>
          <w:szCs w:val="32"/>
        </w:rPr>
        <w:t>平方米以上、仪器设备总值</w:t>
      </w:r>
      <w:r>
        <w:rPr>
          <w:rFonts w:ascii="Times New Roman" w:hAnsi="Times New Roman" w:eastAsia="仿宋_GB2312"/>
          <w:kern w:val="0"/>
          <w:sz w:val="32"/>
          <w:szCs w:val="32"/>
        </w:rPr>
        <w:t>1000</w:t>
      </w:r>
      <w:r>
        <w:rPr>
          <w:rFonts w:hint="eastAsia" w:ascii="仿宋_GB2312" w:eastAsia="仿宋_GB2312"/>
          <w:kern w:val="0"/>
          <w:sz w:val="32"/>
          <w:szCs w:val="32"/>
        </w:rPr>
        <w:t>万元人民币以上（从事数学理论研究、软件研究开发等特殊领域、行业的</w:t>
      </w:r>
      <w:r>
        <w:rPr>
          <w:rFonts w:hint="eastAsia" w:ascii="仿宋_GB2312" w:eastAsia="仿宋_GB2312"/>
          <w:kern w:val="0"/>
          <w:sz w:val="32"/>
          <w:szCs w:val="32"/>
          <w:u w:val="single"/>
        </w:rPr>
        <w:t>重点</w:t>
      </w:r>
      <w:r>
        <w:rPr>
          <w:rFonts w:hint="eastAsia" w:ascii="仿宋_GB2312" w:eastAsia="仿宋_GB2312"/>
          <w:kern w:val="0"/>
          <w:sz w:val="32"/>
          <w:szCs w:val="32"/>
        </w:rPr>
        <w:t>实验室可适当降低）。</w:t>
      </w:r>
    </w:p>
    <w:p w14:paraId="5BAC53EA">
      <w:pPr>
        <w:keepNext w:val="0"/>
        <w:keepLines w:val="0"/>
        <w:pageBreakBefore w:val="0"/>
        <w:shd w:val="clear" w:color="auto" w:fill="auto"/>
        <w:kinsoku/>
        <w:wordWrap/>
        <w:overflowPunct/>
        <w:topLinePunct w:val="0"/>
        <w:bidi w:val="0"/>
        <w:adjustRightInd w:val="0"/>
        <w:snapToGrid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八</w:t>
      </w:r>
      <w:r>
        <w:rPr>
          <w:rFonts w:hint="eastAsia" w:ascii="楷体" w:hAnsi="楷体" w:eastAsia="楷体" w:cs="楷体"/>
          <w:b/>
          <w:bCs/>
          <w:kern w:val="0"/>
          <w:sz w:val="32"/>
          <w:szCs w:val="32"/>
          <w:u w:val="single"/>
        </w:rPr>
        <w:t>七</w:t>
      </w:r>
      <w:r>
        <w:rPr>
          <w:rFonts w:hint="eastAsia" w:ascii="楷体" w:hAnsi="楷体" w:eastAsia="楷体" w:cs="楷体"/>
          <w:b/>
          <w:bCs/>
          <w:kern w:val="0"/>
          <w:sz w:val="32"/>
          <w:szCs w:val="32"/>
        </w:rPr>
        <w:t>）制度建设：</w:t>
      </w:r>
      <w:r>
        <w:rPr>
          <w:rFonts w:hint="eastAsia" w:ascii="仿宋_GB2312" w:eastAsia="仿宋_GB2312"/>
          <w:kern w:val="0"/>
          <w:sz w:val="32"/>
          <w:szCs w:val="32"/>
        </w:rPr>
        <w:t>具备完善的运行管理制度体系，科技创新成效比较显著；信息化建设成效明显，</w:t>
      </w:r>
      <w:r>
        <w:rPr>
          <w:rFonts w:hint="eastAsia" w:ascii="仿宋_GB2312" w:eastAsia="仿宋_GB2312"/>
          <w:kern w:val="0"/>
          <w:sz w:val="32"/>
          <w:szCs w:val="32"/>
          <w:u w:val="single"/>
        </w:rPr>
        <w:t>重点</w:t>
      </w:r>
      <w:r>
        <w:rPr>
          <w:rFonts w:hint="eastAsia" w:ascii="仿宋_GB2312" w:eastAsia="仿宋_GB2312"/>
          <w:kern w:val="0"/>
          <w:sz w:val="32"/>
          <w:szCs w:val="32"/>
        </w:rPr>
        <w:t>实验室网站宣传与科普具有一定成效，且纳入依托单位信息化工作统筹管理。</w:t>
      </w:r>
    </w:p>
    <w:p w14:paraId="38F03B35">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九</w:t>
      </w:r>
      <w:r>
        <w:rPr>
          <w:rFonts w:hint="eastAsia" w:ascii="楷体" w:hAnsi="楷体" w:eastAsia="楷体" w:cs="楷体"/>
          <w:b/>
          <w:bCs/>
          <w:kern w:val="0"/>
          <w:sz w:val="32"/>
          <w:szCs w:val="32"/>
          <w:u w:val="single"/>
        </w:rPr>
        <w:t>八</w:t>
      </w:r>
      <w:r>
        <w:rPr>
          <w:rFonts w:hint="eastAsia" w:ascii="楷体" w:hAnsi="楷体" w:eastAsia="楷体" w:cs="楷体"/>
          <w:b/>
          <w:bCs/>
          <w:kern w:val="0"/>
          <w:sz w:val="32"/>
          <w:szCs w:val="32"/>
        </w:rPr>
        <w:t>）开放共享：</w:t>
      </w:r>
      <w:r>
        <w:rPr>
          <w:rFonts w:hint="eastAsia" w:ascii="仿宋_GB2312" w:eastAsia="仿宋_GB2312"/>
          <w:kern w:val="0"/>
          <w:sz w:val="32"/>
          <w:szCs w:val="32"/>
        </w:rPr>
        <w:t>依托单位应重视大型科研仪器设备开放共享工作；在</w:t>
      </w:r>
      <w:r>
        <w:rPr>
          <w:rFonts w:hint="eastAsia" w:ascii="仿宋_GB2312" w:eastAsia="仿宋_GB2312"/>
          <w:kern w:val="0"/>
          <w:sz w:val="32"/>
          <w:szCs w:val="32"/>
          <w:u w:val="single"/>
        </w:rPr>
        <w:t>重点</w:t>
      </w:r>
      <w:r>
        <w:rPr>
          <w:rFonts w:hint="eastAsia" w:ascii="仿宋_GB2312" w:eastAsia="仿宋_GB2312"/>
          <w:kern w:val="0"/>
          <w:sz w:val="32"/>
          <w:szCs w:val="32"/>
        </w:rPr>
        <w:t>实验室申请认定的前三年内，依托单位原则上应每年参加自治区大型科研仪器开放共享绩效考核（从事数学理论研究、软件研究开发等特殊领域、行业的</w:t>
      </w:r>
      <w:r>
        <w:rPr>
          <w:rFonts w:hint="eastAsia" w:ascii="仿宋_GB2312" w:eastAsia="仿宋_GB2312"/>
          <w:kern w:val="0"/>
          <w:sz w:val="32"/>
          <w:szCs w:val="32"/>
          <w:u w:val="single"/>
        </w:rPr>
        <w:t>重点</w:t>
      </w:r>
      <w:r>
        <w:rPr>
          <w:rFonts w:hint="eastAsia" w:ascii="仿宋_GB2312" w:eastAsia="仿宋_GB2312"/>
          <w:kern w:val="0"/>
          <w:sz w:val="32"/>
          <w:szCs w:val="32"/>
        </w:rPr>
        <w:t>实验室可适当减免）。</w:t>
      </w:r>
    </w:p>
    <w:p w14:paraId="3BB34260">
      <w:pPr>
        <w:keepNext w:val="0"/>
        <w:keepLines w:val="0"/>
        <w:pageBreakBefore w:val="0"/>
        <w:shd w:val="clear" w:color="auto" w:fill="auto"/>
        <w:kinsoku/>
        <w:wordWrap/>
        <w:overflowPunct/>
        <w:topLinePunct w:val="0"/>
        <w:bidi w:val="0"/>
        <w:spacing w:beforeAutospacing="0" w:line="560" w:lineRule="exact"/>
        <w:ind w:firstLine="643" w:firstLineChars="200"/>
        <w:textAlignment w:val="auto"/>
        <w:rPr>
          <w:rFonts w:ascii="Times New Roman" w:hAnsi="Times New Roman" w:eastAsia="仿宋_GB2312"/>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bdr w:val="single" w:color="000000" w:sz="0" w:space="0"/>
        </w:rPr>
        <w:t>十</w:t>
      </w:r>
      <w:r>
        <w:rPr>
          <w:rFonts w:hint="eastAsia" w:ascii="楷体" w:hAnsi="楷体" w:eastAsia="楷体" w:cs="楷体"/>
          <w:b/>
          <w:bCs/>
          <w:kern w:val="0"/>
          <w:sz w:val="32"/>
          <w:szCs w:val="32"/>
          <w:u w:val="single"/>
        </w:rPr>
        <w:t>九</w:t>
      </w:r>
      <w:r>
        <w:rPr>
          <w:rFonts w:hint="eastAsia" w:ascii="楷体" w:hAnsi="楷体" w:eastAsia="楷体" w:cs="楷体"/>
          <w:b/>
          <w:bCs/>
          <w:kern w:val="0"/>
          <w:sz w:val="32"/>
          <w:szCs w:val="32"/>
        </w:rPr>
        <w:t>）</w:t>
      </w:r>
      <w:r>
        <w:rPr>
          <w:rFonts w:hint="eastAsia" w:ascii="楷体" w:hAnsi="楷体" w:eastAsia="楷体" w:cs="楷体"/>
          <w:b/>
          <w:bCs/>
          <w:kern w:val="0"/>
          <w:sz w:val="32"/>
          <w:szCs w:val="32"/>
          <w:u w:val="single"/>
        </w:rPr>
        <w:t>其他</w:t>
      </w:r>
      <w:r>
        <w:rPr>
          <w:rFonts w:hint="eastAsia" w:ascii="楷体" w:hAnsi="楷体" w:eastAsia="楷体" w:cs="楷体"/>
          <w:b/>
          <w:bCs/>
          <w:kern w:val="0"/>
          <w:sz w:val="32"/>
          <w:szCs w:val="32"/>
        </w:rPr>
        <w:t>不良记录：</w:t>
      </w:r>
      <w:r>
        <w:rPr>
          <w:rFonts w:hint="eastAsia" w:ascii="仿宋_GB2312" w:eastAsia="仿宋_GB2312"/>
          <w:kern w:val="0"/>
          <w:sz w:val="32"/>
          <w:szCs w:val="32"/>
        </w:rPr>
        <w:t>依托单位近五年内未发生环保、安全、知识产权等方面的问题，或所受各级部门行政处罚与拟建</w:t>
      </w:r>
      <w:r>
        <w:rPr>
          <w:rFonts w:hint="eastAsia" w:ascii="仿宋_GB2312" w:eastAsia="仿宋_GB2312"/>
          <w:kern w:val="0"/>
          <w:sz w:val="32"/>
          <w:szCs w:val="32"/>
          <w:u w:val="single"/>
        </w:rPr>
        <w:t>重点</w:t>
      </w:r>
      <w:r>
        <w:rPr>
          <w:rFonts w:hint="eastAsia" w:ascii="仿宋_GB2312" w:eastAsia="仿宋_GB2312"/>
          <w:kern w:val="0"/>
          <w:sz w:val="32"/>
          <w:szCs w:val="32"/>
        </w:rPr>
        <w:t>实验室无直接关系。</w:t>
      </w:r>
      <w:r>
        <w:rPr>
          <w:rFonts w:hint="eastAsia" w:ascii="仿宋_GB2312" w:eastAsia="仿宋_GB2312"/>
          <w:kern w:val="0"/>
          <w:sz w:val="32"/>
          <w:szCs w:val="32"/>
          <w:u w:val="single"/>
        </w:rPr>
        <w:t>重点</w:t>
      </w:r>
      <w:r>
        <w:rPr>
          <w:rFonts w:hint="eastAsia" w:ascii="仿宋_GB2312" w:eastAsia="仿宋_GB2312"/>
          <w:kern w:val="0"/>
          <w:sz w:val="32"/>
          <w:szCs w:val="32"/>
        </w:rPr>
        <w:t>实验室科研人员无科学技术活动违规行为、科研失信行为及其他相关信用记录、无违法违纪行为。</w:t>
      </w:r>
    </w:p>
    <w:p w14:paraId="23AEF0E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第十二条</w:t>
      </w:r>
      <w:r>
        <w:rPr>
          <w:rFonts w:ascii="Times New Roman" w:hAnsi="Times New Roman" w:eastAsia="仿宋_GB2312"/>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实验室认定流程：</w:t>
      </w:r>
    </w:p>
    <w:p w14:paraId="17A8842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（一）科技厅发布申报通知和要求。</w:t>
      </w:r>
    </w:p>
    <w:p w14:paraId="24F5C47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（二）主管部门按照通知要求，组织依托单位填写提交</w:t>
      </w:r>
      <w:r>
        <w:rPr>
          <w:rFonts w:hint="eastAsia" w:ascii="仿宋_GB2312" w:eastAsia="仿宋_GB2312"/>
          <w:kern w:val="0"/>
          <w:sz w:val="32"/>
          <w:szCs w:val="32"/>
          <w:u w:val="single"/>
        </w:rPr>
        <w:t>重点</w:t>
      </w:r>
      <w:r>
        <w:rPr>
          <w:rFonts w:hint="eastAsia" w:ascii="仿宋_GB2312" w:eastAsia="仿宋_GB2312"/>
          <w:kern w:val="0"/>
          <w:sz w:val="32"/>
          <w:szCs w:val="32"/>
        </w:rPr>
        <w:t>实验室认定申请书及有关附件材料，审核后报科技厅。</w:t>
      </w:r>
    </w:p>
    <w:p w14:paraId="7BFE599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highlight w:val="yellow"/>
        </w:rPr>
      </w:pPr>
      <w:r>
        <w:rPr>
          <w:rFonts w:hint="eastAsia" w:ascii="仿宋_GB2312" w:eastAsia="仿宋_GB2312"/>
          <w:kern w:val="0"/>
          <w:sz w:val="32"/>
          <w:szCs w:val="32"/>
        </w:rPr>
        <w:t>（三）科技厅组织或委托第三方专业机构对申报材料进行形式审查，组织专家评审，择优公示、认定。</w:t>
      </w:r>
    </w:p>
    <w:p w14:paraId="3BF9B6C0">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kern w:val="0"/>
          <w:sz w:val="32"/>
          <w:szCs w:val="32"/>
        </w:rPr>
      </w:pPr>
      <w:r>
        <w:rPr>
          <w:rFonts w:hint="eastAsia" w:ascii="黑体" w:hAnsi="黑体" w:eastAsia="黑体"/>
          <w:kern w:val="0"/>
          <w:sz w:val="32"/>
          <w:szCs w:val="32"/>
          <w:bdr w:val="single" w:color="000000" w:sz="4" w:space="0"/>
        </w:rPr>
        <w:t>第十三条</w:t>
      </w:r>
      <w:r>
        <w:rPr>
          <w:rFonts w:ascii="Times New Roman" w:hAnsi="Times New Roman" w:eastAsia="仿宋_GB2312"/>
          <w:kern w:val="0"/>
          <w:sz w:val="32"/>
          <w:szCs w:val="32"/>
          <w:bdr w:val="single" w:color="000000" w:sz="4" w:space="0"/>
        </w:rPr>
        <w:t xml:space="preserve">  </w:t>
      </w:r>
      <w:r>
        <w:rPr>
          <w:rFonts w:hint="eastAsia" w:ascii="仿宋_GB2312" w:eastAsia="仿宋_GB2312"/>
          <w:kern w:val="0"/>
          <w:sz w:val="32"/>
          <w:szCs w:val="32"/>
          <w:bdr w:val="single" w:color="000000" w:sz="4" w:space="0"/>
        </w:rPr>
        <w:t>适度倾斜支持基础研究较为薄弱、尚无实验室布局但区域（学科）特色优势明显的设区市和企事业单位。</w:t>
      </w:r>
    </w:p>
    <w:p w14:paraId="57C370E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w:t>
      </w:r>
      <w:r>
        <w:rPr>
          <w:rFonts w:hint="eastAsia" w:ascii="黑体" w:hAnsi="黑体" w:eastAsia="黑体"/>
          <w:kern w:val="0"/>
          <w:sz w:val="32"/>
          <w:szCs w:val="32"/>
          <w:bdr w:val="single" w:color="000000" w:sz="0" w:space="0"/>
        </w:rPr>
        <w:t>四</w:t>
      </w:r>
      <w:r>
        <w:rPr>
          <w:rFonts w:hint="eastAsia" w:ascii="黑体" w:hAnsi="黑体" w:eastAsia="黑体"/>
          <w:kern w:val="0"/>
          <w:sz w:val="32"/>
          <w:szCs w:val="32"/>
          <w:u w:val="single"/>
        </w:rPr>
        <w:t>三</w:t>
      </w:r>
      <w:r>
        <w:rPr>
          <w:rFonts w:hint="eastAsia" w:ascii="黑体" w:hAnsi="黑体" w:eastAsia="黑体"/>
          <w:kern w:val="0"/>
          <w:sz w:val="32"/>
          <w:szCs w:val="32"/>
        </w:rPr>
        <w:t>条</w:t>
      </w:r>
      <w:r>
        <w:rPr>
          <w:rFonts w:ascii="Times New Roman" w:hAnsi="Times New Roman" w:eastAsia="仿宋_GB2312"/>
          <w:kern w:val="0"/>
          <w:sz w:val="32"/>
          <w:szCs w:val="32"/>
        </w:rPr>
        <w:t xml:space="preserve">  </w:t>
      </w:r>
      <w:r>
        <w:rPr>
          <w:rFonts w:hint="eastAsia" w:ascii="仿宋_GB2312" w:eastAsia="仿宋_GB2312"/>
          <w:kern w:val="0"/>
          <w:sz w:val="32"/>
          <w:szCs w:val="32"/>
        </w:rPr>
        <w:t>对新认定的</w:t>
      </w:r>
      <w:r>
        <w:rPr>
          <w:rFonts w:hint="eastAsia" w:ascii="仿宋_GB2312" w:eastAsia="仿宋_GB2312"/>
          <w:kern w:val="0"/>
          <w:sz w:val="32"/>
          <w:szCs w:val="32"/>
          <w:u w:val="single"/>
        </w:rPr>
        <w:t>重点</w:t>
      </w:r>
      <w:r>
        <w:rPr>
          <w:rFonts w:hint="eastAsia" w:ascii="仿宋_GB2312" w:eastAsia="仿宋_GB2312"/>
          <w:kern w:val="0"/>
          <w:sz w:val="32"/>
          <w:szCs w:val="32"/>
        </w:rPr>
        <w:t>实验室</w:t>
      </w:r>
      <w:r>
        <w:rPr>
          <w:rFonts w:hint="eastAsia" w:ascii="仿宋_GB2312" w:eastAsia="仿宋_GB2312"/>
          <w:kern w:val="0"/>
          <w:sz w:val="32"/>
          <w:szCs w:val="32"/>
          <w:bdr w:val="single" w:color="000000" w:sz="0" w:space="0"/>
        </w:rPr>
        <w:t>择优</w:t>
      </w:r>
      <w:r>
        <w:rPr>
          <w:rFonts w:hint="eastAsia" w:ascii="仿宋_GB2312" w:eastAsia="仿宋_GB2312"/>
          <w:kern w:val="0"/>
          <w:sz w:val="32"/>
          <w:szCs w:val="32"/>
        </w:rPr>
        <w:t>予以</w:t>
      </w:r>
      <w:r>
        <w:rPr>
          <w:rFonts w:hint="eastAsia" w:ascii="仿宋_GB2312" w:eastAsia="仿宋_GB2312"/>
          <w:kern w:val="0"/>
          <w:sz w:val="32"/>
          <w:szCs w:val="32"/>
          <w:bdr w:val="single" w:color="000000" w:sz="0" w:space="0"/>
        </w:rPr>
        <w:t>自治区科技计划项目</w:t>
      </w:r>
      <w:r>
        <w:rPr>
          <w:rFonts w:hint="eastAsia" w:ascii="仿宋_GB2312" w:eastAsia="仿宋_GB2312"/>
          <w:kern w:val="0"/>
          <w:sz w:val="32"/>
          <w:szCs w:val="32"/>
          <w:u w:val="single"/>
        </w:rPr>
        <w:t>一次性奖励后补助</w:t>
      </w:r>
      <w:r>
        <w:rPr>
          <w:rFonts w:hint="eastAsia" w:ascii="仿宋_GB2312" w:eastAsia="仿宋_GB2312"/>
          <w:kern w:val="0"/>
          <w:sz w:val="32"/>
          <w:szCs w:val="32"/>
        </w:rPr>
        <w:t>支持。</w:t>
      </w:r>
    </w:p>
    <w:p w14:paraId="2ED9E2BF">
      <w:pPr>
        <w:keepNext w:val="0"/>
        <w:keepLines w:val="0"/>
        <w:pageBreakBefore w:val="0"/>
        <w:shd w:val="clear" w:color="auto" w:fill="auto"/>
        <w:kinsoku/>
        <w:wordWrap/>
        <w:overflowPunct/>
        <w:topLinePunct w:val="0"/>
        <w:bidi w:val="0"/>
        <w:spacing w:beforeAutospacing="0" w:line="560" w:lineRule="exact"/>
        <w:textAlignment w:val="auto"/>
      </w:pPr>
      <w:r>
        <w:rPr>
          <w:rFonts w:cs="Times New Roman"/>
          <w:szCs w:val="21"/>
        </w:rPr>
        <w:t xml:space="preserve"> </w:t>
      </w:r>
    </w:p>
    <w:p w14:paraId="31D59ED7">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kern w:val="0"/>
          <w:sz w:val="32"/>
          <w:szCs w:val="32"/>
        </w:rPr>
      </w:pPr>
      <w:r>
        <w:rPr>
          <w:rFonts w:hint="eastAsia" w:ascii="黑体" w:hAnsi="黑体" w:eastAsia="黑体"/>
          <w:kern w:val="0"/>
          <w:sz w:val="32"/>
          <w:szCs w:val="32"/>
        </w:rPr>
        <w:t>第四章</w:t>
      </w:r>
      <w:r>
        <w:rPr>
          <w:rFonts w:ascii="Times New Roman" w:hAnsi="Times New Roman" w:eastAsia="黑体"/>
          <w:kern w:val="0"/>
          <w:sz w:val="32"/>
          <w:szCs w:val="32"/>
        </w:rPr>
        <w:t xml:space="preserve">  </w:t>
      </w:r>
      <w:r>
        <w:rPr>
          <w:rFonts w:hint="eastAsia" w:ascii="黑体" w:hAnsi="黑体" w:eastAsia="黑体"/>
          <w:kern w:val="0"/>
          <w:sz w:val="32"/>
          <w:szCs w:val="32"/>
        </w:rPr>
        <w:t>运</w:t>
      </w:r>
      <w:r>
        <w:rPr>
          <w:rFonts w:hint="eastAsia" w:ascii="黑体" w:eastAsia="黑体"/>
          <w:kern w:val="0"/>
          <w:sz w:val="32"/>
          <w:szCs w:val="32"/>
        </w:rPr>
        <w:t xml:space="preserve">  </w:t>
      </w:r>
      <w:r>
        <w:rPr>
          <w:rFonts w:hint="eastAsia" w:ascii="黑体" w:hAnsi="黑体" w:eastAsia="黑体"/>
          <w:kern w:val="0"/>
          <w:sz w:val="32"/>
          <w:szCs w:val="32"/>
        </w:rPr>
        <w:t>行</w:t>
      </w:r>
    </w:p>
    <w:p w14:paraId="3FBF1B17">
      <w:pPr>
        <w:keepNext w:val="0"/>
        <w:keepLines w:val="0"/>
        <w:pageBreakBefore w:val="0"/>
        <w:shd w:val="clear" w:color="auto" w:fill="auto"/>
        <w:kinsoku/>
        <w:wordWrap/>
        <w:overflowPunct/>
        <w:topLinePunct w:val="0"/>
        <w:bidi w:val="0"/>
        <w:spacing w:beforeAutospacing="0" w:line="560" w:lineRule="exact"/>
        <w:textAlignment w:val="auto"/>
      </w:pPr>
      <w:r>
        <w:rPr>
          <w:rFonts w:ascii="Times New Roman" w:hAnsi="Times New Roman" w:eastAsia="仿宋_GB2312" w:cs="Times New Roman"/>
          <w:kern w:val="0"/>
          <w:sz w:val="32"/>
          <w:szCs w:val="32"/>
        </w:rPr>
        <w:t xml:space="preserve"> </w:t>
      </w:r>
    </w:p>
    <w:p w14:paraId="77EA2EBE">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eastAsia="仿宋_GB2312"/>
          <w:kern w:val="0"/>
          <w:sz w:val="32"/>
          <w:szCs w:val="32"/>
        </w:rPr>
      </w:pPr>
      <w:r>
        <w:rPr>
          <w:rFonts w:hint="eastAsia" w:ascii="黑体" w:hAnsi="黑体" w:eastAsia="黑体"/>
          <w:kern w:val="0"/>
          <w:sz w:val="32"/>
          <w:szCs w:val="32"/>
        </w:rPr>
        <w:t>第十</w:t>
      </w:r>
      <w:r>
        <w:rPr>
          <w:rFonts w:hint="eastAsia" w:ascii="黑体" w:hAnsi="黑体" w:eastAsia="黑体"/>
          <w:kern w:val="0"/>
          <w:sz w:val="32"/>
          <w:szCs w:val="32"/>
          <w:bdr w:val="single" w:color="000000" w:sz="0" w:space="0"/>
        </w:rPr>
        <w:t>五</w:t>
      </w:r>
      <w:r>
        <w:rPr>
          <w:rFonts w:hint="eastAsia" w:ascii="黑体" w:hAnsi="黑体" w:eastAsia="黑体"/>
          <w:kern w:val="0"/>
          <w:sz w:val="32"/>
          <w:szCs w:val="32"/>
          <w:u w:val="single"/>
        </w:rPr>
        <w:t>四</w:t>
      </w:r>
      <w:r>
        <w:rPr>
          <w:rFonts w:hint="eastAsia" w:ascii="黑体" w:hAnsi="黑体" w:eastAsia="黑体"/>
          <w:kern w:val="0"/>
          <w:sz w:val="32"/>
          <w:szCs w:val="32"/>
        </w:rPr>
        <w:t>条</w:t>
      </w:r>
      <w:r>
        <w:rPr>
          <w:rFonts w:ascii="Times New Roman" w:hAnsi="Times New Roman" w:eastAsia="黑体"/>
          <w:kern w:val="0"/>
          <w:sz w:val="32"/>
          <w:szCs w:val="32"/>
        </w:rPr>
        <w:t xml:space="preserve">  </w:t>
      </w:r>
      <w:r>
        <w:rPr>
          <w:rFonts w:hint="eastAsia" w:ascii="仿宋_GB2312" w:eastAsia="仿宋_GB2312"/>
          <w:kern w:val="0"/>
          <w:sz w:val="32"/>
          <w:szCs w:val="32"/>
          <w:u w:val="single"/>
        </w:rPr>
        <w:t>重点</w:t>
      </w:r>
      <w:r>
        <w:rPr>
          <w:rFonts w:hint="eastAsia" w:ascii="仿宋_GB2312" w:eastAsia="仿宋_GB2312"/>
          <w:kern w:val="0"/>
          <w:sz w:val="32"/>
          <w:szCs w:val="32"/>
        </w:rPr>
        <w:t>实验室</w:t>
      </w:r>
      <w:r>
        <w:rPr>
          <w:rFonts w:hint="eastAsia" w:ascii="仿宋_GB2312" w:eastAsia="仿宋_GB2312"/>
          <w:kern w:val="0"/>
          <w:sz w:val="32"/>
          <w:szCs w:val="32"/>
          <w:u w:val="single"/>
        </w:rPr>
        <w:t>应加强党组织和党员队伍建设，强化党风廉政建设，为推动重点实验室建设发展提供坚强的思想、政治、组织保障。</w:t>
      </w:r>
    </w:p>
    <w:p w14:paraId="0BBDA08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仿宋_GB2312" w:eastAsia="仿宋_GB2312"/>
          <w:kern w:val="0"/>
          <w:sz w:val="32"/>
          <w:szCs w:val="32"/>
        </w:rPr>
      </w:pPr>
      <w:r>
        <w:rPr>
          <w:rFonts w:hint="eastAsia" w:ascii="黑体" w:hAnsi="黑体" w:eastAsia="黑体"/>
          <w:kern w:val="0"/>
          <w:sz w:val="32"/>
          <w:szCs w:val="32"/>
          <w:u w:val="single"/>
        </w:rPr>
        <w:t>第十五条</w:t>
      </w:r>
      <w:r>
        <w:rPr>
          <w:rFonts w:hint="eastAsia" w:ascii="黑体" w:eastAsia="黑体"/>
          <w:kern w:val="0"/>
          <w:sz w:val="32"/>
          <w:szCs w:val="32"/>
        </w:rPr>
        <w:t xml:space="preserve"> </w:t>
      </w:r>
      <w:r>
        <w:rPr>
          <w:rFonts w:hint="eastAsia" w:ascii="仿宋_GB2312" w:eastAsia="仿宋_GB2312"/>
          <w:kern w:val="0"/>
          <w:sz w:val="32"/>
          <w:szCs w:val="32"/>
          <w:u w:val="single"/>
        </w:rPr>
        <w:t>重点实验室</w:t>
      </w:r>
      <w:r>
        <w:rPr>
          <w:rFonts w:hint="eastAsia" w:ascii="仿宋_GB2312" w:eastAsia="仿宋_GB2312"/>
          <w:kern w:val="0"/>
          <w:sz w:val="32"/>
          <w:szCs w:val="32"/>
        </w:rPr>
        <w:t>实行依托单位领导下的主任负责制</w:t>
      </w:r>
      <w:r>
        <w:rPr>
          <w:rFonts w:hint="eastAsia" w:ascii="仿宋_GB2312" w:eastAsia="仿宋_GB2312"/>
          <w:kern w:val="0"/>
          <w:sz w:val="32"/>
          <w:szCs w:val="32"/>
          <w:u w:val="single"/>
        </w:rPr>
        <w:t>，由政治素质好、具有领导能力、德才兼备、年富力强的领军科学家担任，负责重点实验室建设发展，组织开展重大科研任务攻关。实验室主任在任务组织实施、科研资源配置、经费使用管理和人员聘用考核等方面应拥有自主权。</w:t>
      </w:r>
    </w:p>
    <w:p w14:paraId="3A04A224">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hint="eastAsia" w:ascii="Times New Roman" w:hAnsi="Times New Roman" w:eastAsia="仿宋_GB2312"/>
          <w:kern w:val="0"/>
          <w:sz w:val="32"/>
          <w:szCs w:val="32"/>
        </w:rPr>
      </w:pPr>
      <w:r>
        <w:rPr>
          <w:rFonts w:hint="eastAsia" w:ascii="仿宋_GB2312" w:eastAsia="仿宋_GB2312"/>
          <w:kern w:val="0"/>
          <w:sz w:val="32"/>
          <w:szCs w:val="32"/>
        </w:rPr>
        <w:t>实验室主任由依托单位公开招聘，择优聘任，报科技厅备案，每届任期三年，累计任职一般不超过三届，原则上应为依托单位在职人员，全职全时在实验室工作，任期内一般不超过退休年龄（院士除外）。特殊情况须及时报科技厅审批备案。</w:t>
      </w:r>
    </w:p>
    <w:p w14:paraId="6131041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第十六条</w:t>
      </w:r>
      <w:r>
        <w:rPr>
          <w:rFonts w:ascii="Times New Roman" w:hAnsi="Times New Roman" w:eastAsia="仿宋_GB2312"/>
          <w:kern w:val="0"/>
          <w:sz w:val="32"/>
          <w:szCs w:val="32"/>
        </w:rPr>
        <w:t xml:space="preserve">  </w:t>
      </w:r>
      <w:r>
        <w:rPr>
          <w:rFonts w:hint="eastAsia" w:ascii="仿宋_GB2312" w:eastAsia="仿宋_GB2312"/>
          <w:kern w:val="0"/>
          <w:sz w:val="32"/>
          <w:szCs w:val="32"/>
        </w:rPr>
        <w:t>学术委员会是</w:t>
      </w:r>
      <w:r>
        <w:rPr>
          <w:rFonts w:hint="eastAsia" w:ascii="仿宋_GB2312" w:eastAsia="仿宋_GB2312"/>
          <w:kern w:val="0"/>
          <w:sz w:val="32"/>
          <w:szCs w:val="32"/>
          <w:u w:val="single"/>
        </w:rPr>
        <w:t>重点</w:t>
      </w:r>
      <w:r>
        <w:rPr>
          <w:rFonts w:hint="eastAsia" w:ascii="仿宋_GB2312" w:eastAsia="仿宋_GB2312"/>
          <w:kern w:val="0"/>
          <w:sz w:val="32"/>
          <w:szCs w:val="32"/>
        </w:rPr>
        <w:t>实验室的学术指导机构，负责对</w:t>
      </w:r>
      <w:r>
        <w:rPr>
          <w:rFonts w:hint="eastAsia" w:ascii="仿宋_GB2312" w:eastAsia="仿宋_GB2312"/>
          <w:kern w:val="0"/>
          <w:sz w:val="32"/>
          <w:szCs w:val="32"/>
          <w:u w:val="single"/>
        </w:rPr>
        <w:t>重点</w:t>
      </w:r>
      <w:r>
        <w:rPr>
          <w:rFonts w:hint="eastAsia" w:ascii="仿宋_GB2312" w:eastAsia="仿宋_GB2312"/>
          <w:kern w:val="0"/>
          <w:sz w:val="32"/>
          <w:szCs w:val="32"/>
        </w:rPr>
        <w:t>实验室的发展目标、研究方向、重大学术活动、年度工作计划和总结等提出咨询建议。学术委员会会议每年至少召开一次。</w:t>
      </w:r>
    </w:p>
    <w:p w14:paraId="548D308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rPr>
        <w:t>学术委员会由国内外高水平专家组成，一般可为</w:t>
      </w:r>
      <w:r>
        <w:rPr>
          <w:rFonts w:ascii="Times New Roman" w:hAnsi="Times New Roman" w:eastAsia="仿宋_GB2312"/>
          <w:kern w:val="0"/>
          <w:sz w:val="32"/>
          <w:szCs w:val="32"/>
        </w:rPr>
        <w:t>9</w:t>
      </w:r>
      <w:r>
        <w:rPr>
          <w:rFonts w:hint="eastAsia" w:ascii="仿宋_GB2312" w:eastAsia="仿宋_GB2312"/>
          <w:kern w:val="0"/>
          <w:sz w:val="32"/>
          <w:szCs w:val="32"/>
        </w:rPr>
        <w:t>人至</w:t>
      </w:r>
      <w:r>
        <w:rPr>
          <w:rFonts w:ascii="Times New Roman" w:hAnsi="Times New Roman" w:eastAsia="仿宋_GB2312"/>
          <w:kern w:val="0"/>
          <w:sz w:val="32"/>
          <w:szCs w:val="32"/>
        </w:rPr>
        <w:t>13</w:t>
      </w:r>
      <w:r>
        <w:rPr>
          <w:rFonts w:hint="eastAsia" w:ascii="仿宋_GB2312" w:eastAsia="仿宋_GB2312"/>
          <w:kern w:val="0"/>
          <w:sz w:val="32"/>
          <w:szCs w:val="32"/>
        </w:rPr>
        <w:t>人，其中依托单位人员不超过三分之一。学术委员会主任应由依托单位聘任非依托单位人员担任，报科技厅备案。学术委员会委员由依托单位聘任，一位专家不得同时担任超过</w:t>
      </w:r>
      <w:r>
        <w:rPr>
          <w:rFonts w:ascii="Times New Roman" w:hAnsi="Times New Roman" w:eastAsia="仿宋_GB2312"/>
          <w:kern w:val="0"/>
          <w:sz w:val="32"/>
          <w:szCs w:val="32"/>
        </w:rPr>
        <w:t>3</w:t>
      </w:r>
      <w:r>
        <w:rPr>
          <w:rFonts w:hint="eastAsia" w:ascii="仿宋_GB2312" w:eastAsia="仿宋_GB2312"/>
          <w:kern w:val="0"/>
          <w:sz w:val="32"/>
          <w:szCs w:val="32"/>
        </w:rPr>
        <w:t>个实验室的学术委员会委员。学术委员会每届任期三年，每届委员更换比例在三分之一以上。</w:t>
      </w:r>
    </w:p>
    <w:p w14:paraId="57D96E51">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第十七条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实验室应健全人员分类管理与激励机制。</w:t>
      </w:r>
      <w:r>
        <w:rPr>
          <w:rFonts w:hint="eastAsia" w:ascii="仿宋_GB2312" w:eastAsia="仿宋_GB2312"/>
          <w:kern w:val="0"/>
          <w:sz w:val="32"/>
          <w:szCs w:val="32"/>
          <w:u w:val="single"/>
        </w:rPr>
        <w:t>重点</w:t>
      </w:r>
      <w:r>
        <w:rPr>
          <w:rFonts w:hint="eastAsia" w:ascii="仿宋_GB2312" w:eastAsia="仿宋_GB2312"/>
          <w:kern w:val="0"/>
          <w:sz w:val="32"/>
          <w:szCs w:val="32"/>
        </w:rPr>
        <w:t>实验室由固定人员和流动人员组成。固定人员由依托单位聘（任）用，全职全时在</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实验室开展工作，原则上只能在一个自治区级</w:t>
      </w:r>
      <w:r>
        <w:rPr>
          <w:rFonts w:hint="eastAsia" w:ascii="仿宋_GB2312" w:eastAsia="仿宋_GB2312"/>
          <w:kern w:val="0"/>
          <w:sz w:val="32"/>
          <w:szCs w:val="32"/>
          <w:u w:val="single"/>
        </w:rPr>
        <w:t>基础研究类</w:t>
      </w:r>
      <w:r>
        <w:rPr>
          <w:rFonts w:hint="eastAsia" w:ascii="仿宋_GB2312" w:eastAsia="仿宋_GB2312"/>
          <w:kern w:val="0"/>
          <w:sz w:val="32"/>
          <w:szCs w:val="32"/>
        </w:rPr>
        <w:t>科技创新平台任职。固定人员信息须通过年度报告上报，并接受查重。流动人员包括访问学者、博士后研究人员及兼职人员。流动人员进入</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实验室工作，须以签订工作协议或颁发聘书等形式，明确工作任务和时间。</w:t>
      </w:r>
    </w:p>
    <w:p w14:paraId="65B6507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第十八条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实验室应注重学术梯队和优秀中青年队伍建设，统筹各类资源设立专门经费支持青年科技人员的科研启动，鼓励青年科技人才挑大梁、当主角。</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实验室主任、副主任中原则上应配备</w:t>
      </w:r>
      <w:r>
        <w:rPr>
          <w:rFonts w:ascii="Times New Roman" w:hAnsi="Times New Roman" w:eastAsia="仿宋_GB2312"/>
          <w:kern w:val="0"/>
          <w:sz w:val="32"/>
          <w:szCs w:val="32"/>
        </w:rPr>
        <w:t>45</w:t>
      </w:r>
      <w:r>
        <w:rPr>
          <w:rFonts w:hint="eastAsia" w:ascii="仿宋_GB2312" w:eastAsia="仿宋_GB2312"/>
          <w:kern w:val="0"/>
          <w:sz w:val="32"/>
          <w:szCs w:val="32"/>
        </w:rPr>
        <w:t>周岁以下科研技术骨干。</w:t>
      </w:r>
    </w:p>
    <w:p w14:paraId="615844B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第十九条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积极开展国内外科技合作和交流，与港澳地区、东盟国家及其他“一带一路”沿线国家等围绕关键技术难题开展联合攻关，建立协同攻关的科研组织模式。同时可自主设立开放课题开展基础前沿研究，鼓励开展非共识性研究、实验技术方法与仪器设备提升改造等创新研究。</w:t>
      </w:r>
    </w:p>
    <w:p w14:paraId="0C54C92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第二十条</w:t>
      </w:r>
      <w:r>
        <w:rPr>
          <w:rFonts w:ascii="Times New Roman" w:hAnsi="Times New Roman" w:eastAsia="仿宋_GB2312"/>
          <w:kern w:val="0"/>
          <w:sz w:val="32"/>
          <w:szCs w:val="32"/>
        </w:rPr>
        <w:t xml:space="preserve">  </w:t>
      </w:r>
      <w:r>
        <w:rPr>
          <w:rFonts w:hint="eastAsia" w:ascii="仿宋_GB2312" w:eastAsia="仿宋_GB2312"/>
          <w:kern w:val="0"/>
          <w:sz w:val="32"/>
          <w:szCs w:val="32"/>
        </w:rPr>
        <w:t>依托单位应严格遵守国家和自治区财务、审计等相关制度支出经费，组织</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实验室制定开放课题经费管理办法，做好开放课题经费的管理工作。</w:t>
      </w:r>
    </w:p>
    <w:p w14:paraId="1275AD5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第二十一条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实验室应按照国家有关规定和要求，加强信息化能力建设，</w:t>
      </w:r>
      <w:r>
        <w:rPr>
          <w:rFonts w:hint="eastAsia" w:ascii="仿宋_GB2312" w:eastAsia="仿宋_GB2312"/>
          <w:kern w:val="0"/>
          <w:sz w:val="32"/>
          <w:szCs w:val="32"/>
          <w:u w:val="single"/>
        </w:rPr>
        <w:t>建立健全科学数据汇交机制，</w:t>
      </w:r>
      <w:r>
        <w:rPr>
          <w:rFonts w:hint="eastAsia" w:ascii="仿宋_GB2312" w:eastAsia="仿宋_GB2312"/>
          <w:kern w:val="0"/>
          <w:sz w:val="32"/>
          <w:szCs w:val="32"/>
        </w:rPr>
        <w:t>推动大型科研仪器和科学数据等科技资源开放共享。</w:t>
      </w:r>
      <w:r>
        <w:rPr>
          <w:rFonts w:hint="eastAsia" w:ascii="仿宋_GB2312" w:eastAsia="仿宋_GB2312"/>
          <w:kern w:val="0"/>
          <w:sz w:val="32"/>
          <w:szCs w:val="32"/>
          <w:bdr w:val="single" w:color="auto" w:sz="4" w:space="0"/>
        </w:rPr>
        <w:t>凡使用自治区本级财政资金购置的单台（套）原值</w:t>
      </w:r>
      <w:r>
        <w:rPr>
          <w:rFonts w:ascii="Times New Roman" w:hAnsi="Times New Roman" w:eastAsia="仿宋_GB2312"/>
          <w:kern w:val="0"/>
          <w:sz w:val="32"/>
          <w:szCs w:val="32"/>
          <w:bdr w:val="single" w:color="auto" w:sz="4" w:space="0"/>
        </w:rPr>
        <w:t>50</w:t>
      </w:r>
      <w:r>
        <w:rPr>
          <w:rFonts w:hint="eastAsia" w:ascii="仿宋_GB2312" w:eastAsia="仿宋_GB2312"/>
          <w:kern w:val="0"/>
          <w:sz w:val="32"/>
          <w:szCs w:val="32"/>
          <w:bdr w:val="single" w:color="auto" w:sz="4" w:space="0"/>
        </w:rPr>
        <w:t>万元（含）以上的科学仪器设备，应按相关规定及时纳入广西大型科研仪器共享网络管理及服务平台统一管理，实现科研仪器设备开放共享和高效运转，提高资源使用效率。</w:t>
      </w:r>
    </w:p>
    <w:p w14:paraId="5F9F06F5">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eastAsia="仿宋_GB2312"/>
          <w:kern w:val="0"/>
          <w:sz w:val="32"/>
          <w:szCs w:val="32"/>
        </w:rPr>
      </w:pPr>
      <w:r>
        <w:rPr>
          <w:rFonts w:hint="eastAsia" w:ascii="黑体" w:hAnsi="黑体" w:eastAsia="黑体"/>
          <w:kern w:val="0"/>
          <w:sz w:val="32"/>
          <w:szCs w:val="32"/>
        </w:rPr>
        <w:t>第二十二条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实验室应加强知识产权的创造、保护与应用</w:t>
      </w:r>
      <w:r>
        <w:rPr>
          <w:rFonts w:hint="eastAsia" w:ascii="仿宋_GB2312" w:eastAsia="仿宋_GB2312"/>
          <w:kern w:val="0"/>
          <w:sz w:val="32"/>
          <w:szCs w:val="32"/>
          <w:bdr w:val="single" w:color="auto" w:sz="4" w:space="0"/>
        </w:rPr>
        <w:t>，推动产学研融合和科技成果转化</w:t>
      </w:r>
      <w:r>
        <w:rPr>
          <w:rFonts w:hint="eastAsia" w:ascii="仿宋_GB2312" w:eastAsia="仿宋_GB2312"/>
          <w:kern w:val="0"/>
          <w:sz w:val="32"/>
          <w:szCs w:val="32"/>
        </w:rPr>
        <w:t>。在</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实验室完成的专著、论文等研究成果均应标注</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实验室名称，软件、数据库、专利申请、标准制修订、技术成果转让、申报奖励等按国家有关规定办理。对其他单位或个人利用</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实验室平台取得的成果按国家、自治区有关规定及双方约定办理。凡未按规定标注名称的研究成果不得作为</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实验室的研究成果参与年度考核和定期评估。</w:t>
      </w:r>
    </w:p>
    <w:p w14:paraId="0809FEB0">
      <w:pPr>
        <w:pStyle w:val="2"/>
        <w:keepNext w:val="0"/>
        <w:keepLines w:val="0"/>
        <w:pageBreakBefore w:val="0"/>
        <w:shd w:val="clear" w:color="auto" w:fill="auto"/>
        <w:kinsoku/>
        <w:wordWrap/>
        <w:overflowPunct/>
        <w:topLinePunct w:val="0"/>
        <w:bidi w:val="0"/>
        <w:spacing w:beforeAutospacing="0" w:line="560" w:lineRule="exact"/>
        <w:ind w:firstLine="640" w:firstLineChars="200"/>
        <w:textAlignment w:val="auto"/>
        <w:rPr>
          <w:rFonts w:hint="eastAsia"/>
          <w:u w:val="single"/>
        </w:rPr>
      </w:pPr>
      <w:r>
        <w:rPr>
          <w:rFonts w:hint="eastAsia" w:ascii="黑体" w:hAnsi="黑体" w:eastAsia="黑体" w:cs="Times New Roman"/>
          <w:sz w:val="32"/>
          <w:szCs w:val="32"/>
          <w:u w:val="single"/>
        </w:rPr>
        <w:t>第二十三条</w:t>
      </w:r>
      <w:r>
        <w:rPr>
          <w:rFonts w:ascii="Times New Roman"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rPr>
        <w:t>重点实验室应建立健全科技成果转化机制，积极推动产学研用深度融合。鼓励实验室通过自行实施、转让、许可、作价投资等方式推动科技成果转化；鼓励依托单位配备专业化技术转移转化力量，加强与产业界合作，提升服务产业创新和经济社会发展能力</w:t>
      </w:r>
    </w:p>
    <w:p w14:paraId="7DF45E6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第二十四条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实验室应重视科学普及，依托全国科技活动周广西活动等，通过开放交流、科普讲座、科普进基层等形式，每年向社会开展科普活动</w:t>
      </w:r>
      <w:r>
        <w:rPr>
          <w:rFonts w:ascii="Times New Roman" w:hAnsi="Times New Roman" w:eastAsia="仿宋_GB2312"/>
          <w:kern w:val="0"/>
          <w:sz w:val="32"/>
          <w:szCs w:val="32"/>
        </w:rPr>
        <w:t>1</w:t>
      </w:r>
      <w:r>
        <w:rPr>
          <w:rFonts w:hint="eastAsia" w:ascii="仿宋_GB2312" w:eastAsia="仿宋_GB2312"/>
          <w:kern w:val="0"/>
          <w:sz w:val="32"/>
          <w:szCs w:val="32"/>
        </w:rPr>
        <w:t>次以上；有条件的应向社会公众特别是学生开放，每年不少于</w:t>
      </w:r>
      <w:r>
        <w:rPr>
          <w:rFonts w:ascii="Times New Roman" w:hAnsi="Times New Roman" w:eastAsia="仿宋_GB2312"/>
          <w:kern w:val="0"/>
          <w:sz w:val="32"/>
          <w:szCs w:val="32"/>
        </w:rPr>
        <w:t>10</w:t>
      </w:r>
      <w:r>
        <w:rPr>
          <w:rFonts w:hint="eastAsia" w:ascii="仿宋_GB2312" w:eastAsia="仿宋_GB2312"/>
          <w:kern w:val="0"/>
          <w:sz w:val="32"/>
          <w:szCs w:val="32"/>
        </w:rPr>
        <w:t>天。</w:t>
      </w:r>
    </w:p>
    <w:p w14:paraId="5C7F5620">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第二十五条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实验室应严格落实国家安全保密相关法律法规，建立健全相关制度，确保国家秘密安全，强化安全生产管理。</w:t>
      </w:r>
    </w:p>
    <w:p w14:paraId="287A8C0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第二十六条</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实验室实行年度报告制度。按要求每年就上年度实验室人员、经费、成果</w:t>
      </w:r>
      <w:r>
        <w:rPr>
          <w:rFonts w:hint="eastAsia" w:ascii="仿宋_GB2312" w:eastAsia="仿宋_GB2312"/>
          <w:kern w:val="0"/>
          <w:sz w:val="32"/>
          <w:szCs w:val="32"/>
          <w:u w:val="single"/>
        </w:rPr>
        <w:t>、落实学术委员会意见</w:t>
      </w:r>
      <w:r>
        <w:rPr>
          <w:rFonts w:hint="eastAsia" w:ascii="仿宋_GB2312" w:eastAsia="仿宋_GB2312"/>
          <w:kern w:val="0"/>
          <w:sz w:val="32"/>
          <w:szCs w:val="32"/>
        </w:rPr>
        <w:t>等情况及本年度工作计划，形成年度报告报科技厅。</w:t>
      </w:r>
    </w:p>
    <w:p w14:paraId="76949FDF">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eastAsia="仿宋_GB2312"/>
          <w:kern w:val="0"/>
          <w:sz w:val="32"/>
          <w:szCs w:val="32"/>
        </w:rPr>
      </w:pPr>
      <w:r>
        <w:rPr>
          <w:rFonts w:hint="eastAsia" w:ascii="黑体" w:hAnsi="黑体" w:eastAsia="黑体"/>
          <w:kern w:val="0"/>
          <w:sz w:val="32"/>
          <w:szCs w:val="32"/>
        </w:rPr>
        <w:t>第二十七条</w:t>
      </w:r>
      <w:r>
        <w:rPr>
          <w:rFonts w:hint="eastAsia" w:ascii="黑体" w:eastAsia="黑体"/>
          <w:kern w:val="0"/>
          <w:sz w:val="32"/>
          <w:szCs w:val="32"/>
        </w:rPr>
        <w:t xml:space="preserve"> </w:t>
      </w:r>
      <w:r>
        <w:rPr>
          <w:rFonts w:ascii="Times New Roman" w:hAnsi="Times New Roman" w:eastAsia="仿宋_GB2312"/>
          <w:kern w:val="0"/>
          <w:sz w:val="32"/>
          <w:szCs w:val="32"/>
        </w:rPr>
        <w:t xml:space="preserve"> </w:t>
      </w:r>
      <w:r>
        <w:rPr>
          <w:rFonts w:hint="eastAsia" w:ascii="仿宋_GB2312" w:hAnsi="Times New Roman" w:eastAsia="仿宋_GB2312"/>
          <w:kern w:val="0"/>
          <w:sz w:val="32"/>
          <w:szCs w:val="32"/>
          <w:u w:val="single"/>
        </w:rPr>
        <w:t>重点</w:t>
      </w:r>
      <w:r>
        <w:rPr>
          <w:rFonts w:hint="eastAsia" w:ascii="仿宋_GB2312" w:eastAsia="仿宋_GB2312"/>
          <w:kern w:val="0"/>
          <w:sz w:val="32"/>
          <w:szCs w:val="32"/>
        </w:rPr>
        <w:t>实验室需变更名称，调整主要研究方向、调整依托单位组成等情况，或依托单位法人主体、机构性质等出现重大变化时，由依托单位报请科技厅研究审批。</w:t>
      </w:r>
    </w:p>
    <w:p w14:paraId="391A6A9C">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color w:val="000000"/>
          <w:szCs w:val="21"/>
          <w:highlight w:val="yellow"/>
        </w:rPr>
      </w:pPr>
      <w:r>
        <w:rPr>
          <w:rFonts w:hint="eastAsia" w:ascii="仿宋_GB2312" w:hAnsi="Times New Roman" w:eastAsia="仿宋_GB2312" w:cs="Times New Roman"/>
          <w:color w:val="000000"/>
          <w:sz w:val="32"/>
          <w:szCs w:val="32"/>
          <w:u w:val="single"/>
        </w:rPr>
        <w:t>定期评估当年及整改期间，原则上不受理重点实验室名称、依托单位等变更申请。</w:t>
      </w:r>
    </w:p>
    <w:p w14:paraId="3BE7DA6A">
      <w:pPr>
        <w:keepNext w:val="0"/>
        <w:keepLines w:val="0"/>
        <w:pageBreakBefore w:val="0"/>
        <w:shd w:val="clear" w:color="auto" w:fill="auto"/>
        <w:kinsoku/>
        <w:wordWrap/>
        <w:overflowPunct/>
        <w:topLinePunct w:val="0"/>
        <w:bidi w:val="0"/>
        <w:spacing w:beforeAutospacing="0" w:line="560" w:lineRule="exact"/>
        <w:textAlignment w:val="auto"/>
        <w:rPr>
          <w:rFonts w:hint="eastAsia"/>
        </w:rPr>
      </w:pPr>
      <w:r>
        <w:rPr>
          <w:rFonts w:ascii="Times New Roman" w:hAnsi="Times New Roman" w:eastAsia="黑体"/>
          <w:kern w:val="0"/>
          <w:sz w:val="32"/>
          <w:szCs w:val="32"/>
        </w:rPr>
        <w:t xml:space="preserve"> </w:t>
      </w:r>
    </w:p>
    <w:p w14:paraId="4DC3C209">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kern w:val="0"/>
          <w:sz w:val="32"/>
          <w:szCs w:val="32"/>
        </w:rPr>
      </w:pPr>
      <w:r>
        <w:rPr>
          <w:rFonts w:hint="eastAsia" w:ascii="黑体" w:hAnsi="黑体" w:eastAsia="黑体"/>
          <w:kern w:val="0"/>
          <w:sz w:val="32"/>
          <w:szCs w:val="32"/>
        </w:rPr>
        <w:t>第五章</w:t>
      </w:r>
      <w:r>
        <w:rPr>
          <w:rFonts w:ascii="Times New Roman" w:hAnsi="Times New Roman" w:eastAsia="黑体"/>
          <w:kern w:val="0"/>
          <w:sz w:val="32"/>
          <w:szCs w:val="32"/>
        </w:rPr>
        <w:t xml:space="preserve">  </w:t>
      </w:r>
      <w:r>
        <w:rPr>
          <w:rFonts w:hint="eastAsia" w:ascii="黑体" w:hAnsi="黑体" w:eastAsia="黑体"/>
          <w:kern w:val="0"/>
          <w:sz w:val="32"/>
          <w:szCs w:val="32"/>
        </w:rPr>
        <w:t>评</w:t>
      </w:r>
      <w:r>
        <w:rPr>
          <w:rFonts w:hint="eastAsia" w:ascii="黑体" w:eastAsia="黑体"/>
          <w:kern w:val="0"/>
          <w:sz w:val="32"/>
          <w:szCs w:val="32"/>
        </w:rPr>
        <w:t xml:space="preserve">  </w:t>
      </w:r>
      <w:r>
        <w:rPr>
          <w:rFonts w:hint="eastAsia" w:ascii="黑体" w:hAnsi="黑体" w:eastAsia="黑体"/>
          <w:kern w:val="0"/>
          <w:sz w:val="32"/>
          <w:szCs w:val="32"/>
        </w:rPr>
        <w:t>估</w:t>
      </w:r>
    </w:p>
    <w:p w14:paraId="7A6C98CE">
      <w:pPr>
        <w:keepNext w:val="0"/>
        <w:keepLines w:val="0"/>
        <w:pageBreakBefore w:val="0"/>
        <w:shd w:val="clear" w:color="auto" w:fill="auto"/>
        <w:kinsoku/>
        <w:wordWrap/>
        <w:overflowPunct/>
        <w:topLinePunct w:val="0"/>
        <w:bidi w:val="0"/>
        <w:spacing w:beforeAutospacing="0" w:line="560" w:lineRule="exact"/>
        <w:textAlignment w:val="auto"/>
      </w:pPr>
      <w:r>
        <w:rPr>
          <w:rFonts w:cs="Times New Roman"/>
          <w:szCs w:val="21"/>
        </w:rPr>
        <w:t xml:space="preserve"> </w:t>
      </w:r>
    </w:p>
    <w:p w14:paraId="1E23436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第二十八条</w:t>
      </w:r>
      <w:r>
        <w:rPr>
          <w:rFonts w:ascii="Times New Roman" w:hAnsi="Times New Roman" w:eastAsia="仿宋_GB2312"/>
          <w:kern w:val="0"/>
          <w:sz w:val="32"/>
          <w:szCs w:val="32"/>
        </w:rPr>
        <w:t xml:space="preserve">  </w:t>
      </w:r>
      <w:r>
        <w:rPr>
          <w:rFonts w:hint="eastAsia" w:ascii="仿宋_GB2312" w:eastAsia="仿宋_GB2312"/>
          <w:kern w:val="0"/>
          <w:sz w:val="32"/>
          <w:szCs w:val="32"/>
        </w:rPr>
        <w:t>依托单位应每年对实验室进行年度考核，组织填写年报，考核结果是开展定期评估的重要依据。科技厅</w:t>
      </w:r>
      <w:r>
        <w:rPr>
          <w:rFonts w:hint="eastAsia" w:ascii="仿宋_GB2312" w:eastAsia="仿宋_GB2312"/>
          <w:kern w:val="0"/>
          <w:sz w:val="32"/>
          <w:szCs w:val="32"/>
          <w:u w:val="single"/>
        </w:rPr>
        <w:t>牵头对重点实验室</w:t>
      </w:r>
      <w:r>
        <w:rPr>
          <w:rFonts w:hint="eastAsia" w:ascii="仿宋_GB2312" w:eastAsia="仿宋_GB2312"/>
          <w:kern w:val="0"/>
          <w:sz w:val="32"/>
          <w:szCs w:val="32"/>
        </w:rPr>
        <w:t>组织开展定期评估，分领域采取</w:t>
      </w:r>
      <w:r>
        <w:rPr>
          <w:rFonts w:hint="eastAsia" w:ascii="仿宋_GB2312" w:eastAsia="仿宋_GB2312"/>
          <w:kern w:val="0"/>
          <w:sz w:val="32"/>
          <w:szCs w:val="32"/>
          <w:u w:val="single"/>
        </w:rPr>
        <w:t>年度考核与定期评估相结合方式对重点实验室进行综合评价</w:t>
      </w:r>
      <w:r>
        <w:rPr>
          <w:rFonts w:hint="eastAsia" w:ascii="仿宋_GB2312" w:eastAsia="仿宋_GB2312"/>
          <w:kern w:val="0"/>
          <w:sz w:val="32"/>
          <w:szCs w:val="32"/>
        </w:rPr>
        <w:t>专家评议、会议评议等方式对实验室评估周期内整体运行状况进行综合评价，</w:t>
      </w:r>
      <w:r>
        <w:rPr>
          <w:rFonts w:hint="eastAsia" w:ascii="仿宋_GB2312" w:eastAsia="仿宋_GB2312"/>
          <w:kern w:val="0"/>
          <w:sz w:val="32"/>
          <w:szCs w:val="32"/>
          <w:u w:val="single"/>
        </w:rPr>
        <w:t>重点评估实验室在开展原始创新、突破关键核心技术、推动产业及学科发展等方面的实际贡献。</w:t>
      </w:r>
      <w:r>
        <w:rPr>
          <w:rFonts w:hint="eastAsia" w:ascii="仿宋_GB2312" w:eastAsia="仿宋_GB2312"/>
          <w:kern w:val="0"/>
          <w:sz w:val="32"/>
          <w:szCs w:val="32"/>
        </w:rPr>
        <w:t>主要评价指标包括研究成果、人才培养、开放交流</w:t>
      </w:r>
      <w:r>
        <w:rPr>
          <w:rFonts w:hint="eastAsia" w:ascii="仿宋_GB2312" w:eastAsia="仿宋_GB2312"/>
          <w:kern w:val="0"/>
          <w:sz w:val="32"/>
          <w:szCs w:val="32"/>
          <w:u w:val="single"/>
        </w:rPr>
        <w:t>合作、</w:t>
      </w:r>
      <w:r>
        <w:rPr>
          <w:rFonts w:hint="eastAsia" w:ascii="仿宋_GB2312" w:eastAsia="仿宋_GB2312"/>
          <w:kern w:val="0"/>
          <w:sz w:val="32"/>
          <w:szCs w:val="32"/>
        </w:rPr>
        <w:t>条件保障与组织管理</w:t>
      </w:r>
      <w:r>
        <w:rPr>
          <w:rFonts w:hint="eastAsia" w:ascii="仿宋_GB2312" w:eastAsia="仿宋_GB2312"/>
          <w:kern w:val="0"/>
          <w:sz w:val="32"/>
          <w:szCs w:val="32"/>
          <w:u w:val="single"/>
        </w:rPr>
        <w:t>，以及后补助经费使用管理</w:t>
      </w:r>
      <w:r>
        <w:rPr>
          <w:rFonts w:hint="eastAsia" w:ascii="仿宋_GB2312" w:eastAsia="仿宋_GB2312"/>
          <w:kern w:val="0"/>
          <w:sz w:val="32"/>
          <w:szCs w:val="32"/>
        </w:rPr>
        <w:t>情况等。</w:t>
      </w:r>
    </w:p>
    <w:p w14:paraId="726ED10D">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第二十九条</w:t>
      </w:r>
      <w:r>
        <w:rPr>
          <w:rFonts w:ascii="Times New Roman" w:hAnsi="Times New Roman" w:eastAsia="黑体"/>
          <w:kern w:val="0"/>
          <w:sz w:val="32"/>
          <w:szCs w:val="32"/>
        </w:rPr>
        <w:t xml:space="preserve">  </w:t>
      </w:r>
      <w:r>
        <w:rPr>
          <w:rFonts w:hint="eastAsia" w:ascii="仿宋_GB2312" w:eastAsia="仿宋_GB2312"/>
          <w:kern w:val="0"/>
          <w:sz w:val="32"/>
          <w:szCs w:val="32"/>
        </w:rPr>
        <w:t>评估实行优胜劣汰，</w:t>
      </w:r>
      <w:r>
        <w:rPr>
          <w:rFonts w:hint="eastAsia" w:ascii="仿宋_GB2312" w:hAnsi="Times New Roman" w:eastAsia="仿宋_GB2312"/>
          <w:kern w:val="0"/>
          <w:sz w:val="32"/>
          <w:szCs w:val="32"/>
          <w:u w:val="single"/>
        </w:rPr>
        <w:t>评估工作制定专门规则，</w:t>
      </w:r>
      <w:r>
        <w:rPr>
          <w:rFonts w:hint="eastAsia" w:ascii="仿宋_GB2312" w:eastAsia="仿宋_GB2312"/>
          <w:kern w:val="0"/>
          <w:sz w:val="32"/>
          <w:szCs w:val="32"/>
          <w:u w:val="single"/>
        </w:rPr>
        <w:t>坚持科学合理、客观公正、以评促建。采取指标评测与专家评议结合、会议评议与现场考察结合方式组织实施，</w:t>
      </w:r>
      <w:r>
        <w:rPr>
          <w:rFonts w:hint="eastAsia" w:ascii="仿宋_GB2312" w:eastAsia="仿宋_GB2312"/>
          <w:kern w:val="0"/>
          <w:sz w:val="32"/>
          <w:szCs w:val="32"/>
        </w:rPr>
        <w:t>原则上每</w:t>
      </w:r>
      <w:r>
        <w:rPr>
          <w:rFonts w:ascii="Times New Roman" w:hAnsi="Times New Roman" w:eastAsia="仿宋_GB2312"/>
          <w:kern w:val="0"/>
          <w:sz w:val="32"/>
          <w:szCs w:val="32"/>
        </w:rPr>
        <w:t>3</w:t>
      </w:r>
      <w:r>
        <w:rPr>
          <w:rFonts w:hint="eastAsia" w:ascii="仿宋_GB2312" w:eastAsia="仿宋_GB2312"/>
          <w:kern w:val="0"/>
          <w:sz w:val="32"/>
          <w:szCs w:val="32"/>
        </w:rPr>
        <w:t>年为一个评估周期。</w:t>
      </w:r>
    </w:p>
    <w:p w14:paraId="54A5AD68">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第三十条</w:t>
      </w:r>
      <w:r>
        <w:rPr>
          <w:rFonts w:ascii="Times New Roman" w:hAnsi="Times New Roman" w:eastAsia="仿宋_GB2312"/>
          <w:kern w:val="0"/>
          <w:sz w:val="32"/>
          <w:szCs w:val="32"/>
        </w:rPr>
        <w:t xml:space="preserve">  </w:t>
      </w:r>
      <w:r>
        <w:rPr>
          <w:rFonts w:hint="eastAsia" w:ascii="仿宋_GB2312" w:eastAsia="仿宋_GB2312"/>
          <w:kern w:val="0"/>
          <w:sz w:val="32"/>
          <w:szCs w:val="32"/>
        </w:rPr>
        <w:t>评估结果分为优秀、良好、合格、基本合格、不合格五档。</w:t>
      </w:r>
      <w:r>
        <w:rPr>
          <w:rFonts w:hint="eastAsia" w:ascii="仿宋_GB2312" w:eastAsia="仿宋_GB2312"/>
          <w:kern w:val="0"/>
          <w:sz w:val="32"/>
          <w:szCs w:val="32"/>
          <w:u w:val="single"/>
        </w:rPr>
        <w:t>根据评估结果进行动态调整和分档支持。</w:t>
      </w:r>
      <w:r>
        <w:rPr>
          <w:rFonts w:hint="eastAsia" w:ascii="仿宋_GB2312" w:eastAsia="仿宋_GB2312"/>
          <w:kern w:val="0"/>
          <w:sz w:val="32"/>
          <w:szCs w:val="32"/>
        </w:rPr>
        <w:t>强化评估结果应用，将考核结果作为分档支持、资源匹配、任务安排等重要参考。</w:t>
      </w:r>
      <w:r>
        <w:rPr>
          <w:rFonts w:hint="eastAsia" w:ascii="仿宋_GB2312" w:eastAsia="仿宋_GB2312"/>
          <w:kern w:val="0"/>
          <w:sz w:val="32"/>
          <w:szCs w:val="32"/>
          <w:u w:val="single"/>
        </w:rPr>
        <w:t>评估结果为“优秀”“良好”的，予以奖励性后补助；“基本合格”的，按要求整改，并在1年后复评；“不合格”、无正当理由不参加或中途退出评估的，予以撤销。</w:t>
      </w:r>
    </w:p>
    <w:p w14:paraId="1E135329">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bdr w:val="single" w:color="000000" w:sz="4" w:space="0"/>
        </w:rPr>
        <w:t>（一）评估结果“优秀”的，符合有关申报条件的，科技厅将择优推荐申报全国重点实验室等国家级科技创新平台；</w:t>
      </w:r>
    </w:p>
    <w:p w14:paraId="374DCE3F">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bdr w:val="single" w:color="000000" w:sz="4" w:space="0"/>
        </w:rPr>
        <w:t>（二）评估结果为“良好”等次及以上的，符合有关规定的以科技项目的形式择优予以支持；</w:t>
      </w:r>
    </w:p>
    <w:p w14:paraId="78B9B0CF">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bdr w:val="single" w:color="000000" w:sz="4" w:space="0"/>
        </w:rPr>
        <w:t>（三）评估结果“合格”等次及以上的，保留实验室称号，鼓励实验室固定人员申报科技重大专项和重点研发计划项目；</w:t>
      </w:r>
    </w:p>
    <w:p w14:paraId="52D158D2">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仿宋_GB2312" w:eastAsia="仿宋_GB2312"/>
          <w:kern w:val="0"/>
          <w:sz w:val="32"/>
          <w:szCs w:val="32"/>
          <w:bdr w:val="single" w:color="000000" w:sz="4" w:space="0"/>
        </w:rPr>
        <w:t>（四）评估结果为“基本合格”的，限期</w:t>
      </w:r>
      <w:r>
        <w:rPr>
          <w:rFonts w:ascii="Times New Roman" w:hAnsi="Times New Roman" w:eastAsia="仿宋_GB2312"/>
          <w:kern w:val="0"/>
          <w:sz w:val="32"/>
          <w:szCs w:val="32"/>
          <w:bdr w:val="single" w:color="000000" w:sz="4" w:space="0"/>
        </w:rPr>
        <w:t>1</w:t>
      </w:r>
      <w:r>
        <w:rPr>
          <w:rFonts w:hint="eastAsia" w:ascii="仿宋_GB2312" w:eastAsia="仿宋_GB2312"/>
          <w:kern w:val="0"/>
          <w:sz w:val="32"/>
          <w:szCs w:val="32"/>
          <w:bdr w:val="single" w:color="000000" w:sz="4" w:space="0"/>
        </w:rPr>
        <w:t>年整改，整改后经再次考核仍未达到“合格”等次的，取消其实验室资格；</w:t>
      </w:r>
    </w:p>
    <w:p w14:paraId="4CBA5B97">
      <w:pPr>
        <w:keepNext w:val="0"/>
        <w:keepLines w:val="0"/>
        <w:pageBreakBefore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bdr w:val="single" w:color="000000" w:sz="4" w:space="0"/>
        </w:rPr>
        <w:t>（五）评估结果为“不合格”的，直接取消其实验室资格。无正当理由不参加评估或中途退出评估的，视为自动放弃实验室资格。</w:t>
      </w:r>
    </w:p>
    <w:p w14:paraId="2BED51B3">
      <w:pPr>
        <w:keepNext w:val="0"/>
        <w:keepLines w:val="0"/>
        <w:pageBreakBefore w:val="0"/>
        <w:shd w:val="clear" w:color="auto" w:fill="auto"/>
        <w:kinsoku/>
        <w:wordWrap/>
        <w:overflowPunct/>
        <w:topLinePunct w:val="0"/>
        <w:autoSpaceDE w:val="0"/>
        <w:autoSpaceDN w:val="0"/>
        <w:bidi w:val="0"/>
        <w:adjustRightInd w:val="0"/>
        <w:spacing w:beforeAutospacing="0" w:line="560" w:lineRule="exact"/>
        <w:ind w:firstLine="640" w:firstLineChars="200"/>
        <w:jc w:val="left"/>
        <w:textAlignment w:val="auto"/>
        <w:rPr>
          <w:rFonts w:hint="eastAsia" w:ascii="宋体" w:hAnsi="宋体" w:cs="宋体"/>
          <w:color w:val="000000"/>
          <w:kern w:val="0"/>
          <w:sz w:val="24"/>
          <w:szCs w:val="24"/>
          <w:u w:val="single"/>
        </w:rPr>
      </w:pPr>
      <w:r>
        <w:rPr>
          <w:rFonts w:hint="eastAsia" w:ascii="黑体" w:hAnsi="黑体" w:eastAsia="黑体" w:cs="宋体"/>
          <w:color w:val="000000"/>
          <w:kern w:val="0"/>
          <w:sz w:val="32"/>
          <w:szCs w:val="32"/>
          <w:u w:val="single"/>
        </w:rPr>
        <w:t xml:space="preserve">第三十一条  </w:t>
      </w:r>
      <w:r>
        <w:rPr>
          <w:rFonts w:hint="eastAsia" w:ascii="仿宋_GB2312" w:hAnsi="宋体" w:eastAsia="仿宋_GB2312" w:cs="宋体"/>
          <w:color w:val="000000"/>
          <w:kern w:val="0"/>
          <w:sz w:val="32"/>
          <w:szCs w:val="32"/>
          <w:u w:val="single"/>
        </w:rPr>
        <w:t>后补助经费应单独核算，用于支持重点实验室围绕研究方向所开展的自主选题研究，可开支设备费、业务费、劳务费等与科研活动直接相关的费用，不得列支有工资性收入的人员工资、奖金、津补贴和福利。</w:t>
      </w:r>
    </w:p>
    <w:p w14:paraId="4AAFF8EB">
      <w:pPr>
        <w:keepNext w:val="0"/>
        <w:keepLines w:val="0"/>
        <w:pageBreakBefore w:val="0"/>
        <w:shd w:val="clear" w:color="auto" w:fill="auto"/>
        <w:kinsoku/>
        <w:wordWrap/>
        <w:overflowPunct/>
        <w:topLinePunct w:val="0"/>
        <w:bidi w:val="0"/>
        <w:spacing w:beforeAutospacing="0" w:line="560" w:lineRule="exact"/>
        <w:textAlignment w:val="auto"/>
        <w:rPr>
          <w:rFonts w:hint="eastAsia"/>
        </w:rPr>
      </w:pPr>
      <w:r>
        <w:rPr>
          <w:rFonts w:cs="Times New Roman"/>
          <w:szCs w:val="21"/>
        </w:rPr>
        <w:t xml:space="preserve"> </w:t>
      </w:r>
    </w:p>
    <w:p w14:paraId="1BA46E67">
      <w:pPr>
        <w:keepNext w:val="0"/>
        <w:keepLines w:val="0"/>
        <w:pageBreakBefore w:val="0"/>
        <w:shd w:val="clear" w:color="auto" w:fill="auto"/>
        <w:kinsoku/>
        <w:wordWrap/>
        <w:overflowPunct/>
        <w:topLinePunct w:val="0"/>
        <w:bidi w:val="0"/>
        <w:adjustRightInd w:val="0"/>
        <w:snapToGrid w:val="0"/>
        <w:spacing w:beforeAutospacing="0" w:line="560" w:lineRule="exact"/>
        <w:jc w:val="center"/>
        <w:textAlignment w:val="auto"/>
        <w:rPr>
          <w:rFonts w:ascii="Times New Roman" w:hAnsi="Times New Roman" w:eastAsia="黑体"/>
          <w:kern w:val="0"/>
          <w:sz w:val="32"/>
          <w:szCs w:val="32"/>
        </w:rPr>
      </w:pPr>
      <w:r>
        <w:rPr>
          <w:rFonts w:hint="eastAsia" w:ascii="黑体" w:hAnsi="黑体" w:eastAsia="黑体"/>
          <w:kern w:val="0"/>
          <w:sz w:val="32"/>
          <w:szCs w:val="32"/>
        </w:rPr>
        <w:t>第六章</w:t>
      </w:r>
      <w:r>
        <w:rPr>
          <w:rFonts w:ascii="Times New Roman" w:hAnsi="Times New Roman" w:eastAsia="黑体"/>
          <w:kern w:val="0"/>
          <w:sz w:val="32"/>
          <w:szCs w:val="32"/>
        </w:rPr>
        <w:t xml:space="preserve">  </w:t>
      </w:r>
      <w:r>
        <w:rPr>
          <w:rFonts w:hint="eastAsia" w:ascii="黑体" w:hAnsi="黑体" w:eastAsia="黑体"/>
          <w:kern w:val="0"/>
          <w:sz w:val="32"/>
          <w:szCs w:val="32"/>
        </w:rPr>
        <w:t>附</w:t>
      </w:r>
      <w:r>
        <w:rPr>
          <w:rFonts w:ascii="Times New Roman" w:hAnsi="Times New Roman" w:eastAsia="黑体"/>
          <w:kern w:val="0"/>
          <w:sz w:val="32"/>
          <w:szCs w:val="32"/>
        </w:rPr>
        <w:t xml:space="preserve">  </w:t>
      </w:r>
      <w:r>
        <w:rPr>
          <w:rFonts w:hint="eastAsia" w:ascii="黑体" w:hAnsi="黑体" w:eastAsia="黑体"/>
          <w:kern w:val="0"/>
          <w:sz w:val="32"/>
          <w:szCs w:val="32"/>
        </w:rPr>
        <w:t>则</w:t>
      </w:r>
    </w:p>
    <w:p w14:paraId="6EBE6A0D">
      <w:pPr>
        <w:keepNext w:val="0"/>
        <w:keepLines w:val="0"/>
        <w:pageBreakBefore w:val="0"/>
        <w:shd w:val="clear" w:color="auto" w:fill="auto"/>
        <w:kinsoku/>
        <w:wordWrap/>
        <w:overflowPunct/>
        <w:topLinePunct w:val="0"/>
        <w:bidi w:val="0"/>
        <w:spacing w:beforeAutospacing="0" w:line="560" w:lineRule="exact"/>
        <w:textAlignment w:val="auto"/>
      </w:pPr>
      <w:r>
        <w:rPr>
          <w:rFonts w:cs="Times New Roman"/>
          <w:szCs w:val="21"/>
        </w:rPr>
        <w:t xml:space="preserve"> </w:t>
      </w:r>
    </w:p>
    <w:p w14:paraId="3656AFCA">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第三十二条</w:t>
      </w:r>
      <w:r>
        <w:rPr>
          <w:rFonts w:ascii="Times New Roman" w:hAnsi="Times New Roman" w:eastAsia="仿宋_GB2312"/>
          <w:kern w:val="0"/>
          <w:sz w:val="32"/>
          <w:szCs w:val="32"/>
        </w:rPr>
        <w:t xml:space="preserve">  </w:t>
      </w:r>
      <w:r>
        <w:rPr>
          <w:rFonts w:hint="eastAsia" w:ascii="仿宋_GB2312" w:eastAsia="仿宋_GB2312"/>
          <w:kern w:val="0"/>
          <w:sz w:val="32"/>
          <w:szCs w:val="32"/>
        </w:rPr>
        <w:t>重点实验室统一命名为“广西</w:t>
      </w:r>
      <w:r>
        <w:rPr>
          <w:rFonts w:ascii="Times New Roman" w:hAnsi="Times New Roman" w:eastAsia="仿宋_GB2312" w:cs="Times New Roman"/>
          <w:kern w:val="0"/>
          <w:sz w:val="32"/>
          <w:szCs w:val="32"/>
        </w:rPr>
        <w:t>××</w:t>
      </w:r>
      <w:r>
        <w:rPr>
          <w:rFonts w:hint="eastAsia" w:ascii="仿宋_GB2312" w:eastAsia="仿宋_GB2312"/>
          <w:kern w:val="0"/>
          <w:sz w:val="32"/>
          <w:szCs w:val="32"/>
        </w:rPr>
        <w:t>重点实验室”，英文名称为“</w:t>
      </w:r>
      <w:r>
        <w:rPr>
          <w:rFonts w:ascii="Times New Roman" w:hAnsi="Times New Roman" w:eastAsia="仿宋_GB2312"/>
          <w:kern w:val="0"/>
          <w:sz w:val="32"/>
          <w:szCs w:val="32"/>
        </w:rPr>
        <w:t>Guangxi Key Laboratory of ××</w:t>
      </w:r>
      <w:r>
        <w:rPr>
          <w:rFonts w:hint="eastAsia" w:ascii="仿宋_GB2312" w:eastAsia="仿宋_GB2312"/>
          <w:kern w:val="0"/>
          <w:sz w:val="32"/>
          <w:szCs w:val="32"/>
        </w:rPr>
        <w:t>”。</w:t>
      </w:r>
    </w:p>
    <w:p w14:paraId="64321ADB">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第三十三条</w:t>
      </w:r>
      <w:r>
        <w:rPr>
          <w:rFonts w:ascii="Times New Roman" w:hAnsi="Times New Roman" w:eastAsia="仿宋_GB2312"/>
          <w:kern w:val="0"/>
          <w:sz w:val="32"/>
          <w:szCs w:val="32"/>
        </w:rPr>
        <w:t xml:space="preserve">  </w:t>
      </w:r>
      <w:r>
        <w:rPr>
          <w:rFonts w:hint="eastAsia" w:ascii="仿宋_GB2312" w:eastAsia="仿宋_GB2312"/>
          <w:kern w:val="0"/>
          <w:sz w:val="32"/>
          <w:szCs w:val="32"/>
        </w:rPr>
        <w:t>相关单位不得将“广西重点实验室”等字样用于广告、产品商标等商业化行为。如出现重大科研诚信问题、安全责任事故、违法违规事件等，造成严重不良社会影响、</w:t>
      </w:r>
      <w:r>
        <w:rPr>
          <w:rFonts w:hint="eastAsia" w:ascii="仿宋_GB2312" w:eastAsia="仿宋_GB2312"/>
          <w:kern w:val="0"/>
          <w:sz w:val="32"/>
          <w:szCs w:val="32"/>
          <w:u w:val="single"/>
        </w:rPr>
        <w:t>重点</w:t>
      </w:r>
      <w:r>
        <w:rPr>
          <w:rFonts w:hint="eastAsia" w:ascii="仿宋_GB2312" w:eastAsia="仿宋_GB2312"/>
          <w:kern w:val="0"/>
          <w:sz w:val="32"/>
          <w:szCs w:val="32"/>
        </w:rPr>
        <w:t>实验室无法正常运行或开展科研活动等情况，科技厅按有关规定调查处理，严重者予以撤销。</w:t>
      </w:r>
    </w:p>
    <w:p w14:paraId="7AB37663">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第三十四条</w:t>
      </w:r>
      <w:r>
        <w:rPr>
          <w:rFonts w:ascii="Times New Roman" w:hAnsi="Times New Roman" w:eastAsia="仿宋_GB2312"/>
          <w:kern w:val="0"/>
          <w:sz w:val="32"/>
          <w:szCs w:val="32"/>
        </w:rPr>
        <w:t xml:space="preserve">  </w:t>
      </w:r>
      <w:r>
        <w:rPr>
          <w:rFonts w:hint="eastAsia" w:ascii="仿宋_GB2312" w:eastAsia="仿宋_GB2312"/>
          <w:kern w:val="0"/>
          <w:sz w:val="32"/>
          <w:szCs w:val="32"/>
        </w:rPr>
        <w:t>本办法是主管部门、依托单位制定管理细则的依据。</w:t>
      </w:r>
    </w:p>
    <w:p w14:paraId="56AC7786">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Times New Roman" w:hAnsi="Times New Roman" w:eastAsia="仿宋_GB2312"/>
          <w:kern w:val="0"/>
          <w:sz w:val="32"/>
          <w:szCs w:val="32"/>
        </w:rPr>
      </w:pPr>
      <w:r>
        <w:rPr>
          <w:rFonts w:hint="eastAsia" w:ascii="黑体" w:hAnsi="黑体" w:eastAsia="黑体"/>
          <w:kern w:val="0"/>
          <w:sz w:val="32"/>
          <w:szCs w:val="32"/>
        </w:rPr>
        <w:t>第三十五条</w:t>
      </w:r>
      <w:r>
        <w:rPr>
          <w:rFonts w:ascii="Times New Roman" w:hAnsi="Times New Roman" w:eastAsia="仿宋_GB2312"/>
          <w:kern w:val="0"/>
          <w:sz w:val="32"/>
          <w:szCs w:val="32"/>
        </w:rPr>
        <w:t xml:space="preserve">  </w:t>
      </w:r>
      <w:r>
        <w:rPr>
          <w:rFonts w:hint="eastAsia" w:ascii="仿宋_GB2312" w:eastAsia="仿宋_GB2312"/>
          <w:kern w:val="0"/>
          <w:sz w:val="32"/>
          <w:szCs w:val="32"/>
        </w:rPr>
        <w:t>本办法由科技厅负责解释。</w:t>
      </w:r>
    </w:p>
    <w:p w14:paraId="1F81D3A2">
      <w:pPr>
        <w:keepNext w:val="0"/>
        <w:keepLines w:val="0"/>
        <w:pageBreakBefore w:val="0"/>
        <w:shd w:val="clear" w:color="auto" w:fill="auto"/>
        <w:kinsoku/>
        <w:wordWrap/>
        <w:overflowPunct/>
        <w:topLinePunct w:val="0"/>
        <w:bidi w:val="0"/>
        <w:adjustRightInd w:val="0"/>
        <w:snapToGrid w:val="0"/>
        <w:spacing w:beforeAutospacing="0" w:line="560" w:lineRule="exact"/>
        <w:ind w:firstLine="640" w:firstLineChars="200"/>
        <w:textAlignment w:val="auto"/>
        <w:rPr>
          <w:rFonts w:ascii="仿宋_GB2312" w:eastAsia="仿宋_GB2312"/>
          <w:kern w:val="0"/>
          <w:sz w:val="32"/>
          <w:szCs w:val="32"/>
        </w:rPr>
      </w:pPr>
      <w:r>
        <w:rPr>
          <w:rFonts w:hint="eastAsia" w:ascii="黑体" w:hAnsi="黑体" w:eastAsia="黑体"/>
          <w:kern w:val="0"/>
          <w:sz w:val="32"/>
          <w:szCs w:val="32"/>
        </w:rPr>
        <w:t>第三十六条</w:t>
      </w:r>
      <w:r>
        <w:rPr>
          <w:rFonts w:ascii="Times New Roman" w:hAnsi="Times New Roman" w:eastAsia="黑体"/>
          <w:kern w:val="0"/>
          <w:sz w:val="32"/>
          <w:szCs w:val="32"/>
        </w:rPr>
        <w:t xml:space="preserve">  </w:t>
      </w:r>
      <w:r>
        <w:rPr>
          <w:rFonts w:hint="eastAsia" w:ascii="仿宋_GB2312" w:eastAsia="仿宋_GB2312"/>
          <w:kern w:val="0"/>
          <w:sz w:val="32"/>
          <w:szCs w:val="32"/>
        </w:rPr>
        <w:t>本办法自颁布之日起施行，</w:t>
      </w:r>
      <w:r>
        <w:rPr>
          <w:rFonts w:hint="eastAsia" w:ascii="仿宋_GB2312" w:eastAsia="仿宋_GB2312"/>
          <w:kern w:val="0"/>
          <w:sz w:val="32"/>
          <w:szCs w:val="32"/>
          <w:u w:val="single"/>
        </w:rPr>
        <w:t>《广西壮族自治区重点实验室管理办法》</w:t>
      </w:r>
      <w:r>
        <w:rPr>
          <w:rFonts w:ascii="仿宋_GB2312" w:hAnsi="Times New Roman" w:eastAsia="仿宋_GB2312" w:cs="Times New Roman"/>
          <w:kern w:val="0"/>
          <w:sz w:val="32"/>
          <w:szCs w:val="32"/>
          <w:u w:val="single"/>
        </w:rPr>
        <w:t>（桂科规字〔</w:t>
      </w:r>
      <w:r>
        <w:rPr>
          <w:rFonts w:ascii="Times New Roman" w:hAnsi="Times New Roman" w:eastAsia="仿宋_GB2312" w:cs="Times New Roman"/>
          <w:kern w:val="0"/>
          <w:sz w:val="32"/>
          <w:szCs w:val="32"/>
          <w:u w:val="single"/>
        </w:rPr>
        <w:t>2025</w:t>
      </w:r>
      <w:r>
        <w:rPr>
          <w:rFonts w:ascii="仿宋_GB2312" w:hAnsi="Times New Roman" w:eastAsia="仿宋_GB2312" w:cs="Times New Roman"/>
          <w:kern w:val="0"/>
          <w:sz w:val="32"/>
          <w:szCs w:val="32"/>
          <w:u w:val="single"/>
        </w:rPr>
        <w:t>〕</w:t>
      </w:r>
      <w:r>
        <w:rPr>
          <w:rFonts w:ascii="Times New Roman" w:hAnsi="Times New Roman" w:eastAsia="仿宋_GB2312" w:cs="Times New Roman"/>
          <w:kern w:val="0"/>
          <w:sz w:val="32"/>
          <w:szCs w:val="32"/>
          <w:u w:val="single"/>
        </w:rPr>
        <w:t>12</w:t>
      </w:r>
      <w:r>
        <w:rPr>
          <w:rFonts w:ascii="仿宋_GB2312" w:hAnsi="Times New Roman" w:eastAsia="仿宋_GB2312" w:cs="Times New Roman"/>
          <w:kern w:val="0"/>
          <w:sz w:val="32"/>
          <w:szCs w:val="32"/>
          <w:u w:val="single"/>
        </w:rPr>
        <w:t>号）</w:t>
      </w:r>
      <w:r>
        <w:rPr>
          <w:rFonts w:hint="eastAsia" w:ascii="仿宋_GB2312" w:eastAsia="仿宋_GB2312"/>
          <w:kern w:val="0"/>
          <w:sz w:val="32"/>
          <w:szCs w:val="32"/>
          <w:bdr w:val="single" w:color="000000" w:sz="0" w:space="0"/>
        </w:rPr>
        <w:t>、</w:t>
      </w:r>
      <w:r>
        <w:rPr>
          <w:rFonts w:hint="eastAsia" w:ascii="仿宋_GB2312" w:eastAsia="仿宋_GB2312"/>
          <w:kern w:val="0"/>
          <w:sz w:val="32"/>
          <w:szCs w:val="32"/>
          <w:bdr w:val="single" w:color="000000" w:sz="4" w:space="0"/>
        </w:rPr>
        <w:t>《广西壮族自治区重点实验室管理办法》（桂科政字〔</w:t>
      </w:r>
      <w:r>
        <w:rPr>
          <w:rFonts w:ascii="Times New Roman" w:hAnsi="Times New Roman" w:eastAsia="仿宋_GB2312"/>
          <w:kern w:val="0"/>
          <w:sz w:val="32"/>
          <w:szCs w:val="32"/>
          <w:bdr w:val="single" w:color="000000" w:sz="4" w:space="0"/>
        </w:rPr>
        <w:t>2021</w:t>
      </w:r>
      <w:r>
        <w:rPr>
          <w:rFonts w:hint="eastAsia" w:ascii="仿宋_GB2312" w:eastAsia="仿宋_GB2312"/>
          <w:kern w:val="0"/>
          <w:sz w:val="32"/>
          <w:szCs w:val="32"/>
          <w:bdr w:val="single" w:color="000000" w:sz="4" w:space="0"/>
        </w:rPr>
        <w:t>〕</w:t>
      </w:r>
      <w:r>
        <w:rPr>
          <w:rFonts w:ascii="Times New Roman" w:hAnsi="Times New Roman" w:eastAsia="仿宋_GB2312"/>
          <w:kern w:val="0"/>
          <w:sz w:val="32"/>
          <w:szCs w:val="32"/>
          <w:bdr w:val="single" w:color="000000" w:sz="4" w:space="0"/>
        </w:rPr>
        <w:t>52</w:t>
      </w:r>
      <w:r>
        <w:rPr>
          <w:rFonts w:hint="eastAsia" w:ascii="仿宋_GB2312" w:eastAsia="仿宋_GB2312"/>
          <w:kern w:val="0"/>
          <w:sz w:val="32"/>
          <w:szCs w:val="32"/>
          <w:bdr w:val="single" w:color="000000" w:sz="4" w:space="0"/>
        </w:rPr>
        <w:t>号）和《广西壮族自治区重点实验室评估规则》（桂科基字〔</w:t>
      </w:r>
      <w:r>
        <w:rPr>
          <w:rFonts w:ascii="Times New Roman" w:hAnsi="Times New Roman" w:eastAsia="仿宋_GB2312"/>
          <w:kern w:val="0"/>
          <w:sz w:val="32"/>
          <w:szCs w:val="32"/>
          <w:bdr w:val="single" w:color="000000" w:sz="4" w:space="0"/>
        </w:rPr>
        <w:t>2017</w:t>
      </w:r>
      <w:r>
        <w:rPr>
          <w:rFonts w:hint="eastAsia" w:ascii="仿宋_GB2312" w:eastAsia="仿宋_GB2312"/>
          <w:kern w:val="0"/>
          <w:sz w:val="32"/>
          <w:szCs w:val="32"/>
          <w:bdr w:val="single" w:color="000000" w:sz="4" w:space="0"/>
        </w:rPr>
        <w:t>〕</w:t>
      </w:r>
      <w:r>
        <w:rPr>
          <w:rFonts w:ascii="Times New Roman" w:hAnsi="Times New Roman" w:eastAsia="仿宋_GB2312"/>
          <w:kern w:val="0"/>
          <w:sz w:val="32"/>
          <w:szCs w:val="32"/>
          <w:bdr w:val="single" w:color="000000" w:sz="4" w:space="0"/>
        </w:rPr>
        <w:t>89</w:t>
      </w:r>
      <w:r>
        <w:rPr>
          <w:rFonts w:hint="eastAsia" w:ascii="仿宋_GB2312" w:eastAsia="仿宋_GB2312"/>
          <w:kern w:val="0"/>
          <w:sz w:val="32"/>
          <w:szCs w:val="32"/>
          <w:bdr w:val="single" w:color="000000" w:sz="0" w:space="0"/>
        </w:rPr>
        <w:t>号）</w:t>
      </w:r>
      <w:r>
        <w:rPr>
          <w:rFonts w:hint="eastAsia" w:ascii="仿宋_GB2312" w:eastAsia="仿宋_GB2312"/>
          <w:kern w:val="0"/>
          <w:sz w:val="32"/>
          <w:szCs w:val="32"/>
        </w:rPr>
        <w:t>同时废止。</w:t>
      </w:r>
    </w:p>
    <w:p w14:paraId="742CE549">
      <w:pPr>
        <w:keepNext w:val="0"/>
        <w:keepLines w:val="0"/>
        <w:pageBreakBefore w:val="0"/>
        <w:shd w:val="clear" w:color="auto" w:fill="auto"/>
        <w:kinsoku/>
        <w:wordWrap/>
        <w:overflowPunct/>
        <w:topLinePunct w:val="0"/>
        <w:autoSpaceDE w:val="0"/>
        <w:autoSpaceDN w:val="0"/>
        <w:bidi w:val="0"/>
        <w:adjustRightInd w:val="0"/>
        <w:spacing w:beforeAutospacing="0" w:line="560" w:lineRule="exact"/>
        <w:jc w:val="left"/>
        <w:textAlignment w:val="auto"/>
        <w:rPr>
          <w:rFonts w:hint="eastAsia"/>
        </w:rPr>
      </w:pPr>
      <w:r>
        <w:rPr>
          <w:rFonts w:hint="eastAsia" w:ascii="仿宋_GB2312" w:hAnsi="宋体" w:eastAsia="仿宋_GB2312" w:cs="宋体"/>
          <w:color w:val="000000"/>
          <w:kern w:val="0"/>
          <w:sz w:val="32"/>
          <w:szCs w:val="32"/>
        </w:rPr>
        <w:t xml:space="preserve"> </w:t>
      </w:r>
      <w:bookmarkStart w:id="0" w:name="_GoBack"/>
      <w:bookmarkEnd w:id="0"/>
    </w:p>
    <w:sectPr>
      <w:footerReference r:id="rId3" w:type="default"/>
      <w:pgSz w:w="11906" w:h="16838"/>
      <w:pgMar w:top="1531" w:right="1417" w:bottom="1531" w:left="2098"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7B87">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0505"/>
              <wp:effectExtent l="0" t="0" r="0" b="0"/>
              <wp:wrapNone/>
              <wp:docPr id="1" name="文本框 16"/>
              <wp:cNvGraphicFramePr/>
              <a:graphic xmlns:a="http://schemas.openxmlformats.org/drawingml/2006/main">
                <a:graphicData uri="http://schemas.microsoft.com/office/word/2010/wordprocessingShape">
                  <wps:wsp>
                    <wps:cNvSpPr txBox="1"/>
                    <wps:spPr>
                      <a:xfrm>
                        <a:off x="0" y="0"/>
                        <a:ext cx="622300" cy="230505"/>
                      </a:xfrm>
                      <a:prstGeom prst="rect">
                        <a:avLst/>
                      </a:prstGeom>
                      <a:noFill/>
                      <a:ln>
                        <a:noFill/>
                      </a:ln>
                    </wps:spPr>
                    <wps:txbx>
                      <w:txbxContent>
                        <w:p w14:paraId="381DC106">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8.15pt;width:49pt;mso-position-horizontal:outside;mso-position-horizontal-relative:margin;mso-wrap-style:none;z-index:251659264;mso-width-relative:page;mso-height-relative:page;" filled="f" stroked="f" coordsize="21600,21600" o:gfxdata="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Si/e9EAAAADAQAADwAAAAAA&#10;AAABACAAAAAiAAAAZHJzL2Rvd25yZXYueG1sUEsBAhQAFAAAAAgAh07iQCx0Js7hAQAAvQMAAA4A&#10;AAAAAAAAAQAgAAAAIAEAAGRycy9lMm9Eb2MueG1sUEsFBgAAAAAGAAYAWQEAAHMFAAAAAA==&#10;">
              <v:fill on="f" focussize="0,0"/>
              <v:stroke on="f"/>
              <v:imagedata o:title=""/>
              <o:lock v:ext="edit" aspectratio="f"/>
              <v:textbox inset="0mm,0mm,0mm,0mm" style="mso-fit-shape-to-text:t;">
                <w:txbxContent>
                  <w:p w14:paraId="381DC106">
                    <w:pPr>
                      <w:pStyle w:val="10"/>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70</w:t>
                    </w:r>
                    <w:r>
                      <w:rPr>
                        <w:rFonts w:hint="eastAsia" w:ascii="宋体" w:cs="宋体"/>
                        <w:sz w:val="28"/>
                        <w:szCs w:val="28"/>
                      </w:rPr>
                      <w:fldChar w:fldCharType="end"/>
                    </w:r>
                    <w:r>
                      <w:rPr>
                        <w:rFonts w:hint="eastAsia" w:asci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4D"/>
    <w:rsid w:val="000003B9"/>
    <w:rsid w:val="000B46C2"/>
    <w:rsid w:val="00160A64"/>
    <w:rsid w:val="00184CE6"/>
    <w:rsid w:val="001B24E3"/>
    <w:rsid w:val="00292DAA"/>
    <w:rsid w:val="002C5F0D"/>
    <w:rsid w:val="00381D79"/>
    <w:rsid w:val="003B6F0F"/>
    <w:rsid w:val="003E1EC8"/>
    <w:rsid w:val="00506990"/>
    <w:rsid w:val="00615664"/>
    <w:rsid w:val="006660BC"/>
    <w:rsid w:val="00955AB6"/>
    <w:rsid w:val="00A54769"/>
    <w:rsid w:val="00AE7E22"/>
    <w:rsid w:val="00B40CE0"/>
    <w:rsid w:val="00D274A8"/>
    <w:rsid w:val="00D72656"/>
    <w:rsid w:val="00DD6D7F"/>
    <w:rsid w:val="00F87D0F"/>
    <w:rsid w:val="00FD1F53"/>
    <w:rsid w:val="07155879"/>
    <w:rsid w:val="08B96DB0"/>
    <w:rsid w:val="0C9244C5"/>
    <w:rsid w:val="0F4C5542"/>
    <w:rsid w:val="15E05F5F"/>
    <w:rsid w:val="21F82EFF"/>
    <w:rsid w:val="27E5F429"/>
    <w:rsid w:val="2FA945EC"/>
    <w:rsid w:val="33E7557F"/>
    <w:rsid w:val="37D6C699"/>
    <w:rsid w:val="37DDEFA1"/>
    <w:rsid w:val="3EDD408D"/>
    <w:rsid w:val="3FFFAEA7"/>
    <w:rsid w:val="4FFBDC0A"/>
    <w:rsid w:val="50F808A3"/>
    <w:rsid w:val="5EF6C42D"/>
    <w:rsid w:val="60BC2B54"/>
    <w:rsid w:val="618434D4"/>
    <w:rsid w:val="638E6AAC"/>
    <w:rsid w:val="66B7B07C"/>
    <w:rsid w:val="69CE6E20"/>
    <w:rsid w:val="6FF70CA2"/>
    <w:rsid w:val="737A6934"/>
    <w:rsid w:val="73F25484"/>
    <w:rsid w:val="75C71652"/>
    <w:rsid w:val="7D461F90"/>
    <w:rsid w:val="7DBCF896"/>
    <w:rsid w:val="7E7F6D8A"/>
    <w:rsid w:val="7FCB1FE8"/>
    <w:rsid w:val="9BFDCC1F"/>
    <w:rsid w:val="A5EB83A6"/>
    <w:rsid w:val="BE4F2F6E"/>
    <w:rsid w:val="BFDB458C"/>
    <w:rsid w:val="DFBF5EA4"/>
    <w:rsid w:val="ED88FAEF"/>
    <w:rsid w:val="F7DE8F60"/>
    <w:rsid w:val="FAFC6080"/>
    <w:rsid w:val="FD4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Arial"/>
      <w:kern w:val="2"/>
      <w:sz w:val="21"/>
      <w:szCs w:val="22"/>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uiPriority w:val="0"/>
  </w:style>
  <w:style w:type="table" w:default="1" w:styleId="1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5"/>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7">
    <w:name w:val="annotation text"/>
    <w:basedOn w:val="1"/>
    <w:uiPriority w:val="0"/>
    <w:pPr>
      <w:jc w:val="left"/>
    </w:pPr>
  </w:style>
  <w:style w:type="paragraph" w:styleId="8">
    <w:name w:val="Body Text"/>
    <w:basedOn w:val="1"/>
    <w:next w:val="9"/>
    <w:uiPriority w:val="0"/>
    <w:pPr>
      <w:spacing w:before="100" w:beforeAutospacing="1"/>
    </w:pPr>
    <w:rPr>
      <w:rFonts w:cs="Times New Roman"/>
      <w:szCs w:val="21"/>
      <w:lang w:bidi="ar-SA"/>
    </w:rPr>
  </w:style>
  <w:style w:type="paragraph" w:styleId="9">
    <w:name w:val="Title"/>
    <w:basedOn w:val="1"/>
    <w:next w:val="1"/>
    <w:qFormat/>
    <w:uiPriority w:val="0"/>
    <w:pPr>
      <w:spacing w:before="240" w:after="60"/>
      <w:jc w:val="center"/>
      <w:outlineLvl w:val="0"/>
    </w:pPr>
    <w:rPr>
      <w:rFonts w:ascii="等线 Light" w:eastAsia="等线 Light" w:cs="Times New Roman"/>
      <w:b/>
      <w:bCs/>
      <w:sz w:val="32"/>
      <w:szCs w:val="32"/>
      <w:lang w:bidi="ar-SA"/>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rPr>
      <w:sz w:val="24"/>
    </w:rPr>
  </w:style>
  <w:style w:type="paragraph" w:styleId="13">
    <w:name w:val="annotation subject"/>
    <w:basedOn w:val="7"/>
    <w:next w:val="7"/>
    <w:uiPriority w:val="0"/>
    <w:rPr>
      <w:b/>
    </w:rPr>
  </w:style>
  <w:style w:type="paragraph" w:styleId="14">
    <w:name w:val="Body Text First Indent"/>
    <w:basedOn w:val="8"/>
    <w:unhideWhenUsed/>
    <w:qFormat/>
    <w:uiPriority w:val="99"/>
    <w:pPr>
      <w:spacing w:after="0" w:line="580" w:lineRule="exact"/>
      <w:ind w:firstLine="420" w:firstLineChars="100"/>
    </w:pPr>
    <w:rPr>
      <w:rFonts w:ascii="仿宋_GB2312" w:hAnsi="宋体" w:eastAsia="仿宋_GB2312" w:cs="Times New Roman"/>
      <w:sz w:val="32"/>
      <w:szCs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annotation reference"/>
    <w:uiPriority w:val="0"/>
    <w:rPr>
      <w:sz w:val="21"/>
      <w:szCs w:val="21"/>
    </w:rPr>
  </w:style>
  <w:style w:type="paragraph" w:styleId="20">
    <w:name w:val=""/>
    <w:uiPriority w:val="0"/>
    <w:rPr>
      <w:rFonts w:cs="Arial"/>
      <w:kern w:val="2"/>
      <w:sz w:val="21"/>
      <w:szCs w:val="22"/>
      <w:lang w:val="en-US" w:eastAsia="zh-CN" w:bidi="ar-SA"/>
    </w:rPr>
  </w:style>
  <w:style w:type="paragraph" w:customStyle="1" w:styleId="21">
    <w:name w:val="正文内容"/>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4764</Words>
  <Characters>4796</Characters>
  <Lines>497</Lines>
  <Paragraphs>363</Paragraphs>
  <TotalTime>8</TotalTime>
  <ScaleCrop>false</ScaleCrop>
  <LinksUpToDate>false</LinksUpToDate>
  <CharactersWithSpaces>4863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2026-02-06T18:25:00Z</dcterms:created>
  <dc:creator>潘柳虹</dc:creator>
  <cp:lastModifiedBy>墨迹夏子</cp:lastModifiedBy>
  <cp:lastPrinted>2026-03-31T01:53:36Z</cp:lastPrinted>
  <dcterms:modified xsi:type="dcterms:W3CDTF">2026-03-30T11:04:34Z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3B0A0BE5DFC844ED9FFD911C7CFEECD0_13</vt:lpwstr>
  </property>
  <property fmtid="{D5CDD505-2E9C-101B-9397-08002B2CF9AE}" pid="4" name="KSOTemplateDocerSaveRecord">
    <vt:lpwstr>eyJoZGlkIjoiYzY5ZDFkYjAwZjNhYTM1NDBlZTczZjFiNGMyNzYxN2IiLCJ1c2VySWQiOiIzNjAwMjk3NDgifQ==</vt:lpwstr>
  </property>
</Properties>
</file>