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0FD95">
      <w:pPr>
        <w:keepNext w:val="0"/>
        <w:keepLines w:val="0"/>
        <w:pageBreakBefore w:val="0"/>
        <w:widowControl w:val="0"/>
        <w:kinsoku/>
        <w:wordWrap/>
        <w:overflowPunct/>
        <w:topLinePunct w:val="0"/>
        <w:autoSpaceDE/>
        <w:autoSpaceDN/>
        <w:bidi w:val="0"/>
        <w:spacing w:line="580" w:lineRule="exact"/>
        <w:jc w:val="left"/>
        <w:textAlignment w:val="auto"/>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lang w:bidi="ar"/>
        </w:rPr>
        <w:t>附件</w:t>
      </w:r>
      <w:r>
        <w:rPr>
          <w:rFonts w:hint="eastAsia" w:ascii="Times New Roman" w:hAnsi="Times New Roman" w:eastAsia="黑体" w:cs="Times New Roman"/>
          <w:sz w:val="32"/>
          <w:szCs w:val="32"/>
          <w:lang w:val="en-US" w:eastAsia="zh-CN" w:bidi="ar"/>
        </w:rPr>
        <w:t>8</w:t>
      </w:r>
    </w:p>
    <w:p w14:paraId="312224BA">
      <w:pPr>
        <w:keepNext w:val="0"/>
        <w:keepLines w:val="0"/>
        <w:pageBreakBefore w:val="0"/>
        <w:widowControl w:val="0"/>
        <w:kinsoku/>
        <w:wordWrap/>
        <w:overflowPunct/>
        <w:topLinePunct w:val="0"/>
        <w:autoSpaceDE/>
        <w:autoSpaceDN/>
        <w:bidi w:val="0"/>
        <w:spacing w:line="580" w:lineRule="exact"/>
        <w:textAlignment w:val="auto"/>
        <w:rPr>
          <w:rFonts w:ascii="Times New Roman" w:hAnsi="Times New Roman" w:eastAsia="仿宋" w:cs="Times New Roman"/>
          <w:bCs/>
          <w:sz w:val="32"/>
          <w:szCs w:val="32"/>
        </w:rPr>
      </w:pPr>
    </w:p>
    <w:p w14:paraId="142A8003">
      <w:pPr>
        <w:keepNext w:val="0"/>
        <w:keepLines w:val="0"/>
        <w:pageBreakBefore w:val="0"/>
        <w:widowControl w:val="0"/>
        <w:kinsoku/>
        <w:wordWrap/>
        <w:overflowPunct/>
        <w:topLinePunct w:val="0"/>
        <w:autoSpaceDE/>
        <w:autoSpaceDN/>
        <w:bidi w:val="0"/>
        <w:spacing w:line="580" w:lineRule="exact"/>
        <w:jc w:val="center"/>
        <w:textAlignment w:val="auto"/>
        <w:rPr>
          <w:rFonts w:ascii="Times New Roman" w:hAnsi="Times New Roman" w:eastAsia="方正小标宋简体" w:cs="Times New Roman"/>
          <w:bCs/>
          <w:spacing w:val="-11"/>
          <w:sz w:val="44"/>
          <w:szCs w:val="44"/>
        </w:rPr>
      </w:pPr>
      <w:r>
        <w:rPr>
          <w:rFonts w:ascii="Times New Roman" w:hAnsi="Times New Roman" w:eastAsia="方正小标宋简体" w:cs="Times New Roman"/>
          <w:sz w:val="44"/>
          <w:szCs w:val="44"/>
          <w:lang w:bidi="ar"/>
        </w:rPr>
        <w:t>《广西壮族自治区重点实验室</w:t>
      </w:r>
      <w:r>
        <w:rPr>
          <w:rFonts w:hint="eastAsia" w:ascii="Times New Roman" w:hAnsi="Times New Roman" w:eastAsia="方正小标宋简体" w:cs="Times New Roman"/>
          <w:sz w:val="44"/>
          <w:szCs w:val="44"/>
          <w:lang w:bidi="ar"/>
        </w:rPr>
        <w:t>评估规则</w:t>
      </w:r>
      <w:r>
        <w:rPr>
          <w:rFonts w:ascii="Times New Roman" w:hAnsi="Times New Roman" w:eastAsia="方正小标宋简体" w:cs="Times New Roman"/>
          <w:sz w:val="44"/>
          <w:szCs w:val="44"/>
          <w:lang w:bidi="ar"/>
        </w:rPr>
        <w:t>（征求意见稿）》</w:t>
      </w:r>
      <w:r>
        <w:rPr>
          <w:rFonts w:hint="eastAsia" w:ascii="Times New Roman" w:hAnsi="Times New Roman" w:eastAsia="方正小标宋简体" w:cs="Times New Roman"/>
          <w:bCs/>
          <w:spacing w:val="-11"/>
          <w:sz w:val="44"/>
          <w:szCs w:val="44"/>
          <w:lang w:bidi="ar"/>
        </w:rPr>
        <w:t>起草</w:t>
      </w:r>
      <w:r>
        <w:rPr>
          <w:rFonts w:ascii="Times New Roman" w:hAnsi="Times New Roman" w:eastAsia="方正小标宋简体" w:cs="Times New Roman"/>
          <w:bCs/>
          <w:spacing w:val="-11"/>
          <w:sz w:val="44"/>
          <w:szCs w:val="44"/>
          <w:lang w:bidi="ar"/>
        </w:rPr>
        <w:t>说明</w:t>
      </w:r>
    </w:p>
    <w:p w14:paraId="18FA096B">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Times New Roman" w:hAnsi="Times New Roman" w:eastAsia="方正小标宋简体" w:cs="Times New Roman"/>
          <w:bCs/>
          <w:sz w:val="44"/>
          <w:szCs w:val="44"/>
        </w:rPr>
      </w:pPr>
    </w:p>
    <w:p w14:paraId="727B8733">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为</w:t>
      </w:r>
      <w:r>
        <w:rPr>
          <w:rStyle w:val="18"/>
          <w:rFonts w:ascii="Times New Roman" w:hAnsi="Times New Roman" w:eastAsia="仿宋_GB2312" w:cs="Times New Roman"/>
          <w:b w:val="0"/>
          <w:sz w:val="32"/>
          <w:szCs w:val="32"/>
          <w:lang w:bidi="ar"/>
        </w:rPr>
        <w:t>规范和加强广西壮族自治区重点实验室</w:t>
      </w:r>
      <w:r>
        <w:rPr>
          <w:rStyle w:val="18"/>
          <w:rFonts w:hint="eastAsia" w:ascii="仿宋_GB2312" w:hAnsi="仿宋_GB2312" w:eastAsia="仿宋_GB2312" w:cs="仿宋_GB2312"/>
          <w:b w:val="0"/>
          <w:sz w:val="32"/>
          <w:szCs w:val="32"/>
          <w:lang w:bidi="ar"/>
        </w:rPr>
        <w:t>（以下简称“重点实验室”）评估工作，根据《广西壮族自治区重</w:t>
      </w:r>
      <w:r>
        <w:rPr>
          <w:rStyle w:val="18"/>
          <w:rFonts w:hint="eastAsia" w:ascii="Times New Roman" w:hAnsi="Times New Roman" w:eastAsia="仿宋_GB2312" w:cs="Times New Roman"/>
          <w:b w:val="0"/>
          <w:sz w:val="32"/>
          <w:szCs w:val="32"/>
          <w:lang w:bidi="ar"/>
        </w:rPr>
        <w:t>点实验室管理办法》有关要求，</w:t>
      </w:r>
      <w:r>
        <w:rPr>
          <w:rFonts w:ascii="Times New Roman" w:hAnsi="Times New Roman" w:eastAsia="仿宋_GB2312" w:cs="Times New Roman"/>
          <w:sz w:val="32"/>
          <w:szCs w:val="32"/>
          <w:lang w:bidi="ar"/>
        </w:rPr>
        <w:t>我厅</w:t>
      </w:r>
      <w:r>
        <w:rPr>
          <w:rFonts w:hint="eastAsia" w:ascii="Times New Roman" w:hAnsi="Times New Roman" w:eastAsia="仿宋_GB2312" w:cs="Times New Roman"/>
          <w:sz w:val="32"/>
          <w:szCs w:val="32"/>
          <w:lang w:bidi="ar"/>
        </w:rPr>
        <w:t>起草了</w:t>
      </w:r>
      <w:r>
        <w:rPr>
          <w:rFonts w:ascii="Times New Roman" w:hAnsi="Times New Roman" w:eastAsia="仿宋_GB2312" w:cs="Times New Roman"/>
          <w:sz w:val="32"/>
          <w:szCs w:val="32"/>
          <w:lang w:bidi="ar"/>
        </w:rPr>
        <w:t>《广西壮族自治区重点实验室</w:t>
      </w:r>
      <w:r>
        <w:rPr>
          <w:rFonts w:hint="eastAsia" w:ascii="Times New Roman" w:hAnsi="Times New Roman" w:eastAsia="仿宋_GB2312" w:cs="Times New Roman"/>
          <w:sz w:val="32"/>
          <w:szCs w:val="32"/>
          <w:lang w:bidi="ar"/>
        </w:rPr>
        <w:t>评估规则</w:t>
      </w:r>
      <w:r>
        <w:rPr>
          <w:rFonts w:ascii="Times New Roman" w:hAnsi="Times New Roman" w:eastAsia="仿宋_GB2312" w:cs="Times New Roman"/>
          <w:sz w:val="32"/>
          <w:szCs w:val="32"/>
          <w:lang w:bidi="ar"/>
        </w:rPr>
        <w:t>》（以下简称《评估规则》），现将有关起草情况说明如下。</w:t>
      </w:r>
    </w:p>
    <w:p w14:paraId="71F5E0B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lang w:bidi="ar"/>
        </w:rPr>
        <w:t>一、</w:t>
      </w:r>
      <w:r>
        <w:rPr>
          <w:rFonts w:hint="eastAsia" w:ascii="Times New Roman" w:hAnsi="Times New Roman" w:eastAsia="方正黑体_GBK" w:cs="Times New Roman"/>
          <w:bCs/>
          <w:sz w:val="32"/>
          <w:szCs w:val="32"/>
          <w:lang w:bidi="ar"/>
        </w:rPr>
        <w:t>起草</w:t>
      </w:r>
      <w:r>
        <w:rPr>
          <w:rFonts w:ascii="Times New Roman" w:hAnsi="Times New Roman" w:eastAsia="方正黑体_GBK" w:cs="Times New Roman"/>
          <w:bCs/>
          <w:sz w:val="32"/>
          <w:szCs w:val="32"/>
          <w:lang w:bidi="ar"/>
        </w:rPr>
        <w:t>背景</w:t>
      </w:r>
    </w:p>
    <w:p w14:paraId="26515B48">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bidi="ar"/>
        </w:rPr>
        <w:t>定期评估是重点实验室管理的重要制度要求，是推动重点实验室优化建设及良性发展的重要举措。为进一步</w:t>
      </w:r>
      <w:r>
        <w:rPr>
          <w:rFonts w:ascii="Times New Roman" w:hAnsi="Times New Roman" w:eastAsia="仿宋_GB2312" w:cs="Times New Roman"/>
          <w:bCs/>
          <w:sz w:val="32"/>
          <w:szCs w:val="32"/>
          <w:lang w:bidi="ar"/>
        </w:rPr>
        <w:t>提升</w:t>
      </w:r>
      <w:r>
        <w:rPr>
          <w:rFonts w:hint="eastAsia" w:ascii="Times New Roman" w:hAnsi="Times New Roman" w:eastAsia="仿宋_GB2312" w:cs="Times New Roman"/>
          <w:bCs/>
          <w:sz w:val="32"/>
          <w:szCs w:val="32"/>
          <w:lang w:bidi="ar"/>
        </w:rPr>
        <w:t>重点</w:t>
      </w:r>
      <w:r>
        <w:rPr>
          <w:rFonts w:ascii="Times New Roman" w:hAnsi="Times New Roman" w:eastAsia="仿宋_GB2312" w:cs="Times New Roman"/>
          <w:bCs/>
          <w:sz w:val="32"/>
          <w:szCs w:val="32"/>
          <w:lang w:bidi="ar"/>
        </w:rPr>
        <w:t>实验室建设质量与运行效能，推动其更</w:t>
      </w:r>
      <w:r>
        <w:rPr>
          <w:rFonts w:hint="eastAsia" w:ascii="Times New Roman" w:hAnsi="Times New Roman" w:eastAsia="仿宋_GB2312" w:cs="Times New Roman"/>
          <w:bCs/>
          <w:sz w:val="32"/>
          <w:szCs w:val="32"/>
          <w:lang w:eastAsia="zh-CN" w:bidi="ar"/>
        </w:rPr>
        <w:t>好地</w:t>
      </w:r>
      <w:r>
        <w:rPr>
          <w:rFonts w:ascii="Times New Roman" w:hAnsi="Times New Roman" w:eastAsia="仿宋_GB2312" w:cs="Times New Roman"/>
          <w:bCs/>
          <w:sz w:val="32"/>
          <w:szCs w:val="32"/>
          <w:lang w:bidi="ar"/>
        </w:rPr>
        <w:t>服务自治区经济社会高质量发展</w:t>
      </w:r>
      <w:r>
        <w:rPr>
          <w:rFonts w:hint="eastAsia" w:ascii="Times New Roman" w:hAnsi="Times New Roman" w:eastAsia="仿宋_GB2312" w:cs="Times New Roman"/>
          <w:bCs/>
          <w:sz w:val="32"/>
          <w:szCs w:val="32"/>
          <w:lang w:bidi="ar"/>
        </w:rPr>
        <w:t>，根据重点实验室管理有关要求，</w:t>
      </w:r>
      <w:r>
        <w:rPr>
          <w:rFonts w:hint="eastAsia" w:ascii="仿宋_GB2312" w:hAnsi="仿宋_GB2312" w:eastAsia="仿宋_GB2312" w:cs="仿宋_GB2312"/>
          <w:sz w:val="32"/>
          <w:szCs w:val="32"/>
          <w:lang w:bidi="ar"/>
        </w:rPr>
        <w:t>结合全国重点实验室管理及评估精神，我厅研究并</w:t>
      </w:r>
      <w:r>
        <w:rPr>
          <w:rFonts w:ascii="仿宋_GB2312" w:hAnsi="仿宋_GB2312" w:eastAsia="仿宋_GB2312" w:cs="仿宋_GB2312"/>
          <w:sz w:val="32"/>
          <w:szCs w:val="32"/>
          <w:lang w:bidi="ar"/>
        </w:rPr>
        <w:t>制定专门的</w:t>
      </w:r>
      <w:r>
        <w:rPr>
          <w:rFonts w:hint="eastAsia" w:ascii="仿宋_GB2312" w:hAnsi="仿宋_GB2312" w:eastAsia="仿宋_GB2312" w:cs="仿宋_GB2312"/>
          <w:sz w:val="32"/>
          <w:szCs w:val="32"/>
          <w:lang w:bidi="ar"/>
        </w:rPr>
        <w:t>《</w:t>
      </w:r>
      <w:r>
        <w:rPr>
          <w:rFonts w:ascii="仿宋_GB2312" w:hAnsi="仿宋_GB2312" w:eastAsia="仿宋_GB2312" w:cs="仿宋_GB2312"/>
          <w:sz w:val="32"/>
          <w:szCs w:val="32"/>
          <w:lang w:bidi="ar"/>
        </w:rPr>
        <w:t>评估规则</w:t>
      </w:r>
      <w:r>
        <w:rPr>
          <w:rFonts w:hint="eastAsia" w:ascii="仿宋_GB2312" w:hAnsi="仿宋_GB2312" w:eastAsia="仿宋_GB2312" w:cs="仿宋_GB2312"/>
          <w:sz w:val="32"/>
          <w:szCs w:val="32"/>
          <w:lang w:bidi="ar"/>
        </w:rPr>
        <w:t>》</w:t>
      </w:r>
      <w:r>
        <w:rPr>
          <w:rFonts w:ascii="仿宋_GB2312" w:hAnsi="仿宋_GB2312" w:eastAsia="仿宋_GB2312" w:cs="仿宋_GB2312"/>
          <w:sz w:val="32"/>
          <w:szCs w:val="32"/>
          <w:lang w:bidi="ar"/>
        </w:rPr>
        <w:t>，明确评估周期、内容、程序及结果运用等，形成制度化的评估管理体系</w:t>
      </w:r>
      <w:r>
        <w:rPr>
          <w:rFonts w:hint="eastAsia" w:ascii="仿宋_GB2312" w:hAnsi="仿宋_GB2312" w:eastAsia="仿宋_GB2312" w:cs="仿宋_GB2312"/>
          <w:sz w:val="32"/>
          <w:szCs w:val="32"/>
          <w:lang w:bidi="ar"/>
        </w:rPr>
        <w:t>。</w:t>
      </w:r>
      <w:r>
        <w:rPr>
          <w:rFonts w:ascii="Times New Roman" w:hAnsi="Times New Roman" w:eastAsia="仿宋_GB2312" w:cs="Times New Roman"/>
          <w:bCs/>
          <w:sz w:val="32"/>
          <w:szCs w:val="32"/>
          <w:lang w:bidi="ar"/>
        </w:rPr>
        <w:t>评估</w:t>
      </w:r>
      <w:r>
        <w:rPr>
          <w:rFonts w:hint="eastAsia" w:ascii="Times New Roman" w:hAnsi="Times New Roman" w:eastAsia="仿宋_GB2312" w:cs="Times New Roman"/>
          <w:bCs/>
          <w:sz w:val="32"/>
          <w:szCs w:val="32"/>
          <w:lang w:bidi="ar"/>
        </w:rPr>
        <w:t>工作</w:t>
      </w:r>
      <w:r>
        <w:rPr>
          <w:rFonts w:ascii="Times New Roman" w:hAnsi="Times New Roman" w:eastAsia="仿宋_GB2312" w:cs="Times New Roman"/>
          <w:kern w:val="0"/>
          <w:sz w:val="32"/>
          <w:szCs w:val="32"/>
        </w:rPr>
        <w:t>坚持科学合理、客观公正、以评促建</w:t>
      </w:r>
      <w:r>
        <w:rPr>
          <w:rFonts w:hint="eastAsia" w:ascii="Times New Roman" w:hAnsi="Times New Roman" w:eastAsia="仿宋_GB2312" w:cs="Times New Roman"/>
          <w:kern w:val="0"/>
          <w:sz w:val="32"/>
          <w:szCs w:val="32"/>
        </w:rPr>
        <w:t>的基本原则，</w:t>
      </w:r>
      <w:r>
        <w:rPr>
          <w:rFonts w:hint="eastAsia" w:ascii="Times New Roman" w:hAnsi="Times New Roman" w:eastAsia="仿宋_GB2312" w:cs="Times New Roman"/>
          <w:kern w:val="0"/>
          <w:sz w:val="32"/>
          <w:szCs w:val="32"/>
          <w:lang w:bidi="ar"/>
        </w:rPr>
        <w:t>旨在通过制度化、规范化的评估，实现对重点实验室建设运行情况的周期性检验、动态管理和持续改进</w:t>
      </w:r>
      <w:r>
        <w:rPr>
          <w:rFonts w:ascii="Times New Roman" w:hAnsi="Times New Roman" w:eastAsia="仿宋_GB2312" w:cs="Times New Roman"/>
          <w:bCs/>
          <w:sz w:val="32"/>
          <w:szCs w:val="32"/>
          <w:lang w:bidi="ar"/>
        </w:rPr>
        <w:t>。评估规则</w:t>
      </w:r>
      <w:r>
        <w:rPr>
          <w:rFonts w:hint="eastAsia" w:ascii="Times New Roman" w:hAnsi="Times New Roman" w:eastAsia="仿宋_GB2312" w:cs="Times New Roman"/>
          <w:bCs/>
          <w:sz w:val="32"/>
          <w:szCs w:val="32"/>
          <w:lang w:bidi="ar"/>
        </w:rPr>
        <w:t>充分</w:t>
      </w:r>
      <w:r>
        <w:rPr>
          <w:rFonts w:ascii="Times New Roman" w:hAnsi="Times New Roman" w:eastAsia="仿宋_GB2312" w:cs="Times New Roman"/>
          <w:bCs/>
          <w:sz w:val="32"/>
          <w:szCs w:val="32"/>
          <w:lang w:bidi="ar"/>
        </w:rPr>
        <w:t>领会吸收目前我区</w:t>
      </w:r>
      <w:r>
        <w:rPr>
          <w:rFonts w:hint="eastAsia" w:ascii="Times New Roman" w:hAnsi="Times New Roman" w:eastAsia="仿宋_GB2312" w:cs="Times New Roman"/>
          <w:bCs/>
          <w:sz w:val="32"/>
          <w:szCs w:val="32"/>
          <w:lang w:bidi="ar"/>
        </w:rPr>
        <w:t>对自治区级创新平台基地建设发展的管理要求及全国重点实验室评估要求，并注重与</w:t>
      </w:r>
      <w:r>
        <w:rPr>
          <w:rFonts w:ascii="Times New Roman" w:hAnsi="Times New Roman" w:eastAsia="仿宋_GB2312" w:cs="Times New Roman"/>
          <w:bCs/>
          <w:sz w:val="32"/>
          <w:szCs w:val="32"/>
          <w:lang w:bidi="ar"/>
        </w:rPr>
        <w:t>重点实验室</w:t>
      </w:r>
      <w:r>
        <w:rPr>
          <w:rFonts w:hint="eastAsia" w:ascii="Times New Roman" w:hAnsi="Times New Roman" w:eastAsia="仿宋_GB2312" w:cs="Times New Roman"/>
          <w:bCs/>
          <w:sz w:val="32"/>
          <w:szCs w:val="32"/>
          <w:lang w:bidi="ar"/>
        </w:rPr>
        <w:t>管理办法</w:t>
      </w:r>
      <w:r>
        <w:rPr>
          <w:rFonts w:ascii="Times New Roman" w:hAnsi="Times New Roman" w:eastAsia="仿宋_GB2312" w:cs="Times New Roman"/>
          <w:bCs/>
          <w:sz w:val="32"/>
          <w:szCs w:val="32"/>
          <w:lang w:bidi="ar"/>
        </w:rPr>
        <w:t>保持连续性，确保</w:t>
      </w:r>
      <w:r>
        <w:rPr>
          <w:rFonts w:hint="eastAsia" w:ascii="Times New Roman" w:hAnsi="Times New Roman" w:eastAsia="仿宋_GB2312" w:cs="Times New Roman"/>
          <w:bCs/>
          <w:sz w:val="32"/>
          <w:szCs w:val="32"/>
          <w:lang w:bidi="ar"/>
        </w:rPr>
        <w:t>两个文件</w:t>
      </w:r>
      <w:r>
        <w:rPr>
          <w:rFonts w:ascii="Times New Roman" w:hAnsi="Times New Roman" w:eastAsia="仿宋_GB2312" w:cs="Times New Roman"/>
          <w:bCs/>
          <w:sz w:val="32"/>
          <w:szCs w:val="32"/>
          <w:lang w:bidi="ar"/>
        </w:rPr>
        <w:t>有效衔接、协调推进。</w:t>
      </w:r>
    </w:p>
    <w:p w14:paraId="6974C4E3">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lang w:bidi="ar"/>
        </w:rPr>
        <w:t>二</w:t>
      </w:r>
      <w:r>
        <w:rPr>
          <w:rFonts w:ascii="Times New Roman" w:hAnsi="Times New Roman" w:eastAsia="方正黑体_GBK" w:cs="Times New Roman"/>
          <w:bCs/>
          <w:sz w:val="32"/>
          <w:szCs w:val="32"/>
          <w:lang w:bidi="ar"/>
        </w:rPr>
        <w:t>、</w:t>
      </w:r>
      <w:r>
        <w:rPr>
          <w:rFonts w:hint="eastAsia" w:ascii="Times New Roman" w:hAnsi="Times New Roman" w:eastAsia="方正黑体_GBK" w:cs="Times New Roman"/>
          <w:bCs/>
          <w:sz w:val="32"/>
          <w:szCs w:val="32"/>
          <w:lang w:bidi="ar"/>
        </w:rPr>
        <w:t>起草依据</w:t>
      </w:r>
    </w:p>
    <w:p w14:paraId="45F06F24">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（一）《广西壮族自治区重点实验室管理办法》相关规定。</w:t>
      </w:r>
    </w:p>
    <w:p w14:paraId="001E1AEE">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（一）全国重点实验室管理及评估相关规定。</w:t>
      </w:r>
    </w:p>
    <w:p w14:paraId="32C837DF">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lang w:bidi="ar"/>
        </w:rPr>
        <w:t>三、主要内容</w:t>
      </w:r>
    </w:p>
    <w:p w14:paraId="5303C58E">
      <w:pPr>
        <w:keepNext w:val="0"/>
        <w:keepLines w:val="0"/>
        <w:pageBreakBefore w:val="0"/>
        <w:widowControl w:val="0"/>
        <w:kinsoku/>
        <w:wordWrap/>
        <w:overflowPunct/>
        <w:topLinePunct w:val="0"/>
        <w:autoSpaceDE/>
        <w:autoSpaceDN/>
        <w:bidi w:val="0"/>
        <w:snapToGrid w:val="0"/>
        <w:spacing w:line="580" w:lineRule="exact"/>
        <w:ind w:firstLine="640"/>
        <w:textAlignment w:val="auto"/>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w:t>
      </w:r>
      <w:r>
        <w:rPr>
          <w:rFonts w:ascii="Times New Roman" w:hAnsi="Times New Roman" w:eastAsia="仿宋_GB2312" w:cs="Times New Roman"/>
          <w:sz w:val="32"/>
          <w:szCs w:val="32"/>
          <w:lang w:bidi="ar"/>
        </w:rPr>
        <w:t>评估规则</w:t>
      </w:r>
      <w:r>
        <w:rPr>
          <w:rFonts w:ascii="Times New Roman" w:hAnsi="Times New Roman" w:eastAsia="仿宋_GB2312" w:cs="Times New Roman"/>
          <w:kern w:val="0"/>
          <w:sz w:val="32"/>
          <w:szCs w:val="32"/>
          <w:lang w:bidi="ar"/>
        </w:rPr>
        <w:t>》分为总则、职责、</w:t>
      </w:r>
      <w:r>
        <w:rPr>
          <w:rFonts w:hint="eastAsia" w:ascii="Times New Roman" w:hAnsi="Times New Roman" w:eastAsia="仿宋_GB2312" w:cs="Times New Roman"/>
          <w:kern w:val="0"/>
          <w:sz w:val="32"/>
          <w:szCs w:val="32"/>
          <w:lang w:bidi="ar"/>
        </w:rPr>
        <w:t>评估内容</w:t>
      </w:r>
      <w:r>
        <w:rPr>
          <w:rFonts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bidi="ar"/>
        </w:rPr>
        <w:t>评估程序</w:t>
      </w:r>
      <w:r>
        <w:rPr>
          <w:rFonts w:ascii="Times New Roman" w:hAnsi="Times New Roman" w:eastAsia="仿宋_GB2312" w:cs="Times New Roman"/>
          <w:kern w:val="0"/>
          <w:sz w:val="32"/>
          <w:szCs w:val="32"/>
          <w:lang w:bidi="ar"/>
        </w:rPr>
        <w:t>、评估</w:t>
      </w:r>
      <w:r>
        <w:rPr>
          <w:rFonts w:hint="eastAsia" w:ascii="Times New Roman" w:hAnsi="Times New Roman" w:eastAsia="仿宋_GB2312" w:cs="Times New Roman"/>
          <w:kern w:val="0"/>
          <w:sz w:val="32"/>
          <w:szCs w:val="32"/>
          <w:lang w:bidi="ar"/>
        </w:rPr>
        <w:t>结果</w:t>
      </w:r>
      <w:r>
        <w:rPr>
          <w:rFonts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bidi="ar"/>
        </w:rPr>
        <w:t>监督管理、</w:t>
      </w:r>
      <w:r>
        <w:rPr>
          <w:rFonts w:ascii="Times New Roman" w:hAnsi="Times New Roman" w:eastAsia="仿宋_GB2312" w:cs="Times New Roman"/>
          <w:kern w:val="0"/>
          <w:sz w:val="32"/>
          <w:szCs w:val="32"/>
          <w:lang w:bidi="ar"/>
        </w:rPr>
        <w:t>附则</w:t>
      </w:r>
      <w:r>
        <w:rPr>
          <w:rFonts w:hint="eastAsia" w:ascii="Times New Roman" w:hAnsi="Times New Roman" w:eastAsia="仿宋_GB2312" w:cs="Times New Roman"/>
          <w:kern w:val="0"/>
          <w:sz w:val="32"/>
          <w:szCs w:val="32"/>
          <w:lang w:bidi="ar"/>
        </w:rPr>
        <w:t>七</w:t>
      </w:r>
      <w:r>
        <w:rPr>
          <w:rFonts w:ascii="Times New Roman" w:hAnsi="Times New Roman" w:eastAsia="仿宋_GB2312" w:cs="Times New Roman"/>
          <w:kern w:val="0"/>
          <w:sz w:val="32"/>
          <w:szCs w:val="32"/>
          <w:lang w:bidi="ar"/>
        </w:rPr>
        <w:t>大章节，共</w:t>
      </w:r>
      <w:r>
        <w:rPr>
          <w:rFonts w:hint="eastAsia" w:ascii="Times New Roman" w:hAnsi="Times New Roman" w:eastAsia="仿宋_GB2312" w:cs="Times New Roman"/>
          <w:kern w:val="0"/>
          <w:sz w:val="32"/>
          <w:szCs w:val="32"/>
          <w:lang w:bidi="ar"/>
        </w:rPr>
        <w:t>二十</w:t>
      </w:r>
      <w:r>
        <w:rPr>
          <w:rFonts w:hint="eastAsia" w:ascii="Times New Roman" w:hAnsi="Times New Roman" w:eastAsia="仿宋_GB2312" w:cs="Times New Roman"/>
          <w:kern w:val="0"/>
          <w:sz w:val="32"/>
          <w:szCs w:val="32"/>
          <w:lang w:val="en-US" w:eastAsia="zh-CN" w:bidi="ar"/>
        </w:rPr>
        <w:t>五</w:t>
      </w:r>
      <w:r>
        <w:rPr>
          <w:rFonts w:ascii="Times New Roman" w:hAnsi="Times New Roman" w:eastAsia="仿宋_GB2312" w:cs="Times New Roman"/>
          <w:kern w:val="0"/>
          <w:sz w:val="32"/>
          <w:szCs w:val="32"/>
          <w:lang w:bidi="ar"/>
        </w:rPr>
        <w:t>个条款。主要内容如下：</w:t>
      </w:r>
    </w:p>
    <w:p w14:paraId="0F716E3E">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（一）总则：</w:t>
      </w:r>
      <w:r>
        <w:rPr>
          <w:rFonts w:hint="eastAsia" w:ascii="Times New Roman" w:hAnsi="Times New Roman" w:eastAsia="仿宋_GB2312" w:cs="Times New Roman"/>
          <w:sz w:val="32"/>
          <w:szCs w:val="32"/>
        </w:rPr>
        <w:t>明确了规则制定目的、评估性质、评估周期及参评范围，强调定期评估与年度考核有机结合。</w:t>
      </w:r>
    </w:p>
    <w:p w14:paraId="6EC23FDE">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（二）职责：</w:t>
      </w:r>
      <w:r>
        <w:rPr>
          <w:rFonts w:hint="eastAsia" w:ascii="Times New Roman" w:hAnsi="Times New Roman" w:eastAsia="仿宋_GB2312" w:cs="Times New Roman"/>
          <w:sz w:val="32"/>
          <w:szCs w:val="32"/>
        </w:rPr>
        <w:t>明确科技厅、主管部门、依托单位及重点实验室、受委托第三方评估机构在评估工作中各自的主要职责，构建权责清晰的管理体系。</w:t>
      </w:r>
    </w:p>
    <w:p w14:paraId="7910A651">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（三）评估内容：</w:t>
      </w:r>
      <w:r>
        <w:rPr>
          <w:rFonts w:hint="eastAsia" w:ascii="Times New Roman" w:hAnsi="Times New Roman" w:eastAsia="仿宋_GB2312" w:cs="Times New Roman"/>
          <w:sz w:val="32"/>
          <w:szCs w:val="32"/>
        </w:rPr>
        <w:t>明确</w:t>
      </w:r>
      <w:r>
        <w:rPr>
          <w:rFonts w:ascii="Times New Roman" w:hAnsi="Times New Roman" w:eastAsia="仿宋_GB2312" w:cs="Times New Roman"/>
          <w:sz w:val="32"/>
          <w:szCs w:val="32"/>
        </w:rPr>
        <w:t>了评估材料的内容与要求（包括年度总结、绩效评价、评估总结等），</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评估指标体系涵盖</w:t>
      </w:r>
      <w:r>
        <w:rPr>
          <w:rFonts w:hint="eastAsia" w:ascii="Times New Roman" w:hAnsi="Times New Roman" w:eastAsia="仿宋_GB2312" w:cs="Times New Roman"/>
          <w:sz w:val="32"/>
          <w:szCs w:val="32"/>
        </w:rPr>
        <w:t>内容及</w:t>
      </w:r>
      <w:r>
        <w:rPr>
          <w:rFonts w:ascii="Times New Roman" w:hAnsi="Times New Roman" w:eastAsia="仿宋_GB2312" w:cs="Times New Roman"/>
          <w:sz w:val="32"/>
          <w:szCs w:val="32"/>
        </w:rPr>
        <w:t>分类设置</w:t>
      </w:r>
      <w:r>
        <w:rPr>
          <w:rFonts w:hint="eastAsia" w:ascii="Times New Roman" w:hAnsi="Times New Roman" w:eastAsia="仿宋_GB2312" w:cs="Times New Roman"/>
          <w:sz w:val="32"/>
          <w:szCs w:val="32"/>
        </w:rPr>
        <w:t>原则，</w:t>
      </w:r>
      <w:r>
        <w:rPr>
          <w:rFonts w:ascii="Times New Roman" w:hAnsi="Times New Roman" w:eastAsia="仿宋_GB2312" w:cs="Times New Roman"/>
          <w:sz w:val="32"/>
          <w:szCs w:val="32"/>
        </w:rPr>
        <w:t>强调科研成果的关联性与规范性标注要求</w:t>
      </w:r>
      <w:r>
        <w:rPr>
          <w:rFonts w:hint="eastAsia" w:ascii="Times New Roman" w:hAnsi="Times New Roman" w:eastAsia="仿宋_GB2312" w:cs="Times New Roman"/>
          <w:sz w:val="32"/>
          <w:szCs w:val="32"/>
        </w:rPr>
        <w:t>。</w:t>
      </w:r>
    </w:p>
    <w:p w14:paraId="05AC2976">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（四）评估程序：</w:t>
      </w:r>
      <w:r>
        <w:rPr>
          <w:rFonts w:ascii="Times New Roman" w:hAnsi="Times New Roman" w:eastAsia="仿宋_GB2312" w:cs="Times New Roman"/>
          <w:sz w:val="32"/>
          <w:szCs w:val="32"/>
        </w:rPr>
        <w:t>明确了评估工作</w:t>
      </w:r>
      <w:r>
        <w:rPr>
          <w:rFonts w:hint="eastAsia" w:ascii="Times New Roman" w:hAnsi="Times New Roman" w:eastAsia="仿宋_GB2312" w:cs="Times New Roman"/>
          <w:sz w:val="32"/>
          <w:szCs w:val="32"/>
        </w:rPr>
        <w:t>主要程序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w:t>
      </w:r>
      <w:r>
        <w:rPr>
          <w:rFonts w:ascii="Times New Roman" w:hAnsi="Times New Roman" w:eastAsia="仿宋_GB2312" w:cs="Times New Roman"/>
          <w:sz w:val="32"/>
          <w:szCs w:val="32"/>
        </w:rPr>
        <w:t>采取会议初评、现场考察和综合评议相结合的方式进行，确保评估过程科学、公正</w:t>
      </w:r>
      <w:r>
        <w:rPr>
          <w:rFonts w:hint="eastAsia" w:ascii="Times New Roman" w:hAnsi="Times New Roman" w:eastAsia="仿宋_GB2312" w:cs="Times New Roman"/>
          <w:sz w:val="32"/>
          <w:szCs w:val="32"/>
        </w:rPr>
        <w:t>。</w:t>
      </w:r>
    </w:p>
    <w:p w14:paraId="7DE832D3">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（五）评估结果：</w:t>
      </w:r>
      <w:r>
        <w:rPr>
          <w:rFonts w:ascii="Times New Roman" w:hAnsi="Times New Roman" w:eastAsia="仿宋_GB2312" w:cs="Times New Roman"/>
          <w:sz w:val="32"/>
          <w:szCs w:val="32"/>
        </w:rPr>
        <w:t>将评估结果分为优秀、良好、合格、基本合格、不合格五档，并规定了各档次的比例控制。强化结果应用，明确不同档次对应的奖惩措施，包括推荐申报国家级平台、</w:t>
      </w:r>
      <w:r>
        <w:rPr>
          <w:rFonts w:hint="eastAsia" w:ascii="Times New Roman" w:hAnsi="Times New Roman" w:eastAsia="仿宋_GB2312" w:cs="Times New Roman"/>
          <w:sz w:val="32"/>
          <w:szCs w:val="32"/>
        </w:rPr>
        <w:t>后补助</w:t>
      </w:r>
      <w:r>
        <w:rPr>
          <w:rFonts w:ascii="Times New Roman" w:hAnsi="Times New Roman" w:eastAsia="仿宋_GB2312" w:cs="Times New Roman"/>
          <w:sz w:val="32"/>
          <w:szCs w:val="32"/>
        </w:rPr>
        <w:t>经费支持、限期整改乃至取消资格等</w:t>
      </w:r>
      <w:r>
        <w:rPr>
          <w:rFonts w:hint="eastAsia" w:ascii="Times New Roman" w:hAnsi="Times New Roman" w:eastAsia="仿宋_GB2312" w:cs="Times New Roman"/>
          <w:sz w:val="32"/>
          <w:szCs w:val="32"/>
        </w:rPr>
        <w:t>。</w:t>
      </w:r>
    </w:p>
    <w:p w14:paraId="1027B639">
      <w:pPr>
        <w:keepNext w:val="0"/>
        <w:keepLines w:val="0"/>
        <w:pageBreakBefore w:val="0"/>
        <w:widowControl w:val="0"/>
        <w:kinsoku/>
        <w:wordWrap/>
        <w:overflowPunct/>
        <w:topLinePunct w:val="0"/>
        <w:autoSpaceDE/>
        <w:autoSpaceDN/>
        <w:bidi w:val="0"/>
        <w:snapToGrid w:val="0"/>
        <w:spacing w:line="58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（六）监督管理：</w:t>
      </w:r>
      <w:r>
        <w:rPr>
          <w:rFonts w:ascii="Times New Roman" w:hAnsi="Times New Roman" w:eastAsia="仿宋_GB2312" w:cs="Times New Roman"/>
          <w:sz w:val="32"/>
          <w:szCs w:val="32"/>
        </w:rPr>
        <w:t>建立评估工作全流程监督机制，严明评估纪律，规范异议处理与投诉举报程序，并实行评估结果信息公开制度</w:t>
      </w:r>
      <w:r>
        <w:rPr>
          <w:rFonts w:hint="eastAsia" w:ascii="Times New Roman" w:hAnsi="Times New Roman" w:eastAsia="仿宋_GB2312" w:cs="Times New Roman"/>
          <w:sz w:val="32"/>
          <w:szCs w:val="32"/>
        </w:rPr>
        <w:t>。</w:t>
      </w:r>
    </w:p>
    <w:p w14:paraId="0AAE635E">
      <w:pPr>
        <w:keepNext w:val="0"/>
        <w:keepLines w:val="0"/>
        <w:pageBreakBefore w:val="0"/>
        <w:widowControl w:val="0"/>
        <w:kinsoku/>
        <w:wordWrap/>
        <w:overflowPunct/>
        <w:topLinePunct w:val="0"/>
        <w:autoSpaceDE/>
        <w:autoSpaceDN/>
        <w:bidi w:val="0"/>
        <w:snapToGrid w:val="0"/>
        <w:spacing w:line="58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（六）附则：</w:t>
      </w:r>
      <w:r>
        <w:rPr>
          <w:rFonts w:hint="eastAsia" w:ascii="Times New Roman" w:hAnsi="Times New Roman" w:eastAsia="仿宋_GB2312" w:cs="Times New Roman"/>
          <w:sz w:val="32"/>
          <w:szCs w:val="32"/>
        </w:rPr>
        <w:t>对评估经费保障、解释权及施行日期等进行规定。</w:t>
      </w:r>
    </w:p>
    <w:p w14:paraId="77926232">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lang w:bidi="ar"/>
        </w:rPr>
        <w:t>四</w:t>
      </w:r>
      <w:r>
        <w:rPr>
          <w:rFonts w:ascii="Times New Roman" w:hAnsi="Times New Roman" w:eastAsia="方正黑体_GBK" w:cs="Times New Roman"/>
          <w:bCs/>
          <w:sz w:val="32"/>
          <w:szCs w:val="32"/>
          <w:lang w:bidi="ar"/>
        </w:rPr>
        <w:t>、主要</w:t>
      </w:r>
      <w:r>
        <w:rPr>
          <w:rFonts w:hint="eastAsia" w:ascii="Times New Roman" w:hAnsi="Times New Roman" w:eastAsia="方正黑体_GBK" w:cs="Times New Roman"/>
          <w:bCs/>
          <w:sz w:val="32"/>
          <w:szCs w:val="32"/>
          <w:lang w:bidi="ar"/>
        </w:rPr>
        <w:t>特点</w:t>
      </w:r>
    </w:p>
    <w:p w14:paraId="768D6A74">
      <w:pPr>
        <w:keepNext w:val="0"/>
        <w:keepLines w:val="0"/>
        <w:pageBreakBefore w:val="0"/>
        <w:widowControl w:val="0"/>
        <w:kinsoku/>
        <w:wordWrap/>
        <w:overflowPunct/>
        <w:topLinePunct w:val="0"/>
        <w:autoSpaceDE/>
        <w:autoSpaceDN/>
        <w:bidi w:val="0"/>
        <w:snapToGrid w:val="0"/>
        <w:spacing w:line="580" w:lineRule="exact"/>
        <w:ind w:firstLine="64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b/>
          <w:bCs/>
          <w:kern w:val="0"/>
          <w:sz w:val="32"/>
          <w:szCs w:val="32"/>
          <w:lang w:bidi="ar"/>
        </w:rPr>
        <w:t>一是明确各方职责。</w:t>
      </w:r>
      <w:r>
        <w:rPr>
          <w:rFonts w:hint="eastAsia" w:ascii="Times New Roman" w:hAnsi="Times New Roman" w:eastAsia="仿宋_GB2312" w:cs="仿宋_GB2312"/>
          <w:kern w:val="0"/>
          <w:sz w:val="32"/>
          <w:szCs w:val="32"/>
          <w:lang w:bidi="ar"/>
        </w:rPr>
        <w:t>厘清了科技厅、主管部门、依托单位、重点实验室及评估机构等各方责任，明确科技厅统筹组织、第三方机构具体实施、依托单位与实验室落实主体责任的评估机制。</w:t>
      </w:r>
    </w:p>
    <w:p w14:paraId="04D37E99">
      <w:pPr>
        <w:keepNext w:val="0"/>
        <w:keepLines w:val="0"/>
        <w:pageBreakBefore w:val="0"/>
        <w:widowControl w:val="0"/>
        <w:kinsoku/>
        <w:wordWrap/>
        <w:overflowPunct/>
        <w:topLinePunct w:val="0"/>
        <w:autoSpaceDE/>
        <w:autoSpaceDN/>
        <w:bidi w:val="0"/>
        <w:snapToGrid w:val="0"/>
        <w:spacing w:line="580" w:lineRule="exact"/>
        <w:ind w:firstLine="640"/>
        <w:textAlignment w:val="auto"/>
        <w:rPr>
          <w:rFonts w:ascii="Times New Roman" w:hAnsi="Times New Roman" w:eastAsia="仿宋_GB2312" w:cs="仿宋_GB2312"/>
          <w:kern w:val="0"/>
          <w:sz w:val="32"/>
          <w:szCs w:val="32"/>
          <w:lang w:bidi="ar"/>
        </w:rPr>
      </w:pPr>
      <w:r>
        <w:rPr>
          <w:rFonts w:hint="eastAsia" w:ascii="Times New Roman" w:hAnsi="Times New Roman" w:eastAsia="仿宋_GB2312" w:cs="仿宋_GB2312"/>
          <w:b/>
          <w:bCs/>
          <w:kern w:val="0"/>
          <w:sz w:val="32"/>
          <w:szCs w:val="32"/>
          <w:lang w:bidi="ar"/>
        </w:rPr>
        <w:t>二是突出分类评价。</w:t>
      </w:r>
      <w:r>
        <w:rPr>
          <w:rFonts w:hint="eastAsia" w:ascii="Times New Roman" w:hAnsi="Times New Roman" w:eastAsia="仿宋_GB2312" w:cs="仿宋_GB2312"/>
          <w:kern w:val="0"/>
          <w:sz w:val="32"/>
          <w:szCs w:val="32"/>
          <w:lang w:bidi="ar"/>
        </w:rPr>
        <w:t>评估指标分为“总体定位与方向目标、研究水平与代表性成果贡献、团队建设与人才培养、学术活动与开放交流、运行管理与条件保障”等五个方面，</w:t>
      </w:r>
      <w:r>
        <w:rPr>
          <w:rFonts w:ascii="Times New Roman" w:hAnsi="Times New Roman" w:eastAsia="仿宋_GB2312" w:cs="仿宋_GB2312"/>
          <w:kern w:val="0"/>
          <w:sz w:val="32"/>
          <w:szCs w:val="32"/>
          <w:lang w:bidi="ar"/>
        </w:rPr>
        <w:t>针对学科类与产业类重点实验室的不同功能定位，分别设置了差异化的评估指标体系</w:t>
      </w:r>
      <w:r>
        <w:rPr>
          <w:rFonts w:hint="eastAsia" w:ascii="Times New Roman" w:hAnsi="Times New Roman" w:eastAsia="仿宋_GB2312" w:cs="仿宋_GB2312"/>
          <w:kern w:val="0"/>
          <w:sz w:val="32"/>
          <w:szCs w:val="32"/>
          <w:lang w:bidi="ar"/>
        </w:rPr>
        <w:t>，其中学科类</w:t>
      </w:r>
      <w:r>
        <w:rPr>
          <w:rFonts w:hint="eastAsia" w:ascii="仿宋_GB2312" w:eastAsia="仿宋_GB2312" w:cs="仿宋_GB2312"/>
          <w:snapToGrid w:val="0"/>
          <w:kern w:val="0"/>
          <w:sz w:val="32"/>
          <w:szCs w:val="32"/>
          <w:shd w:val="clear" w:color="auto" w:fill="FFFFFF"/>
          <w:lang w:bidi="ar"/>
        </w:rPr>
        <w:t>突出对学科前沿引领与重大标志性成果评价，产业类突出服务自治区十大支柱及特色</w:t>
      </w:r>
      <w:r>
        <w:rPr>
          <w:rFonts w:hint="eastAsia" w:ascii="仿宋_GB2312" w:eastAsia="仿宋_GB2312" w:cs="仿宋_GB2312"/>
          <w:snapToGrid w:val="0"/>
          <w:kern w:val="0"/>
          <w:sz w:val="32"/>
          <w:szCs w:val="32"/>
          <w:shd w:val="clear" w:color="auto" w:fill="FFFFFF"/>
          <w:lang w:eastAsia="zh-CN" w:bidi="ar"/>
        </w:rPr>
        <w:t>亟须</w:t>
      </w:r>
      <w:r>
        <w:rPr>
          <w:rFonts w:hint="eastAsia" w:ascii="仿宋_GB2312" w:eastAsia="仿宋_GB2312" w:cs="仿宋_GB2312"/>
          <w:snapToGrid w:val="0"/>
          <w:kern w:val="0"/>
          <w:sz w:val="32"/>
          <w:szCs w:val="32"/>
          <w:shd w:val="clear" w:color="auto" w:fill="FFFFFF"/>
          <w:lang w:bidi="ar"/>
        </w:rPr>
        <w:t>产业的应用导向。</w:t>
      </w:r>
      <w:r>
        <w:rPr>
          <w:rFonts w:ascii="Times New Roman" w:hAnsi="Times New Roman" w:eastAsia="仿宋_GB2312" w:cs="仿宋_GB2312"/>
          <w:kern w:val="0"/>
          <w:sz w:val="32"/>
          <w:szCs w:val="32"/>
          <w:lang w:bidi="ar"/>
        </w:rPr>
        <w:t>提高了评估的针对性与科学性</w:t>
      </w:r>
      <w:r>
        <w:rPr>
          <w:rFonts w:hint="eastAsia" w:ascii="Times New Roman" w:hAnsi="Times New Roman" w:eastAsia="仿宋_GB2312" w:cs="仿宋_GB2312"/>
          <w:kern w:val="0"/>
          <w:sz w:val="32"/>
          <w:szCs w:val="32"/>
          <w:lang w:bidi="ar"/>
        </w:rPr>
        <w:t>。</w:t>
      </w:r>
    </w:p>
    <w:p w14:paraId="10B50441">
      <w:pPr>
        <w:keepNext w:val="0"/>
        <w:keepLines w:val="0"/>
        <w:pageBreakBefore w:val="0"/>
        <w:widowControl w:val="0"/>
        <w:kinsoku/>
        <w:wordWrap/>
        <w:overflowPunct/>
        <w:topLinePunct w:val="0"/>
        <w:autoSpaceDE/>
        <w:autoSpaceDN/>
        <w:bidi w:val="0"/>
        <w:snapToGrid w:val="0"/>
        <w:spacing w:line="580" w:lineRule="exact"/>
        <w:ind w:firstLine="640"/>
        <w:textAlignment w:val="auto"/>
        <w:rPr>
          <w:rFonts w:ascii="Times New Roman" w:hAnsi="Times New Roman" w:eastAsia="仿宋_GB2312" w:cs="仿宋_GB2312"/>
          <w:b/>
          <w:bCs/>
          <w:kern w:val="0"/>
          <w:sz w:val="32"/>
          <w:szCs w:val="32"/>
          <w:lang w:bidi="ar"/>
        </w:rPr>
      </w:pPr>
      <w:r>
        <w:rPr>
          <w:rFonts w:hint="eastAsia" w:ascii="Times New Roman" w:hAnsi="Times New Roman" w:eastAsia="仿宋_GB2312" w:cs="仿宋_GB2312"/>
          <w:b/>
          <w:bCs/>
          <w:kern w:val="0"/>
          <w:sz w:val="32"/>
          <w:szCs w:val="32"/>
          <w:lang w:bidi="ar"/>
        </w:rPr>
        <w:t>三是突出代表性成果评价导向</w:t>
      </w:r>
      <w:r>
        <w:rPr>
          <w:rFonts w:hint="eastAsia" w:ascii="Times New Roman" w:hAnsi="Times New Roman" w:eastAsia="仿宋_GB2312" w:cs="仿宋_GB2312"/>
          <w:kern w:val="0"/>
          <w:sz w:val="32"/>
          <w:szCs w:val="32"/>
          <w:lang w:bidi="ar"/>
        </w:rPr>
        <w:t>。强调评估总结应重点凝练3至5项代表性成果（第十条），并充分说明原创性和学术贡献，以及解决重大科学问题和关键技术难题的效能等，作为重点实验室评估的重要指标之一。</w:t>
      </w:r>
      <w:r>
        <w:rPr>
          <w:rFonts w:ascii="Times New Roman" w:hAnsi="Times New Roman" w:eastAsia="仿宋_GB2312" w:cs="仿宋_GB2312"/>
          <w:kern w:val="0"/>
          <w:sz w:val="32"/>
          <w:szCs w:val="32"/>
          <w:lang w:bidi="ar"/>
        </w:rPr>
        <w:t>评估指标权重向“研究水平与代表性成果贡献”倾斜（占比50%）</w:t>
      </w:r>
      <w:r>
        <w:rPr>
          <w:rFonts w:hint="eastAsia" w:ascii="Times New Roman" w:hAnsi="Times New Roman" w:eastAsia="仿宋_GB2312" w:cs="仿宋_GB2312"/>
          <w:kern w:val="0"/>
          <w:sz w:val="32"/>
          <w:szCs w:val="32"/>
          <w:lang w:bidi="ar"/>
        </w:rPr>
        <w:t>，</w:t>
      </w:r>
      <w:r>
        <w:rPr>
          <w:rFonts w:ascii="Times New Roman" w:hAnsi="Times New Roman" w:eastAsia="仿宋_GB2312" w:cs="仿宋_GB2312"/>
          <w:kern w:val="0"/>
          <w:sz w:val="32"/>
          <w:szCs w:val="32"/>
          <w:lang w:bidi="ar"/>
        </w:rPr>
        <w:t>着重</w:t>
      </w:r>
      <w:r>
        <w:rPr>
          <w:rFonts w:hint="eastAsia" w:ascii="Times New Roman" w:hAnsi="Times New Roman" w:eastAsia="仿宋_GB2312" w:cs="仿宋_GB2312"/>
          <w:kern w:val="0"/>
          <w:sz w:val="32"/>
          <w:szCs w:val="32"/>
          <w:lang w:eastAsia="zh-CN" w:bidi="ar"/>
        </w:rPr>
        <w:t>考查</w:t>
      </w:r>
      <w:r>
        <w:rPr>
          <w:rFonts w:hint="eastAsia" w:ascii="Times New Roman" w:hAnsi="Times New Roman" w:eastAsia="仿宋_GB2312" w:cs="仿宋_GB2312"/>
          <w:kern w:val="0"/>
          <w:sz w:val="32"/>
          <w:szCs w:val="32"/>
          <w:lang w:bidi="ar"/>
        </w:rPr>
        <w:t>重点</w:t>
      </w:r>
      <w:r>
        <w:rPr>
          <w:rFonts w:ascii="Times New Roman" w:hAnsi="Times New Roman" w:eastAsia="仿宋_GB2312" w:cs="仿宋_GB2312"/>
          <w:kern w:val="0"/>
          <w:sz w:val="32"/>
          <w:szCs w:val="32"/>
          <w:lang w:bidi="ar"/>
        </w:rPr>
        <w:t>实验室在原始创新、关键技术突破、推动学科或产业发展等方面的实际贡献</w:t>
      </w:r>
      <w:r>
        <w:rPr>
          <w:rFonts w:hint="eastAsia" w:ascii="Times New Roman" w:hAnsi="Times New Roman" w:eastAsia="仿宋_GB2312" w:cs="仿宋_GB2312"/>
          <w:kern w:val="0"/>
          <w:sz w:val="32"/>
          <w:szCs w:val="32"/>
          <w:lang w:bidi="ar"/>
        </w:rPr>
        <w:t>。</w:t>
      </w:r>
    </w:p>
    <w:p w14:paraId="33F2F6AD">
      <w:pPr>
        <w:keepNext w:val="0"/>
        <w:keepLines w:val="0"/>
        <w:pageBreakBefore w:val="0"/>
        <w:widowControl w:val="0"/>
        <w:kinsoku/>
        <w:wordWrap/>
        <w:overflowPunct/>
        <w:topLinePunct w:val="0"/>
        <w:autoSpaceDE/>
        <w:autoSpaceDN/>
        <w:bidi w:val="0"/>
        <w:snapToGrid w:val="0"/>
        <w:spacing w:line="580" w:lineRule="exact"/>
        <w:ind w:firstLine="640"/>
        <w:textAlignment w:val="auto"/>
        <w:rPr>
          <w:rFonts w:ascii="Times New Roman" w:hAnsi="Times New Roman" w:eastAsia="仿宋_GB2312" w:cs="仿宋_GB2312"/>
          <w:kern w:val="0"/>
          <w:sz w:val="32"/>
          <w:szCs w:val="32"/>
          <w:lang w:bidi="ar"/>
        </w:rPr>
      </w:pPr>
      <w:r>
        <w:rPr>
          <w:rFonts w:hint="eastAsia" w:ascii="Times New Roman" w:hAnsi="Times New Roman" w:eastAsia="仿宋_GB2312" w:cs="仿宋_GB2312"/>
          <w:b/>
          <w:bCs/>
          <w:kern w:val="0"/>
          <w:sz w:val="32"/>
          <w:szCs w:val="32"/>
          <w:lang w:bidi="ar"/>
        </w:rPr>
        <w:t>四是强化评估结果应用</w:t>
      </w:r>
      <w:r>
        <w:rPr>
          <w:rFonts w:hint="eastAsia" w:ascii="Times New Roman" w:hAnsi="Times New Roman" w:eastAsia="仿宋_GB2312" w:cs="仿宋_GB2312"/>
          <w:kern w:val="0"/>
          <w:sz w:val="32"/>
          <w:szCs w:val="32"/>
          <w:lang w:bidi="ar"/>
        </w:rPr>
        <w:t>。评估结果分为优秀、良好、合格、基本合格、不合格五档，并明确各档次比例要求，增强区分度与管理弹性。强化结果应用，明确各档次对应的支持、整改与退出机制，如“优秀”实验室可推荐申报国家级平台，“良好”以上</w:t>
      </w:r>
      <w:r>
        <w:rPr>
          <w:rFonts w:ascii="仿宋_GB2312" w:eastAsia="仿宋_GB2312"/>
          <w:kern w:val="0"/>
          <w:sz w:val="32"/>
          <w:szCs w:val="32"/>
        </w:rPr>
        <w:t>予以奖励性后补助专项经费支持</w:t>
      </w:r>
      <w:r>
        <w:rPr>
          <w:rFonts w:hint="eastAsia" w:ascii="仿宋_GB2312" w:eastAsia="仿宋_GB2312"/>
          <w:kern w:val="0"/>
          <w:sz w:val="32"/>
          <w:szCs w:val="32"/>
        </w:rPr>
        <w:t>，“</w:t>
      </w:r>
      <w:r>
        <w:rPr>
          <w:rFonts w:hint="eastAsia" w:ascii="Times New Roman" w:hAnsi="Times New Roman" w:eastAsia="仿宋_GB2312" w:cs="仿宋_GB2312"/>
          <w:kern w:val="0"/>
          <w:sz w:val="32"/>
          <w:szCs w:val="32"/>
          <w:lang w:bidi="ar"/>
        </w:rPr>
        <w:t>基本合格</w:t>
      </w:r>
      <w:r>
        <w:rPr>
          <w:rFonts w:hint="eastAsia" w:ascii="仿宋_GB2312" w:eastAsia="仿宋_GB2312"/>
          <w:kern w:val="0"/>
          <w:sz w:val="32"/>
          <w:szCs w:val="32"/>
        </w:rPr>
        <w:t>”</w:t>
      </w:r>
      <w:r>
        <w:rPr>
          <w:rFonts w:hint="eastAsia" w:ascii="Times New Roman" w:hAnsi="Times New Roman" w:eastAsia="仿宋_GB2312" w:cs="仿宋_GB2312"/>
          <w:kern w:val="0"/>
          <w:sz w:val="32"/>
          <w:szCs w:val="32"/>
          <w:lang w:bidi="ar"/>
        </w:rPr>
        <w:t>限期整改，“不合格”直接取消资格。</w:t>
      </w:r>
    </w:p>
    <w:p w14:paraId="67E17616">
      <w:pPr>
        <w:keepNext w:val="0"/>
        <w:keepLines w:val="0"/>
        <w:pageBreakBefore w:val="0"/>
        <w:widowControl w:val="0"/>
        <w:kinsoku/>
        <w:wordWrap/>
        <w:overflowPunct/>
        <w:topLinePunct w:val="0"/>
        <w:autoSpaceDE/>
        <w:autoSpaceDN/>
        <w:bidi w:val="0"/>
        <w:snapToGrid w:val="0"/>
        <w:spacing w:line="580" w:lineRule="exact"/>
        <w:ind w:firstLine="640"/>
        <w:textAlignment w:val="auto"/>
        <w:sectPr>
          <w:footerReference r:id="rId3" w:type="default"/>
          <w:pgSz w:w="11906" w:h="16838"/>
          <w:pgMar w:top="2098" w:right="1531" w:bottom="1417" w:left="1531" w:header="851" w:footer="1417" w:gutter="0"/>
          <w:paperSrc/>
          <w:pgNumType w:fmt="decimal"/>
          <w:cols w:space="720" w:num="1"/>
          <w:rtlGutter w:val="0"/>
          <w:docGrid w:type="lines" w:linePitch="312" w:charSpace="0"/>
        </w:sectPr>
      </w:pPr>
      <w:r>
        <w:rPr>
          <w:rFonts w:hint="eastAsia" w:ascii="Times New Roman" w:hAnsi="Times New Roman" w:eastAsia="仿宋_GB2312" w:cs="仿宋_GB2312"/>
          <w:b/>
          <w:bCs/>
          <w:kern w:val="0"/>
          <w:sz w:val="32"/>
          <w:szCs w:val="32"/>
          <w:lang w:bidi="ar"/>
        </w:rPr>
        <w:t>五是强化监督管理与约束。</w:t>
      </w:r>
      <w:r>
        <w:rPr>
          <w:rFonts w:hint="eastAsia" w:ascii="Times New Roman" w:hAnsi="Times New Roman" w:eastAsia="仿宋_GB2312" w:cs="仿宋_GB2312"/>
          <w:kern w:val="0"/>
          <w:sz w:val="32"/>
          <w:szCs w:val="32"/>
          <w:lang w:bidi="ar"/>
        </w:rPr>
        <w:t>明确对评估工作建立</w:t>
      </w:r>
      <w:r>
        <w:rPr>
          <w:rFonts w:hint="eastAsia" w:ascii="Times New Roman" w:hAnsi="Times New Roman" w:eastAsia="仿宋_GB2312" w:cs="仿宋_GB2312"/>
          <w:kern w:val="0"/>
          <w:sz w:val="32"/>
          <w:szCs w:val="32"/>
          <w:lang w:eastAsia="zh-CN" w:bidi="ar"/>
        </w:rPr>
        <w:t>全过程监督</w:t>
      </w:r>
      <w:r>
        <w:rPr>
          <w:rFonts w:hint="eastAsia" w:ascii="Times New Roman" w:hAnsi="Times New Roman" w:eastAsia="仿宋_GB2312" w:cs="仿宋_GB2312"/>
          <w:kern w:val="0"/>
          <w:sz w:val="32"/>
          <w:szCs w:val="32"/>
          <w:lang w:bidi="ar"/>
        </w:rPr>
        <w:t>、异议处理与信息公开制度。对各类主体在评估中提出纪律要求，严禁材料造假、请托行为等，保障评估公正性。</w:t>
      </w:r>
      <w:bookmarkStart w:id="0" w:name="_GoBack"/>
      <w:bookmarkEnd w:id="0"/>
    </w:p>
    <w:p w14:paraId="51ACBF10">
      <w:pPr>
        <w:pStyle w:val="2"/>
        <w:rPr>
          <w:rFonts w:hint="eastAsia"/>
        </w:rPr>
      </w:pPr>
    </w:p>
    <w:sectPr>
      <w:footerReference r:id="rId4"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0CAD">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300" cy="230505"/>
              <wp:effectExtent l="0" t="0" r="0" b="0"/>
              <wp:wrapNone/>
              <wp:docPr id="2" name="文本框 18"/>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5840A6E2">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8.15pt;width:49pt;mso-position-horizontal:outside;mso-position-horizontal-relative:margin;mso-wrap-style:none;z-index:251660288;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ov3vRAAAAAwEAAA8AAAAA&#10;AAAAAQAgAAAAIgAAAGRycy9kb3ducmV2LnhtbFBLAQIUABQAAAAIAIdO4kDotCgb4gEAAL0DAAAO&#10;AAAAAAAAAAEAIAAAACABAABkcnMvZTJvRG9jLnhtbFBLBQYAAAAABgAGAFkBAAB0BQAAAAA=&#10;">
              <v:fill on="f" focussize="0,0"/>
              <v:stroke on="f"/>
              <v:imagedata o:title=""/>
              <o:lock v:ext="edit" aspectratio="f"/>
              <v:textbox inset="0mm,0mm,0mm,0mm" style="mso-fit-shape-to-text:t;">
                <w:txbxContent>
                  <w:p w14:paraId="5840A6E2">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F48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6681041E">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6681041E">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0C9244C5"/>
    <w:rsid w:val="0F4C5542"/>
    <w:rsid w:val="15E05F5F"/>
    <w:rsid w:val="21F82EFF"/>
    <w:rsid w:val="27E5F429"/>
    <w:rsid w:val="2FA945EC"/>
    <w:rsid w:val="33E7557F"/>
    <w:rsid w:val="37D6C699"/>
    <w:rsid w:val="37DDEFA1"/>
    <w:rsid w:val="3A41500A"/>
    <w:rsid w:val="3EDD408D"/>
    <w:rsid w:val="3FFFAEA7"/>
    <w:rsid w:val="4B23653D"/>
    <w:rsid w:val="4FFBDC0A"/>
    <w:rsid w:val="50F808A3"/>
    <w:rsid w:val="5EF6C42D"/>
    <w:rsid w:val="60BC2B54"/>
    <w:rsid w:val="618434D4"/>
    <w:rsid w:val="638E6AAC"/>
    <w:rsid w:val="66B7B07C"/>
    <w:rsid w:val="6FF70CA2"/>
    <w:rsid w:val="729130E1"/>
    <w:rsid w:val="737A6934"/>
    <w:rsid w:val="73F25484"/>
    <w:rsid w:val="75C71652"/>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2911</Words>
  <Characters>2932</Characters>
  <Lines>497</Lines>
  <Paragraphs>363</Paragraphs>
  <TotalTime>8</TotalTime>
  <ScaleCrop>false</ScaleCrop>
  <LinksUpToDate>false</LinksUpToDate>
  <CharactersWithSpaces>2982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2026-03-30T11:16:57Z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51B61051A32F4A4190E4FE513933212C_13</vt:lpwstr>
  </property>
  <property fmtid="{D5CDD505-2E9C-101B-9397-08002B2CF9AE}" pid="4" name="KSOTemplateDocerSaveRecord">
    <vt:lpwstr>eyJoZGlkIjoiYzY5ZDFkYjAwZjNhYTM1NDBlZTczZjFiNGMyNzYxN2IiLCJ1c2VySWQiOiIzNjAwMjk3NDgifQ==</vt:lpwstr>
  </property>
</Properties>
</file>