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56" w:rsidRDefault="00687B0C">
      <w:pPr>
        <w:pStyle w:val="a9"/>
        <w:rPr>
          <w:rFonts w:cs="方正小标宋简体"/>
        </w:rPr>
      </w:pPr>
      <w:bookmarkStart w:id="0" w:name="_GoBack"/>
      <w:r w:rsidRPr="00687B0C">
        <w:rPr>
          <w:rFonts w:cs="方正小标宋简体" w:hint="eastAsia"/>
        </w:rPr>
        <w:t>《关于破除科技评价中“唯论文”不良导向的若干措施（试行）（征求意见稿）》</w:t>
      </w:r>
      <w:bookmarkEnd w:id="0"/>
      <w:r w:rsidR="006E58F5">
        <w:rPr>
          <w:rFonts w:cs="方正小标宋简体" w:hint="eastAsia"/>
        </w:rPr>
        <w:t>修改意见建议采纳情况</w:t>
      </w:r>
    </w:p>
    <w:p w:rsidR="00CE0456" w:rsidRDefault="00CE0456">
      <w:pPr>
        <w:pStyle w:val="a9"/>
        <w:rPr>
          <w:rFonts w:cs="方正小标宋简体"/>
        </w:rPr>
      </w:pPr>
    </w:p>
    <w:p w:rsidR="00CE0456" w:rsidRDefault="006E58F5">
      <w:pPr>
        <w:ind w:firstLine="640"/>
      </w:pPr>
      <w:r>
        <w:rPr>
          <w:rFonts w:hint="eastAsia"/>
        </w:rPr>
        <w:t>2021</w:t>
      </w:r>
      <w:r>
        <w:rPr>
          <w:rFonts w:hint="eastAsia"/>
        </w:rPr>
        <w:t>年</w:t>
      </w:r>
      <w:r>
        <w:rPr>
          <w:rFonts w:hint="eastAsia"/>
        </w:rPr>
        <w:t>3</w:t>
      </w:r>
      <w:r>
        <w:rPr>
          <w:rFonts w:hint="eastAsia"/>
        </w:rPr>
        <w:t>月</w:t>
      </w:r>
      <w:r>
        <w:rPr>
          <w:rFonts w:hint="eastAsia"/>
        </w:rPr>
        <w:t>12-19</w:t>
      </w:r>
      <w:r>
        <w:rPr>
          <w:rFonts w:hint="eastAsia"/>
        </w:rPr>
        <w:t>日，我厅发布关于公开征求《关于破除科技评价中“唯论文”不良导向的若干措施（试行征求意见稿）》修改意见的通告，面向社会公开征求意见，共收集到</w:t>
      </w:r>
      <w:r>
        <w:rPr>
          <w:rFonts w:hint="eastAsia"/>
        </w:rPr>
        <w:t>11</w:t>
      </w:r>
      <w:r>
        <w:rPr>
          <w:rFonts w:hint="eastAsia"/>
        </w:rPr>
        <w:t>家单位（个人）的</w:t>
      </w:r>
      <w:r>
        <w:rPr>
          <w:rFonts w:hint="eastAsia"/>
        </w:rPr>
        <w:t>15</w:t>
      </w:r>
      <w:r>
        <w:rPr>
          <w:rFonts w:hint="eastAsia"/>
        </w:rPr>
        <w:t>条意见，</w:t>
      </w:r>
      <w:r>
        <w:rPr>
          <w:rFonts w:ascii="Times New Roman" w:hAnsi="Times New Roman" w:cs="Times New Roman" w:hint="eastAsia"/>
          <w:szCs w:val="32"/>
        </w:rPr>
        <w:t>采纳</w:t>
      </w:r>
      <w:r>
        <w:rPr>
          <w:rFonts w:hint="eastAsia"/>
        </w:rPr>
        <w:t>5</w:t>
      </w:r>
      <w:r>
        <w:rPr>
          <w:rFonts w:hint="eastAsia"/>
        </w:rPr>
        <w:t>条</w:t>
      </w:r>
      <w:r>
        <w:rPr>
          <w:rFonts w:hint="eastAsia"/>
        </w:rPr>
        <w:t>,</w:t>
      </w:r>
      <w:r>
        <w:rPr>
          <w:rFonts w:hint="eastAsia"/>
        </w:rPr>
        <w:t>不采纳</w:t>
      </w:r>
      <w:r>
        <w:rPr>
          <w:rFonts w:hint="eastAsia"/>
        </w:rPr>
        <w:t>10</w:t>
      </w:r>
      <w:r>
        <w:rPr>
          <w:rFonts w:hint="eastAsia"/>
        </w:rPr>
        <w:t>条</w:t>
      </w:r>
      <w:r>
        <w:rPr>
          <w:rFonts w:hint="eastAsia"/>
        </w:rPr>
        <w:t>。根据要求，现公开征求意见采纳情况表。</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6614"/>
        <w:gridCol w:w="1420"/>
        <w:gridCol w:w="3913"/>
      </w:tblGrid>
      <w:tr w:rsidR="00CE0456">
        <w:trPr>
          <w:trHeight w:val="612"/>
          <w:tblHeader/>
        </w:trPr>
        <w:tc>
          <w:tcPr>
            <w:tcW w:w="439" w:type="pct"/>
            <w:vAlign w:val="center"/>
          </w:tcPr>
          <w:p w:rsidR="00CE0456" w:rsidRDefault="006E58F5">
            <w:pPr>
              <w:widowControl/>
              <w:suppressAutoHyphens/>
              <w:adjustRightInd w:val="0"/>
              <w:snapToGrid w:val="0"/>
              <w:spacing w:line="300" w:lineRule="exact"/>
              <w:ind w:firstLineChars="0" w:firstLine="0"/>
              <w:jc w:val="center"/>
              <w:rPr>
                <w:rFonts w:ascii="Times New Roman" w:eastAsia="黑体" w:hAnsi="Times New Roman"/>
                <w:bCs/>
                <w:color w:val="000000"/>
                <w:kern w:val="0"/>
                <w:sz w:val="24"/>
              </w:rPr>
            </w:pPr>
            <w:r>
              <w:rPr>
                <w:rFonts w:ascii="Times New Roman" w:eastAsia="黑体" w:hAnsi="Times New Roman" w:hint="eastAsia"/>
                <w:bCs/>
                <w:color w:val="000000"/>
                <w:kern w:val="0"/>
                <w:sz w:val="24"/>
                <w:lang w:eastAsia="ar-SA"/>
              </w:rPr>
              <w:t>序号</w:t>
            </w:r>
          </w:p>
        </w:tc>
        <w:tc>
          <w:tcPr>
            <w:tcW w:w="2525" w:type="pct"/>
            <w:vAlign w:val="center"/>
          </w:tcPr>
          <w:p w:rsidR="00CE0456" w:rsidRDefault="006E58F5">
            <w:pPr>
              <w:widowControl/>
              <w:suppressAutoHyphens/>
              <w:adjustRightInd w:val="0"/>
              <w:snapToGrid w:val="0"/>
              <w:spacing w:line="300" w:lineRule="exact"/>
              <w:ind w:firstLineChars="0" w:firstLine="0"/>
              <w:jc w:val="center"/>
              <w:rPr>
                <w:rFonts w:ascii="Times New Roman" w:eastAsia="黑体" w:hAnsi="Times New Roman"/>
                <w:bCs/>
                <w:color w:val="000000"/>
                <w:kern w:val="0"/>
                <w:sz w:val="24"/>
              </w:rPr>
            </w:pPr>
            <w:r>
              <w:rPr>
                <w:rFonts w:ascii="Times New Roman" w:eastAsia="黑体" w:hAnsi="Times New Roman" w:hint="eastAsia"/>
                <w:bCs/>
                <w:color w:val="000000"/>
                <w:kern w:val="0"/>
                <w:sz w:val="24"/>
                <w:lang w:eastAsia="ar-SA"/>
              </w:rPr>
              <w:t>反馈意见</w:t>
            </w:r>
          </w:p>
        </w:tc>
        <w:tc>
          <w:tcPr>
            <w:tcW w:w="542" w:type="pct"/>
            <w:vAlign w:val="center"/>
          </w:tcPr>
          <w:p w:rsidR="00CE0456" w:rsidRDefault="006E58F5">
            <w:pPr>
              <w:widowControl/>
              <w:suppressAutoHyphens/>
              <w:adjustRightInd w:val="0"/>
              <w:snapToGrid w:val="0"/>
              <w:spacing w:line="300" w:lineRule="exact"/>
              <w:ind w:firstLineChars="0" w:firstLine="0"/>
              <w:jc w:val="center"/>
              <w:rPr>
                <w:rFonts w:ascii="Times New Roman" w:eastAsia="黑体" w:hAnsi="Times New Roman"/>
                <w:bCs/>
                <w:color w:val="000000"/>
                <w:kern w:val="0"/>
                <w:sz w:val="24"/>
              </w:rPr>
            </w:pPr>
            <w:r>
              <w:rPr>
                <w:rFonts w:ascii="Times New Roman" w:eastAsia="黑体" w:hAnsi="Times New Roman" w:hint="eastAsia"/>
                <w:bCs/>
                <w:color w:val="000000"/>
                <w:kern w:val="0"/>
                <w:sz w:val="24"/>
              </w:rPr>
              <w:t>采纳情况</w:t>
            </w:r>
          </w:p>
        </w:tc>
        <w:tc>
          <w:tcPr>
            <w:tcW w:w="1494" w:type="pct"/>
            <w:vAlign w:val="center"/>
          </w:tcPr>
          <w:p w:rsidR="00CE0456" w:rsidRDefault="006E58F5">
            <w:pPr>
              <w:widowControl/>
              <w:suppressAutoHyphens/>
              <w:adjustRightInd w:val="0"/>
              <w:snapToGrid w:val="0"/>
              <w:spacing w:line="300" w:lineRule="exact"/>
              <w:ind w:firstLineChars="0" w:firstLine="0"/>
              <w:jc w:val="center"/>
              <w:rPr>
                <w:rFonts w:ascii="Times New Roman" w:eastAsia="黑体" w:hAnsi="Times New Roman"/>
                <w:bCs/>
                <w:color w:val="000000"/>
                <w:kern w:val="0"/>
                <w:sz w:val="24"/>
              </w:rPr>
            </w:pPr>
            <w:r>
              <w:rPr>
                <w:rFonts w:ascii="Times New Roman" w:eastAsia="黑体" w:hAnsi="Times New Roman" w:hint="eastAsia"/>
                <w:bCs/>
                <w:color w:val="000000"/>
                <w:kern w:val="0"/>
                <w:sz w:val="24"/>
              </w:rPr>
              <w:t>说明</w:t>
            </w:r>
          </w:p>
        </w:tc>
      </w:tr>
      <w:tr w:rsidR="00CE0456">
        <w:trPr>
          <w:trHeight w:val="3866"/>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proofErr w:type="gramStart"/>
            <w:r>
              <w:rPr>
                <w:rFonts w:cs="仿宋_GB2312" w:hint="eastAsia"/>
                <w:kern w:val="0"/>
                <w:sz w:val="24"/>
              </w:rPr>
              <w:t>一</w:t>
            </w:r>
            <w:proofErr w:type="gramEnd"/>
          </w:p>
        </w:tc>
        <w:tc>
          <w:tcPr>
            <w:tcW w:w="2525" w:type="pct"/>
            <w:vAlign w:val="center"/>
          </w:tcPr>
          <w:p w:rsidR="00CE0456" w:rsidRDefault="006E58F5">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第（四）条中“</w:t>
            </w:r>
            <w:r>
              <w:rPr>
                <w:rFonts w:ascii="Times New Roman" w:hAnsi="Times New Roman"/>
                <w:color w:val="000000"/>
                <w:kern w:val="1"/>
                <w:sz w:val="24"/>
              </w:rPr>
              <w:t>不把论文</w:t>
            </w:r>
            <w:r>
              <w:rPr>
                <w:rFonts w:ascii="Times New Roman" w:hAnsi="Times New Roman" w:hint="eastAsia"/>
                <w:color w:val="000000"/>
                <w:kern w:val="1"/>
                <w:sz w:val="24"/>
              </w:rPr>
              <w:t>作为</w:t>
            </w:r>
            <w:r>
              <w:rPr>
                <w:rFonts w:ascii="Times New Roman" w:hAnsi="Times New Roman"/>
                <w:color w:val="000000"/>
                <w:kern w:val="1"/>
                <w:sz w:val="24"/>
              </w:rPr>
              <w:t>……</w:t>
            </w:r>
            <w:r>
              <w:rPr>
                <w:rFonts w:ascii="Times New Roman" w:hAnsi="Times New Roman" w:hint="eastAsia"/>
                <w:color w:val="000000"/>
                <w:kern w:val="1"/>
                <w:sz w:val="24"/>
              </w:rPr>
              <w:t>考核</w:t>
            </w:r>
            <w:r>
              <w:rPr>
                <w:rFonts w:ascii="Times New Roman" w:hAnsi="Times New Roman"/>
                <w:color w:val="000000"/>
                <w:kern w:val="1"/>
                <w:sz w:val="24"/>
              </w:rPr>
              <w:t>依据和评价指标</w:t>
            </w:r>
            <w:r>
              <w:rPr>
                <w:rFonts w:ascii="Times New Roman" w:hAnsi="Times New Roman" w:hint="eastAsia"/>
                <w:color w:val="000000"/>
                <w:kern w:val="1"/>
                <w:sz w:val="24"/>
              </w:rPr>
              <w:t>”</w:t>
            </w:r>
            <w:r>
              <w:rPr>
                <w:rFonts w:ascii="Times New Roman" w:hAnsi="Times New Roman"/>
                <w:color w:val="000000"/>
                <w:kern w:val="1"/>
                <w:sz w:val="24"/>
              </w:rPr>
              <w:t>、</w:t>
            </w:r>
            <w:r>
              <w:rPr>
                <w:rFonts w:ascii="Times New Roman" w:hAnsi="Times New Roman" w:hint="eastAsia"/>
                <w:color w:val="000000"/>
                <w:kern w:val="1"/>
                <w:sz w:val="24"/>
              </w:rPr>
              <w:t>“不得要求在申报书、任务书、年度报告等材料中填报论文发表情况”的</w:t>
            </w:r>
            <w:r>
              <w:rPr>
                <w:rFonts w:ascii="Times New Roman" w:hAnsi="Times New Roman"/>
                <w:color w:val="000000"/>
                <w:kern w:val="1"/>
                <w:sz w:val="24"/>
              </w:rPr>
              <w:t>提法</w:t>
            </w:r>
            <w:r>
              <w:rPr>
                <w:rFonts w:ascii="Times New Roman" w:hAnsi="Times New Roman" w:hint="eastAsia"/>
                <w:color w:val="000000"/>
                <w:kern w:val="1"/>
                <w:sz w:val="24"/>
              </w:rPr>
              <w:t>与第（三）条中“</w:t>
            </w:r>
            <w:r>
              <w:rPr>
                <w:rFonts w:ascii="Times New Roman" w:hAnsi="Times New Roman"/>
                <w:color w:val="000000"/>
                <w:kern w:val="1"/>
                <w:sz w:val="24"/>
              </w:rPr>
              <w:t>标志性成果</w:t>
            </w:r>
            <w:r>
              <w:rPr>
                <w:rFonts w:ascii="Times New Roman" w:hAnsi="Times New Roman"/>
                <w:color w:val="000000"/>
                <w:kern w:val="1"/>
                <w:sz w:val="24"/>
              </w:rPr>
              <w:t>”B</w:t>
            </w:r>
            <w:r>
              <w:rPr>
                <w:rFonts w:ascii="Times New Roman" w:hAnsi="Times New Roman" w:hint="eastAsia"/>
                <w:color w:val="000000"/>
                <w:kern w:val="1"/>
                <w:sz w:val="24"/>
              </w:rPr>
              <w:t>等级</w:t>
            </w:r>
            <w:r>
              <w:rPr>
                <w:rFonts w:ascii="Times New Roman" w:hAnsi="Times New Roman"/>
                <w:color w:val="000000"/>
                <w:kern w:val="1"/>
                <w:sz w:val="24"/>
              </w:rPr>
              <w:t>“</w:t>
            </w:r>
            <w:r>
              <w:rPr>
                <w:rFonts w:ascii="Times New Roman" w:hAnsi="Times New Roman" w:hint="eastAsia"/>
                <w:color w:val="000000"/>
                <w:kern w:val="1"/>
                <w:sz w:val="24"/>
              </w:rPr>
              <w:t>具有</w:t>
            </w:r>
            <w:r>
              <w:rPr>
                <w:rFonts w:ascii="Times New Roman" w:hAnsi="Times New Roman"/>
                <w:color w:val="000000"/>
                <w:kern w:val="1"/>
                <w:sz w:val="24"/>
              </w:rPr>
              <w:t>重要学术影响</w:t>
            </w:r>
            <w:r>
              <w:rPr>
                <w:rFonts w:ascii="Times New Roman" w:hAnsi="Times New Roman"/>
                <w:color w:val="000000"/>
                <w:kern w:val="1"/>
                <w:sz w:val="24"/>
              </w:rPr>
              <w:t>”</w:t>
            </w:r>
            <w:r>
              <w:rPr>
                <w:rFonts w:ascii="Times New Roman" w:hAnsi="Times New Roman"/>
                <w:color w:val="000000"/>
                <w:kern w:val="1"/>
                <w:sz w:val="24"/>
              </w:rPr>
              <w:t>、</w:t>
            </w:r>
            <w:r>
              <w:rPr>
                <w:rFonts w:ascii="Times New Roman" w:hAnsi="Times New Roman" w:hint="eastAsia"/>
                <w:color w:val="000000"/>
                <w:kern w:val="1"/>
                <w:sz w:val="24"/>
              </w:rPr>
              <w:t>C</w:t>
            </w:r>
            <w:r>
              <w:rPr>
                <w:rFonts w:ascii="Times New Roman" w:hAnsi="Times New Roman" w:hint="eastAsia"/>
                <w:color w:val="000000"/>
                <w:kern w:val="1"/>
                <w:sz w:val="24"/>
              </w:rPr>
              <w:t>等级</w:t>
            </w:r>
            <w:r>
              <w:rPr>
                <w:rFonts w:ascii="Times New Roman" w:hAnsi="Times New Roman"/>
                <w:color w:val="000000"/>
                <w:kern w:val="1"/>
                <w:sz w:val="24"/>
              </w:rPr>
              <w:t>“</w:t>
            </w:r>
            <w:r>
              <w:rPr>
                <w:rFonts w:ascii="Times New Roman" w:hAnsi="Times New Roman" w:hint="eastAsia"/>
                <w:color w:val="000000"/>
                <w:kern w:val="1"/>
                <w:sz w:val="24"/>
              </w:rPr>
              <w:t>具有</w:t>
            </w:r>
            <w:r>
              <w:rPr>
                <w:rFonts w:ascii="Times New Roman" w:hAnsi="Times New Roman"/>
                <w:color w:val="000000"/>
                <w:kern w:val="1"/>
                <w:sz w:val="24"/>
              </w:rPr>
              <w:t>一定学术影响</w:t>
            </w:r>
            <w:r>
              <w:rPr>
                <w:rFonts w:ascii="Times New Roman" w:hAnsi="Times New Roman"/>
                <w:color w:val="000000"/>
                <w:kern w:val="1"/>
                <w:sz w:val="24"/>
              </w:rPr>
              <w:t>”</w:t>
            </w:r>
            <w:r>
              <w:rPr>
                <w:rFonts w:ascii="Times New Roman" w:hAnsi="Times New Roman" w:hint="eastAsia"/>
                <w:color w:val="000000"/>
                <w:kern w:val="1"/>
                <w:sz w:val="24"/>
              </w:rPr>
              <w:t>，鼓励</w:t>
            </w:r>
            <w:r>
              <w:rPr>
                <w:rFonts w:ascii="Times New Roman" w:hAnsi="Times New Roman"/>
                <w:color w:val="000000"/>
                <w:kern w:val="1"/>
                <w:sz w:val="24"/>
              </w:rPr>
              <w:t>发表</w:t>
            </w:r>
            <w:r>
              <w:rPr>
                <w:rFonts w:ascii="Times New Roman" w:hAnsi="Times New Roman" w:hint="eastAsia"/>
                <w:color w:val="000000"/>
                <w:kern w:val="1"/>
                <w:sz w:val="24"/>
              </w:rPr>
              <w:t>“三类高质量论文”的要求</w:t>
            </w:r>
            <w:r>
              <w:rPr>
                <w:rFonts w:ascii="Times New Roman" w:hAnsi="Times New Roman"/>
                <w:color w:val="000000"/>
                <w:kern w:val="1"/>
                <w:sz w:val="24"/>
              </w:rPr>
              <w:t>有矛盾，</w:t>
            </w:r>
            <w:r>
              <w:rPr>
                <w:rFonts w:ascii="Times New Roman" w:hAnsi="Times New Roman" w:hint="eastAsia"/>
                <w:color w:val="000000"/>
                <w:kern w:val="1"/>
                <w:sz w:val="24"/>
              </w:rPr>
              <w:t>建议再斟酌广西科技重大专项、广西重点研发计划、广西技术创新引导专项、中央引导地方科技发展专项资金项目等四类科技计划项目的性质。应用研究、技术开发与应用基础研究不存在明显界限，不应完全不考察论文。</w:t>
            </w:r>
          </w:p>
        </w:tc>
        <w:tc>
          <w:tcPr>
            <w:tcW w:w="542"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不采纳</w:t>
            </w:r>
          </w:p>
        </w:tc>
        <w:tc>
          <w:tcPr>
            <w:tcW w:w="1494" w:type="pct"/>
            <w:vAlign w:val="center"/>
          </w:tcPr>
          <w:p w:rsidR="00CE0456" w:rsidRDefault="006E58F5">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文件中表述及要求与科技部原文基本保持一致，并已经强调广西科技重大专项、广西重点研发计划、广西技术创新引导专项、中央引导地方科技发展专项资金项目等应用研究、技术开发类项目</w:t>
            </w:r>
            <w:r>
              <w:rPr>
                <w:rFonts w:ascii="Times New Roman" w:hAnsi="Times New Roman"/>
                <w:color w:val="000000"/>
                <w:kern w:val="1"/>
                <w:sz w:val="24"/>
              </w:rPr>
              <w:t>不把论文</w:t>
            </w:r>
            <w:r>
              <w:rPr>
                <w:rFonts w:ascii="Times New Roman" w:hAnsi="Times New Roman" w:hint="eastAsia"/>
                <w:color w:val="000000"/>
                <w:kern w:val="1"/>
                <w:sz w:val="24"/>
              </w:rPr>
              <w:t>作为</w:t>
            </w:r>
            <w:r>
              <w:rPr>
                <w:rFonts w:ascii="Times New Roman" w:hAnsi="Times New Roman"/>
                <w:color w:val="000000"/>
                <w:kern w:val="1"/>
                <w:sz w:val="24"/>
              </w:rPr>
              <w:t>……</w:t>
            </w:r>
            <w:r>
              <w:rPr>
                <w:rFonts w:ascii="Times New Roman" w:hAnsi="Times New Roman" w:hint="eastAsia"/>
                <w:color w:val="000000"/>
                <w:kern w:val="1"/>
                <w:sz w:val="24"/>
              </w:rPr>
              <w:t>考核</w:t>
            </w:r>
            <w:r>
              <w:rPr>
                <w:rFonts w:ascii="Times New Roman" w:hAnsi="Times New Roman"/>
                <w:color w:val="000000"/>
                <w:kern w:val="1"/>
                <w:sz w:val="24"/>
              </w:rPr>
              <w:t>依据和评价指标</w:t>
            </w:r>
            <w:r>
              <w:rPr>
                <w:rFonts w:ascii="Times New Roman" w:hAnsi="Times New Roman" w:hint="eastAsia"/>
                <w:color w:val="000000"/>
                <w:kern w:val="1"/>
                <w:sz w:val="24"/>
              </w:rPr>
              <w:t>。</w:t>
            </w:r>
          </w:p>
        </w:tc>
      </w:tr>
      <w:tr w:rsidR="00CE0456">
        <w:trPr>
          <w:trHeight w:val="4830"/>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lastRenderedPageBreak/>
              <w:t>二</w:t>
            </w:r>
          </w:p>
        </w:tc>
        <w:tc>
          <w:tcPr>
            <w:tcW w:w="2525" w:type="pct"/>
            <w:vAlign w:val="center"/>
          </w:tcPr>
          <w:p w:rsidR="00CE0456" w:rsidRDefault="006E58F5">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关于</w:t>
            </w:r>
            <w:r>
              <w:rPr>
                <w:rFonts w:ascii="Times New Roman" w:hAnsi="Times New Roman"/>
                <w:color w:val="000000"/>
                <w:kern w:val="1"/>
                <w:sz w:val="24"/>
              </w:rPr>
              <w:t>基础研究的相关建议：</w:t>
            </w:r>
            <w:r>
              <w:rPr>
                <w:rFonts w:ascii="Times New Roman" w:hAnsi="Times New Roman" w:hint="eastAsia"/>
                <w:color w:val="000000"/>
                <w:kern w:val="1"/>
                <w:sz w:val="24"/>
              </w:rPr>
              <w:t>一是</w:t>
            </w:r>
            <w:r>
              <w:rPr>
                <w:rFonts w:ascii="Times New Roman" w:hAnsi="Times New Roman"/>
                <w:color w:val="000000"/>
                <w:kern w:val="1"/>
                <w:sz w:val="24"/>
              </w:rPr>
              <w:t>放宽基础研究项目研究年限，基础研究</w:t>
            </w:r>
            <w:proofErr w:type="gramStart"/>
            <w:r>
              <w:rPr>
                <w:rFonts w:ascii="Times New Roman" w:hAnsi="Times New Roman"/>
                <w:color w:val="000000"/>
                <w:kern w:val="1"/>
                <w:sz w:val="24"/>
              </w:rPr>
              <w:t>依问题</w:t>
            </w:r>
            <w:proofErr w:type="gramEnd"/>
            <w:r>
              <w:rPr>
                <w:rFonts w:ascii="Times New Roman" w:hAnsi="Times New Roman"/>
                <w:color w:val="000000"/>
                <w:kern w:val="1"/>
                <w:sz w:val="24"/>
              </w:rPr>
              <w:t>重要性可有</w:t>
            </w:r>
            <w:r>
              <w:rPr>
                <w:rFonts w:ascii="Times New Roman" w:hAnsi="Times New Roman"/>
                <w:color w:val="000000"/>
                <w:kern w:val="1"/>
                <w:sz w:val="24"/>
              </w:rPr>
              <w:t>5</w:t>
            </w:r>
            <w:r>
              <w:rPr>
                <w:rFonts w:ascii="Times New Roman" w:hAnsi="Times New Roman"/>
                <w:color w:val="000000"/>
                <w:kern w:val="1"/>
                <w:sz w:val="24"/>
              </w:rPr>
              <w:t>年</w:t>
            </w:r>
            <w:r>
              <w:rPr>
                <w:rFonts w:ascii="Times New Roman" w:hAnsi="Times New Roman" w:hint="eastAsia"/>
                <w:color w:val="000000"/>
                <w:kern w:val="1"/>
                <w:sz w:val="24"/>
              </w:rPr>
              <w:t>、</w:t>
            </w:r>
            <w:r>
              <w:rPr>
                <w:rFonts w:ascii="Times New Roman" w:hAnsi="Times New Roman"/>
                <w:color w:val="000000"/>
                <w:kern w:val="1"/>
                <w:sz w:val="24"/>
              </w:rPr>
              <w:t>10</w:t>
            </w:r>
            <w:r>
              <w:rPr>
                <w:rFonts w:ascii="Times New Roman" w:hAnsi="Times New Roman"/>
                <w:color w:val="000000"/>
                <w:kern w:val="1"/>
                <w:sz w:val="24"/>
              </w:rPr>
              <w:t>年或</w:t>
            </w:r>
            <w:r>
              <w:rPr>
                <w:rFonts w:ascii="Times New Roman" w:hAnsi="Times New Roman"/>
                <w:color w:val="000000"/>
                <w:kern w:val="1"/>
                <w:sz w:val="24"/>
              </w:rPr>
              <w:t>10</w:t>
            </w:r>
            <w:r>
              <w:rPr>
                <w:rFonts w:ascii="Times New Roman" w:hAnsi="Times New Roman"/>
                <w:color w:val="000000"/>
                <w:kern w:val="1"/>
                <w:sz w:val="24"/>
              </w:rPr>
              <w:t>年以上等类别</w:t>
            </w:r>
            <w:r>
              <w:rPr>
                <w:rFonts w:ascii="Times New Roman" w:hAnsi="Times New Roman" w:hint="eastAsia"/>
                <w:color w:val="000000"/>
                <w:kern w:val="1"/>
                <w:sz w:val="24"/>
              </w:rPr>
              <w:t>；二是</w:t>
            </w:r>
            <w:r>
              <w:rPr>
                <w:rFonts w:ascii="Times New Roman" w:hAnsi="Times New Roman"/>
                <w:color w:val="000000"/>
                <w:kern w:val="1"/>
                <w:sz w:val="24"/>
              </w:rPr>
              <w:t>对基础研究增设后期资助项目，评价方式以本领域国际国内一流同行专家评价为主，国内外高水平期刊论文发表可做适当参考或不参考</w:t>
            </w:r>
            <w:r>
              <w:rPr>
                <w:rFonts w:ascii="Times New Roman" w:hAnsi="Times New Roman" w:hint="eastAsia"/>
                <w:color w:val="000000"/>
                <w:kern w:val="1"/>
                <w:sz w:val="24"/>
              </w:rPr>
              <w:t>；三是</w:t>
            </w:r>
            <w:r>
              <w:rPr>
                <w:rFonts w:ascii="Times New Roman" w:hAnsi="Times New Roman"/>
                <w:color w:val="000000"/>
                <w:kern w:val="1"/>
                <w:sz w:val="24"/>
              </w:rPr>
              <w:t>对基础研究项目注重项目申请论证及方案执行可行性论证，允许项目执行后有一定失败比例。已失败项目若日后有突破进展，仍可继续资助补偿。理由：基础研究区别于应用研究，是科研人员十年或几十年磨一剑的坚守，是技术创新的理论源泉，是破解我国目前</w:t>
            </w:r>
            <w:r>
              <w:rPr>
                <w:rFonts w:ascii="Times New Roman" w:hAnsi="Times New Roman"/>
                <w:color w:val="000000"/>
                <w:kern w:val="1"/>
                <w:sz w:val="24"/>
              </w:rPr>
              <w:t>“</w:t>
            </w:r>
            <w:r>
              <w:rPr>
                <w:rFonts w:ascii="Times New Roman" w:hAnsi="Times New Roman"/>
                <w:color w:val="000000"/>
                <w:kern w:val="1"/>
                <w:sz w:val="24"/>
              </w:rPr>
              <w:t>卡脖子</w:t>
            </w:r>
            <w:r>
              <w:rPr>
                <w:rFonts w:ascii="Times New Roman" w:hAnsi="Times New Roman"/>
                <w:color w:val="000000"/>
                <w:kern w:val="1"/>
                <w:sz w:val="24"/>
              </w:rPr>
              <w:t>”</w:t>
            </w:r>
            <w:r>
              <w:rPr>
                <w:rFonts w:ascii="Times New Roman" w:hAnsi="Times New Roman"/>
                <w:color w:val="000000"/>
                <w:kern w:val="1"/>
                <w:sz w:val="24"/>
              </w:rPr>
              <w:t>问题的</w:t>
            </w:r>
            <w:r>
              <w:rPr>
                <w:rFonts w:ascii="Times New Roman" w:hAnsi="Times New Roman"/>
                <w:color w:val="000000"/>
                <w:kern w:val="1"/>
                <w:sz w:val="24"/>
              </w:rPr>
              <w:t>关键抓手。鼓励科研人员解决基础研究问题，为科学长远发展服务，克服学术功利及焦虑，甘坐冷板凳。</w:t>
            </w:r>
          </w:p>
        </w:tc>
        <w:tc>
          <w:tcPr>
            <w:tcW w:w="542"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不采纳</w:t>
            </w:r>
          </w:p>
        </w:tc>
        <w:tc>
          <w:tcPr>
            <w:tcW w:w="1494" w:type="pct"/>
            <w:vAlign w:val="center"/>
          </w:tcPr>
          <w:p w:rsidR="00CE0456" w:rsidRDefault="006E58F5">
            <w:pPr>
              <w:suppressAutoHyphens/>
              <w:adjustRightInd w:val="0"/>
              <w:snapToGrid w:val="0"/>
              <w:spacing w:line="320" w:lineRule="exact"/>
              <w:ind w:firstLine="480"/>
              <w:jc w:val="left"/>
              <w:rPr>
                <w:rFonts w:ascii="Times New Roman" w:hAnsi="Times New Roman"/>
                <w:color w:val="000000"/>
                <w:kern w:val="1"/>
                <w:sz w:val="24"/>
              </w:rPr>
            </w:pPr>
            <w:proofErr w:type="gramStart"/>
            <w:r>
              <w:rPr>
                <w:rFonts w:ascii="Times New Roman" w:hAnsi="Times New Roman" w:hint="eastAsia"/>
                <w:color w:val="000000"/>
                <w:kern w:val="1"/>
                <w:sz w:val="24"/>
              </w:rPr>
              <w:t>本措施</w:t>
            </w:r>
            <w:proofErr w:type="gramEnd"/>
            <w:r>
              <w:rPr>
                <w:rFonts w:ascii="Times New Roman" w:hAnsi="Times New Roman" w:hint="eastAsia"/>
                <w:color w:val="000000"/>
                <w:kern w:val="1"/>
                <w:sz w:val="24"/>
              </w:rPr>
              <w:t>不涉及基础研究项目的研究年限、后期资助、失败比例等，此意见可反馈到项目申报指南制订的业务处室。</w:t>
            </w:r>
          </w:p>
        </w:tc>
      </w:tr>
      <w:tr w:rsidR="00CE0456">
        <w:trPr>
          <w:trHeight w:val="3233"/>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三</w:t>
            </w:r>
          </w:p>
        </w:tc>
        <w:tc>
          <w:tcPr>
            <w:tcW w:w="2525" w:type="pct"/>
            <w:vAlign w:val="center"/>
          </w:tcPr>
          <w:p w:rsidR="00CE0456" w:rsidRDefault="006E58F5">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对《若干措施》中“一、强化分类考核评价导向”第（二）、（三）项内容中应用研究、技术开发类科技活动和项目的评价内容，建议考虑增加成果转化应用、社会和经济价值贡献以及对促进我区产业发展的作用等因素，对应设置相关指标，并提高相应权重。</w:t>
            </w:r>
          </w:p>
          <w:p w:rsidR="00CE0456" w:rsidRDefault="006E58F5">
            <w:pPr>
              <w:suppressAutoHyphens/>
              <w:adjustRightInd w:val="0"/>
              <w:snapToGrid w:val="0"/>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理由：根据自治区党委、政府相关决策部署，科技创新应充分服务于我区产业发展，为工业崛起注入原动力，促进科技创新与产业发展深度融合。故应在应用研究、技术开发类科技活动和项目的评价中增加成果转化应用率和推进我区产业发展的因素。</w:t>
            </w:r>
          </w:p>
        </w:tc>
        <w:tc>
          <w:tcPr>
            <w:tcW w:w="542"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不采纳</w:t>
            </w:r>
          </w:p>
        </w:tc>
        <w:tc>
          <w:tcPr>
            <w:tcW w:w="1494" w:type="pct"/>
            <w:vAlign w:val="center"/>
          </w:tcPr>
          <w:p w:rsidR="00CE0456" w:rsidRDefault="006E58F5">
            <w:pPr>
              <w:suppressAutoHyphens/>
              <w:adjustRightInd w:val="0"/>
              <w:snapToGrid w:val="0"/>
              <w:spacing w:line="320" w:lineRule="exact"/>
              <w:ind w:firstLineChars="0" w:firstLine="0"/>
              <w:jc w:val="left"/>
              <w:rPr>
                <w:rFonts w:ascii="Times New Roman" w:hAnsi="Times New Roman"/>
                <w:color w:val="000000"/>
                <w:kern w:val="1"/>
                <w:sz w:val="24"/>
              </w:rPr>
            </w:pPr>
            <w:r>
              <w:rPr>
                <w:rFonts w:ascii="Times New Roman" w:hAnsi="Times New Roman" w:hint="eastAsia"/>
                <w:color w:val="000000"/>
                <w:kern w:val="1"/>
                <w:sz w:val="24"/>
              </w:rPr>
              <w:t>原文已有此内容，详见第一部分第（二）“</w:t>
            </w:r>
            <w:r>
              <w:rPr>
                <w:rFonts w:ascii="Times New Roman" w:hAnsi="Times New Roman"/>
                <w:color w:val="000000"/>
                <w:kern w:val="1"/>
                <w:sz w:val="24"/>
              </w:rPr>
              <w:t>……</w:t>
            </w:r>
            <w:r>
              <w:rPr>
                <w:rFonts w:ascii="Times New Roman" w:hAnsi="Times New Roman" w:hint="eastAsia"/>
                <w:color w:val="000000"/>
                <w:kern w:val="1"/>
                <w:sz w:val="24"/>
              </w:rPr>
              <w:t>标志性成果主要包括新技术、新工艺、新产品、新材料</w:t>
            </w:r>
            <w:r>
              <w:rPr>
                <w:rFonts w:ascii="Times New Roman" w:hAnsi="Times New Roman"/>
                <w:color w:val="000000"/>
                <w:kern w:val="1"/>
                <w:sz w:val="24"/>
              </w:rPr>
              <w:t>……</w:t>
            </w:r>
            <w:r>
              <w:rPr>
                <w:rFonts w:ascii="Times New Roman" w:hAnsi="Times New Roman" w:hint="eastAsia"/>
                <w:color w:val="000000"/>
                <w:kern w:val="1"/>
                <w:sz w:val="24"/>
              </w:rPr>
              <w:t>”，其中“新产品”就是不以论文为评价依据和考核指标。</w:t>
            </w:r>
          </w:p>
        </w:tc>
      </w:tr>
      <w:tr w:rsidR="00CE0456">
        <w:trPr>
          <w:trHeight w:val="2629"/>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lastRenderedPageBreak/>
              <w:t>四</w:t>
            </w:r>
          </w:p>
        </w:tc>
        <w:tc>
          <w:tcPr>
            <w:tcW w:w="2525" w:type="pct"/>
            <w:vAlign w:val="center"/>
          </w:tcPr>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建议删除或放宽第二十一条中关于“对于广西科技计划项目产生的代表作和‘三类高质量论文’，发表支出或出版费可在广西科技计划项目专项资金按规定据实列支，其他论文的发表支出均不允许列支。除‘三类高质量论文’外的代表作数量原则上不超过</w:t>
            </w:r>
            <w:r>
              <w:rPr>
                <w:rFonts w:ascii="Times New Roman" w:hAnsi="Times New Roman" w:hint="eastAsia"/>
                <w:color w:val="000000"/>
                <w:kern w:val="1"/>
                <w:sz w:val="24"/>
              </w:rPr>
              <w:t>2</w:t>
            </w:r>
            <w:r>
              <w:rPr>
                <w:rFonts w:ascii="Times New Roman" w:hAnsi="Times New Roman" w:hint="eastAsia"/>
                <w:color w:val="000000"/>
                <w:kern w:val="1"/>
                <w:sz w:val="24"/>
              </w:rPr>
              <w:t>篇”的限制。</w:t>
            </w:r>
          </w:p>
        </w:tc>
        <w:tc>
          <w:tcPr>
            <w:tcW w:w="542" w:type="pct"/>
            <w:vAlign w:val="center"/>
          </w:tcPr>
          <w:p w:rsidR="00CE0456" w:rsidRDefault="006E58F5">
            <w:pPr>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不采纳</w:t>
            </w:r>
          </w:p>
        </w:tc>
        <w:tc>
          <w:tcPr>
            <w:tcW w:w="1494" w:type="pct"/>
            <w:vAlign w:val="center"/>
          </w:tcPr>
          <w:p w:rsidR="00CE0456" w:rsidRDefault="006E58F5">
            <w:pPr>
              <w:spacing w:line="320" w:lineRule="exact"/>
              <w:ind w:firstLine="480"/>
              <w:rPr>
                <w:rFonts w:ascii="Times New Roman" w:hAnsi="Times New Roman"/>
                <w:color w:val="000000"/>
                <w:kern w:val="1"/>
                <w:sz w:val="24"/>
              </w:rPr>
            </w:pPr>
            <w:r>
              <w:rPr>
                <w:rFonts w:ascii="Times New Roman" w:hAnsi="Times New Roman" w:hint="eastAsia"/>
                <w:color w:val="000000"/>
                <w:kern w:val="1"/>
                <w:sz w:val="24"/>
              </w:rPr>
              <w:t>“不超过</w:t>
            </w:r>
            <w:r>
              <w:rPr>
                <w:rFonts w:ascii="Times New Roman" w:hAnsi="Times New Roman" w:hint="eastAsia"/>
                <w:color w:val="000000"/>
                <w:kern w:val="1"/>
                <w:sz w:val="24"/>
              </w:rPr>
              <w:t>2</w:t>
            </w:r>
            <w:r>
              <w:rPr>
                <w:rFonts w:ascii="Times New Roman" w:hAnsi="Times New Roman" w:hint="eastAsia"/>
                <w:color w:val="000000"/>
                <w:kern w:val="1"/>
                <w:sz w:val="24"/>
              </w:rPr>
              <w:t>篇”是国家规定的标准，目前无反证可以突破的事例或理由。</w:t>
            </w:r>
          </w:p>
        </w:tc>
      </w:tr>
      <w:tr w:rsidR="00CE0456">
        <w:trPr>
          <w:trHeight w:val="3233"/>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五</w:t>
            </w:r>
          </w:p>
        </w:tc>
        <w:tc>
          <w:tcPr>
            <w:tcW w:w="2525" w:type="pct"/>
            <w:vAlign w:val="center"/>
          </w:tcPr>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征求意见稿中第一大点第（三）小点的内容</w:t>
            </w:r>
            <w:proofErr w:type="gramStart"/>
            <w:r>
              <w:rPr>
                <w:rFonts w:ascii="Times New Roman" w:hAnsi="Times New Roman" w:hint="eastAsia"/>
                <w:color w:val="000000"/>
                <w:kern w:val="1"/>
                <w:sz w:val="24"/>
              </w:rPr>
              <w:t>“</w:t>
            </w:r>
            <w:proofErr w:type="gramEnd"/>
            <w:r>
              <w:rPr>
                <w:rFonts w:ascii="Times New Roman" w:hAnsi="Times New Roman" w:hint="eastAsia"/>
                <w:color w:val="000000"/>
                <w:kern w:val="1"/>
                <w:sz w:val="24"/>
              </w:rPr>
              <w:t>……对于“三类高质量论文”的研究成果，可按高质量成果进行考核评价</w:t>
            </w:r>
            <w:proofErr w:type="gramStart"/>
            <w:r>
              <w:rPr>
                <w:rFonts w:ascii="Times New Roman" w:hAnsi="Times New Roman" w:hint="eastAsia"/>
                <w:color w:val="000000"/>
                <w:kern w:val="1"/>
                <w:sz w:val="24"/>
              </w:rPr>
              <w:t>”</w:t>
            </w:r>
            <w:proofErr w:type="gramEnd"/>
            <w:r>
              <w:rPr>
                <w:rFonts w:ascii="Times New Roman" w:hAnsi="Times New Roman" w:hint="eastAsia"/>
                <w:color w:val="000000"/>
                <w:kern w:val="1"/>
                <w:sz w:val="24"/>
              </w:rPr>
              <w:t>，建议增加与</w:t>
            </w:r>
            <w:r>
              <w:rPr>
                <w:rFonts w:ascii="Times New Roman" w:hAnsi="Times New Roman" w:hint="eastAsia"/>
                <w:color w:val="000000"/>
                <w:kern w:val="1"/>
                <w:sz w:val="24"/>
              </w:rPr>
              <w:t>A</w:t>
            </w:r>
            <w:r>
              <w:rPr>
                <w:rFonts w:ascii="Times New Roman" w:hAnsi="Times New Roman" w:hint="eastAsia"/>
                <w:color w:val="000000"/>
                <w:kern w:val="1"/>
                <w:sz w:val="24"/>
              </w:rPr>
              <w:t>、</w:t>
            </w:r>
            <w:r>
              <w:rPr>
                <w:rFonts w:ascii="Times New Roman" w:hAnsi="Times New Roman" w:hint="eastAsia"/>
                <w:color w:val="000000"/>
                <w:kern w:val="1"/>
                <w:sz w:val="24"/>
              </w:rPr>
              <w:t>B</w:t>
            </w:r>
            <w:r>
              <w:rPr>
                <w:rFonts w:ascii="Times New Roman" w:hAnsi="Times New Roman" w:hint="eastAsia"/>
                <w:color w:val="000000"/>
                <w:kern w:val="1"/>
                <w:sz w:val="24"/>
              </w:rPr>
              <w:t>、</w:t>
            </w:r>
            <w:r>
              <w:rPr>
                <w:rFonts w:ascii="Times New Roman" w:hAnsi="Times New Roman" w:hint="eastAsia"/>
                <w:color w:val="000000"/>
                <w:kern w:val="1"/>
                <w:sz w:val="24"/>
              </w:rPr>
              <w:t>C</w:t>
            </w:r>
            <w:r>
              <w:rPr>
                <w:rFonts w:ascii="Times New Roman" w:hAnsi="Times New Roman" w:hint="eastAsia"/>
                <w:color w:val="000000"/>
                <w:kern w:val="1"/>
                <w:sz w:val="24"/>
              </w:rPr>
              <w:t>质量等级成果如何衔接相关内容。</w:t>
            </w:r>
          </w:p>
        </w:tc>
        <w:tc>
          <w:tcPr>
            <w:tcW w:w="542" w:type="pct"/>
            <w:vAlign w:val="center"/>
          </w:tcPr>
          <w:p w:rsidR="00CE0456" w:rsidRDefault="006E58F5">
            <w:pPr>
              <w:spacing w:line="320" w:lineRule="exact"/>
              <w:ind w:firstLineChars="0" w:firstLine="0"/>
              <w:rPr>
                <w:rFonts w:ascii="Times New Roman" w:hAnsi="Times New Roman"/>
                <w:color w:val="000000"/>
                <w:kern w:val="1"/>
                <w:sz w:val="24"/>
              </w:rPr>
            </w:pPr>
            <w:r>
              <w:rPr>
                <w:rFonts w:ascii="Times New Roman" w:hAnsi="Times New Roman" w:hint="eastAsia"/>
                <w:color w:val="000000"/>
                <w:kern w:val="1"/>
                <w:sz w:val="24"/>
              </w:rPr>
              <w:t>下一步采纳</w:t>
            </w:r>
          </w:p>
        </w:tc>
        <w:tc>
          <w:tcPr>
            <w:tcW w:w="1494" w:type="pct"/>
            <w:vAlign w:val="center"/>
          </w:tcPr>
          <w:p w:rsidR="00CE0456" w:rsidRDefault="006E58F5">
            <w:pPr>
              <w:spacing w:line="320" w:lineRule="exact"/>
              <w:ind w:firstLine="480"/>
              <w:rPr>
                <w:rFonts w:ascii="Times New Roman" w:hAnsi="Times New Roman"/>
                <w:color w:val="000000"/>
                <w:kern w:val="1"/>
                <w:sz w:val="24"/>
              </w:rPr>
            </w:pPr>
            <w:r>
              <w:rPr>
                <w:rFonts w:ascii="Times New Roman" w:hAnsi="Times New Roman" w:hint="eastAsia"/>
                <w:color w:val="000000"/>
                <w:kern w:val="1"/>
                <w:sz w:val="24"/>
              </w:rPr>
              <w:t>本文没办法做到“一步到位”，因此没有提出具体的衔接标准，建议先试行后，再根据实践总结修改。</w:t>
            </w:r>
          </w:p>
        </w:tc>
      </w:tr>
      <w:tr w:rsidR="00CE0456">
        <w:trPr>
          <w:trHeight w:val="3233"/>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lastRenderedPageBreak/>
              <w:t>六</w:t>
            </w:r>
          </w:p>
        </w:tc>
        <w:tc>
          <w:tcPr>
            <w:tcW w:w="2525" w:type="pct"/>
            <w:vAlign w:val="center"/>
          </w:tcPr>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第三大点第（八）小点内容“……对论文评价实行代表作制度，每个评价周期代表作数量原则上不超过</w:t>
            </w:r>
            <w:r>
              <w:rPr>
                <w:rFonts w:ascii="Times New Roman" w:hAnsi="Times New Roman" w:hint="eastAsia"/>
                <w:color w:val="000000"/>
                <w:kern w:val="1"/>
                <w:sz w:val="24"/>
              </w:rPr>
              <w:t>20</w:t>
            </w:r>
            <w:r>
              <w:rPr>
                <w:rFonts w:ascii="Times New Roman" w:hAnsi="Times New Roman" w:hint="eastAsia"/>
                <w:color w:val="000000"/>
                <w:kern w:val="1"/>
                <w:sz w:val="24"/>
              </w:rPr>
              <w:t>篇，其中，在具有国际影响力的国内科技期刊发表的论文原则上应不少于</w:t>
            </w:r>
            <w:r>
              <w:rPr>
                <w:rFonts w:ascii="Times New Roman" w:hAnsi="Times New Roman" w:hint="eastAsia"/>
                <w:color w:val="000000"/>
                <w:kern w:val="1"/>
                <w:sz w:val="24"/>
              </w:rPr>
              <w:t>1/3</w:t>
            </w:r>
            <w:r>
              <w:rPr>
                <w:rFonts w:ascii="Times New Roman" w:hAnsi="Times New Roman" w:hint="eastAsia"/>
                <w:color w:val="000000"/>
                <w:kern w:val="1"/>
                <w:sz w:val="24"/>
              </w:rPr>
              <w:t>，相关期刊应参照中国科技期刊卓越行动计划入选期刊目录确定。”，建议修改为</w:t>
            </w:r>
            <w:proofErr w:type="gramStart"/>
            <w:r>
              <w:rPr>
                <w:rFonts w:ascii="Times New Roman" w:hAnsi="Times New Roman" w:hint="eastAsia"/>
                <w:color w:val="000000"/>
                <w:kern w:val="1"/>
                <w:sz w:val="24"/>
              </w:rPr>
              <w:t>“</w:t>
            </w:r>
            <w:proofErr w:type="gramEnd"/>
            <w:r>
              <w:rPr>
                <w:rFonts w:ascii="Times New Roman" w:hAnsi="Times New Roman" w:hint="eastAsia"/>
                <w:color w:val="000000"/>
                <w:kern w:val="1"/>
                <w:sz w:val="24"/>
              </w:rPr>
              <w:t>……对论文评价实行代表作制度，每个评价周期代表作数量原则上不超过</w:t>
            </w:r>
            <w:r>
              <w:rPr>
                <w:rFonts w:ascii="Times New Roman" w:hAnsi="Times New Roman" w:hint="eastAsia"/>
                <w:color w:val="000000"/>
                <w:kern w:val="1"/>
                <w:sz w:val="24"/>
              </w:rPr>
              <w:t>20</w:t>
            </w:r>
            <w:r>
              <w:rPr>
                <w:rFonts w:ascii="Times New Roman" w:hAnsi="Times New Roman" w:hint="eastAsia"/>
                <w:color w:val="000000"/>
                <w:kern w:val="1"/>
                <w:sz w:val="24"/>
              </w:rPr>
              <w:t>篇，其中“三类高质量论文”原则上应不少于</w:t>
            </w:r>
            <w:r>
              <w:rPr>
                <w:rFonts w:ascii="Times New Roman" w:hAnsi="Times New Roman" w:hint="eastAsia"/>
                <w:color w:val="000000"/>
                <w:kern w:val="1"/>
                <w:sz w:val="24"/>
              </w:rPr>
              <w:t>1/3</w:t>
            </w:r>
            <w:proofErr w:type="gramStart"/>
            <w:r>
              <w:rPr>
                <w:rFonts w:ascii="Times New Roman" w:hAnsi="Times New Roman" w:hint="eastAsia"/>
                <w:color w:val="000000"/>
                <w:kern w:val="1"/>
                <w:sz w:val="24"/>
              </w:rPr>
              <w:t>”</w:t>
            </w:r>
            <w:proofErr w:type="gramEnd"/>
            <w:r>
              <w:rPr>
                <w:rFonts w:ascii="Times New Roman" w:hAnsi="Times New Roman" w:hint="eastAsia"/>
                <w:color w:val="000000"/>
                <w:kern w:val="1"/>
                <w:sz w:val="24"/>
              </w:rPr>
              <w:t>。</w:t>
            </w:r>
          </w:p>
        </w:tc>
        <w:tc>
          <w:tcPr>
            <w:tcW w:w="542" w:type="pct"/>
            <w:vAlign w:val="center"/>
          </w:tcPr>
          <w:p w:rsidR="00CE0456" w:rsidRDefault="006E58F5">
            <w:pPr>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采纳</w:t>
            </w:r>
          </w:p>
        </w:tc>
        <w:tc>
          <w:tcPr>
            <w:tcW w:w="1494" w:type="pct"/>
            <w:vAlign w:val="center"/>
          </w:tcPr>
          <w:p w:rsidR="00CE0456" w:rsidRDefault="006E58F5">
            <w:pPr>
              <w:spacing w:line="320" w:lineRule="exact"/>
              <w:ind w:firstLine="480"/>
              <w:rPr>
                <w:rFonts w:ascii="Times New Roman" w:hAnsi="Times New Roman"/>
                <w:color w:val="000000"/>
                <w:kern w:val="1"/>
                <w:sz w:val="24"/>
              </w:rPr>
            </w:pPr>
            <w:r>
              <w:rPr>
                <w:rFonts w:ascii="Times New Roman" w:hAnsi="Times New Roman" w:hint="eastAsia"/>
                <w:color w:val="000000"/>
                <w:kern w:val="1"/>
                <w:sz w:val="24"/>
              </w:rPr>
              <w:t>原文修改为：</w:t>
            </w:r>
            <w:r>
              <w:rPr>
                <w:rFonts w:ascii="Times New Roman" w:hAnsi="Times New Roman"/>
                <w:color w:val="000000"/>
                <w:kern w:val="1"/>
                <w:sz w:val="24"/>
              </w:rPr>
              <w:t>……</w:t>
            </w:r>
            <w:r>
              <w:rPr>
                <w:rFonts w:ascii="Times New Roman" w:hAnsi="Times New Roman" w:hint="eastAsia"/>
                <w:color w:val="000000"/>
                <w:kern w:val="1"/>
                <w:sz w:val="24"/>
              </w:rPr>
              <w:t>每个评价周期代表作数量原则上不超过</w:t>
            </w:r>
            <w:r>
              <w:rPr>
                <w:rFonts w:ascii="Times New Roman" w:hAnsi="Times New Roman" w:hint="eastAsia"/>
                <w:color w:val="000000"/>
                <w:kern w:val="1"/>
                <w:sz w:val="24"/>
              </w:rPr>
              <w:t>20</w:t>
            </w:r>
            <w:r>
              <w:rPr>
                <w:rFonts w:ascii="Times New Roman" w:hAnsi="Times New Roman" w:hint="eastAsia"/>
                <w:color w:val="000000"/>
                <w:kern w:val="1"/>
                <w:sz w:val="24"/>
              </w:rPr>
              <w:t>篇，其中，三类高质量论文原则上应不少于</w:t>
            </w:r>
            <w:r>
              <w:rPr>
                <w:rFonts w:ascii="Times New Roman" w:hAnsi="Times New Roman" w:hint="eastAsia"/>
                <w:color w:val="000000"/>
                <w:kern w:val="1"/>
                <w:sz w:val="24"/>
              </w:rPr>
              <w:t>1/3</w:t>
            </w:r>
            <w:r>
              <w:rPr>
                <w:rFonts w:ascii="Times New Roman" w:hAnsi="Times New Roman"/>
                <w:color w:val="000000"/>
                <w:kern w:val="1"/>
                <w:sz w:val="24"/>
              </w:rPr>
              <w:t>……</w:t>
            </w:r>
          </w:p>
        </w:tc>
      </w:tr>
      <w:tr w:rsidR="00CE0456">
        <w:trPr>
          <w:trHeight w:val="3233"/>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七</w:t>
            </w:r>
          </w:p>
        </w:tc>
        <w:tc>
          <w:tcPr>
            <w:tcW w:w="2525" w:type="pct"/>
            <w:vAlign w:val="center"/>
          </w:tcPr>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建议第</w:t>
            </w:r>
            <w:r>
              <w:rPr>
                <w:rFonts w:ascii="Times New Roman" w:hAnsi="Times New Roman" w:hint="eastAsia"/>
                <w:color w:val="000000"/>
                <w:kern w:val="1"/>
                <w:sz w:val="24"/>
              </w:rPr>
              <w:t>3</w:t>
            </w:r>
            <w:r>
              <w:rPr>
                <w:rFonts w:ascii="Times New Roman" w:hAnsi="Times New Roman" w:hint="eastAsia"/>
                <w:color w:val="000000"/>
                <w:kern w:val="1"/>
                <w:sz w:val="24"/>
              </w:rPr>
              <w:t>页</w:t>
            </w:r>
            <w:r>
              <w:rPr>
                <w:rFonts w:ascii="Times New Roman" w:hAnsi="Times New Roman"/>
                <w:color w:val="000000"/>
                <w:kern w:val="1"/>
                <w:sz w:val="24"/>
              </w:rPr>
              <w:t>第一条</w:t>
            </w:r>
            <w:r>
              <w:rPr>
                <w:rFonts w:ascii="Times New Roman" w:hAnsi="Times New Roman"/>
                <w:color w:val="000000"/>
                <w:kern w:val="1"/>
                <w:sz w:val="24"/>
              </w:rPr>
              <w:t>“</w:t>
            </w:r>
            <w:r>
              <w:rPr>
                <w:rFonts w:ascii="Times New Roman" w:hAnsi="Times New Roman"/>
                <w:color w:val="000000"/>
                <w:kern w:val="1"/>
                <w:sz w:val="24"/>
              </w:rPr>
              <w:t>对论文评价实行代表作制度</w:t>
            </w:r>
            <w:r>
              <w:rPr>
                <w:rFonts w:ascii="Times New Roman" w:hAnsi="Times New Roman"/>
                <w:color w:val="000000"/>
                <w:kern w:val="1"/>
                <w:sz w:val="24"/>
              </w:rPr>
              <w:t>”</w:t>
            </w:r>
            <w:r>
              <w:rPr>
                <w:rFonts w:ascii="Times New Roman" w:hAnsi="Times New Roman"/>
                <w:color w:val="000000"/>
                <w:kern w:val="1"/>
                <w:sz w:val="24"/>
              </w:rPr>
              <w:t>，</w:t>
            </w:r>
            <w:r>
              <w:rPr>
                <w:rFonts w:ascii="Times New Roman" w:hAnsi="Times New Roman"/>
                <w:color w:val="000000"/>
                <w:kern w:val="1"/>
                <w:sz w:val="24"/>
              </w:rPr>
              <w:t>“</w:t>
            </w:r>
            <w:r>
              <w:rPr>
                <w:rFonts w:ascii="Times New Roman" w:hAnsi="Times New Roman"/>
                <w:color w:val="000000"/>
                <w:kern w:val="1"/>
                <w:sz w:val="24"/>
              </w:rPr>
              <w:t>强化代表作同行评议</w:t>
            </w:r>
            <w:r>
              <w:rPr>
                <w:rFonts w:ascii="Times New Roman" w:hAnsi="Times New Roman"/>
                <w:color w:val="000000"/>
                <w:kern w:val="1"/>
                <w:sz w:val="24"/>
              </w:rPr>
              <w:t>”</w:t>
            </w:r>
            <w:r>
              <w:rPr>
                <w:rFonts w:ascii="Times New Roman" w:hAnsi="Times New Roman" w:hint="eastAsia"/>
                <w:color w:val="000000"/>
                <w:kern w:val="1"/>
                <w:sz w:val="24"/>
              </w:rPr>
              <w:t>。增加</w:t>
            </w:r>
            <w:r>
              <w:rPr>
                <w:rFonts w:ascii="Times New Roman" w:hAnsi="Times New Roman"/>
                <w:color w:val="000000"/>
                <w:kern w:val="1"/>
                <w:sz w:val="24"/>
              </w:rPr>
              <w:t>同行评议</w:t>
            </w:r>
            <w:r>
              <w:rPr>
                <w:rFonts w:ascii="Times New Roman" w:hAnsi="Times New Roman" w:hint="eastAsia"/>
                <w:color w:val="000000"/>
                <w:kern w:val="1"/>
                <w:sz w:val="24"/>
              </w:rPr>
              <w:t>细则，如由</w:t>
            </w:r>
            <w:r>
              <w:rPr>
                <w:rFonts w:ascii="Times New Roman" w:hAnsi="Times New Roman"/>
                <w:color w:val="000000"/>
                <w:kern w:val="1"/>
                <w:sz w:val="24"/>
              </w:rPr>
              <w:t>项</w:t>
            </w:r>
            <w:r>
              <w:rPr>
                <w:rFonts w:ascii="Times New Roman" w:hAnsi="Times New Roman" w:hint="eastAsia"/>
                <w:color w:val="000000"/>
                <w:kern w:val="1"/>
                <w:sz w:val="24"/>
              </w:rPr>
              <w:t>目主管部门、项</w:t>
            </w:r>
            <w:r>
              <w:rPr>
                <w:rFonts w:ascii="Times New Roman" w:hAnsi="Times New Roman"/>
                <w:color w:val="000000"/>
                <w:kern w:val="1"/>
                <w:sz w:val="24"/>
              </w:rPr>
              <w:t>目负责人</w:t>
            </w:r>
            <w:r>
              <w:rPr>
                <w:rFonts w:ascii="Times New Roman" w:hAnsi="Times New Roman" w:hint="eastAsia"/>
                <w:color w:val="000000"/>
                <w:kern w:val="1"/>
                <w:sz w:val="24"/>
              </w:rPr>
              <w:t>或第三方</w:t>
            </w:r>
            <w:r>
              <w:rPr>
                <w:rFonts w:ascii="Times New Roman" w:hAnsi="Times New Roman"/>
                <w:color w:val="000000"/>
                <w:kern w:val="1"/>
                <w:sz w:val="24"/>
              </w:rPr>
              <w:t>邀请同行进行评议。</w:t>
            </w:r>
          </w:p>
        </w:tc>
        <w:tc>
          <w:tcPr>
            <w:tcW w:w="542" w:type="pct"/>
            <w:vAlign w:val="center"/>
          </w:tcPr>
          <w:p w:rsidR="00CE0456" w:rsidRDefault="006E58F5">
            <w:pPr>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不采纳</w:t>
            </w:r>
          </w:p>
        </w:tc>
        <w:tc>
          <w:tcPr>
            <w:tcW w:w="1494" w:type="pct"/>
            <w:vAlign w:val="center"/>
          </w:tcPr>
          <w:p w:rsidR="00CE0456" w:rsidRDefault="006E58F5">
            <w:pPr>
              <w:spacing w:line="320" w:lineRule="exact"/>
              <w:ind w:firstLineChars="0" w:firstLine="0"/>
              <w:rPr>
                <w:rFonts w:ascii="Times New Roman" w:hAnsi="Times New Roman"/>
                <w:color w:val="000000"/>
                <w:kern w:val="1"/>
                <w:sz w:val="24"/>
              </w:rPr>
            </w:pPr>
            <w:r>
              <w:rPr>
                <w:rFonts w:ascii="Times New Roman" w:hAnsi="Times New Roman"/>
                <w:color w:val="000000"/>
                <w:kern w:val="1"/>
                <w:sz w:val="24"/>
              </w:rPr>
              <w:t>同行评议</w:t>
            </w:r>
            <w:r>
              <w:rPr>
                <w:rFonts w:ascii="Times New Roman" w:hAnsi="Times New Roman" w:hint="eastAsia"/>
                <w:color w:val="000000"/>
                <w:kern w:val="1"/>
                <w:sz w:val="24"/>
              </w:rPr>
              <w:t>细则不属于</w:t>
            </w:r>
            <w:proofErr w:type="gramStart"/>
            <w:r>
              <w:rPr>
                <w:rFonts w:ascii="Times New Roman" w:hAnsi="Times New Roman" w:hint="eastAsia"/>
                <w:color w:val="000000"/>
                <w:kern w:val="1"/>
                <w:sz w:val="24"/>
              </w:rPr>
              <w:t>本措施</w:t>
            </w:r>
            <w:proofErr w:type="gramEnd"/>
            <w:r>
              <w:rPr>
                <w:rFonts w:ascii="Times New Roman" w:hAnsi="Times New Roman" w:hint="eastAsia"/>
                <w:color w:val="000000"/>
                <w:kern w:val="1"/>
                <w:sz w:val="24"/>
              </w:rPr>
              <w:t>属于重点内容，各单位、各部门在具体实施中可以根据具体情况进行细化。</w:t>
            </w:r>
          </w:p>
        </w:tc>
      </w:tr>
      <w:tr w:rsidR="00CE0456">
        <w:trPr>
          <w:trHeight w:val="3233"/>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lastRenderedPageBreak/>
              <w:t>八</w:t>
            </w:r>
          </w:p>
        </w:tc>
        <w:tc>
          <w:tcPr>
            <w:tcW w:w="2525" w:type="pct"/>
            <w:vAlign w:val="center"/>
          </w:tcPr>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针对第</w:t>
            </w:r>
            <w:r>
              <w:rPr>
                <w:rFonts w:ascii="Times New Roman" w:hAnsi="Times New Roman" w:hint="eastAsia"/>
                <w:color w:val="000000"/>
                <w:kern w:val="1"/>
                <w:sz w:val="24"/>
              </w:rPr>
              <w:t>8</w:t>
            </w:r>
            <w:r>
              <w:rPr>
                <w:rFonts w:ascii="Times New Roman" w:hAnsi="Times New Roman" w:hint="eastAsia"/>
                <w:color w:val="000000"/>
                <w:kern w:val="1"/>
                <w:sz w:val="24"/>
              </w:rPr>
              <w:t>页</w:t>
            </w:r>
            <w:r>
              <w:rPr>
                <w:rFonts w:ascii="Times New Roman" w:hAnsi="Times New Roman"/>
                <w:color w:val="000000"/>
                <w:kern w:val="1"/>
                <w:sz w:val="24"/>
              </w:rPr>
              <w:t>第二十一条</w:t>
            </w:r>
            <w:r>
              <w:rPr>
                <w:rFonts w:ascii="Times New Roman" w:hAnsi="Times New Roman"/>
                <w:color w:val="000000"/>
                <w:kern w:val="1"/>
                <w:sz w:val="24"/>
              </w:rPr>
              <w:t>“</w:t>
            </w:r>
            <w:r>
              <w:rPr>
                <w:rFonts w:ascii="Times New Roman" w:hAnsi="Times New Roman"/>
                <w:color w:val="000000"/>
                <w:kern w:val="1"/>
                <w:sz w:val="24"/>
              </w:rPr>
              <w:t>对于广西科技计划项目产生的代表作和</w:t>
            </w:r>
            <w:r>
              <w:rPr>
                <w:rFonts w:ascii="Times New Roman" w:hAnsi="Times New Roman" w:hint="eastAsia"/>
                <w:color w:val="000000"/>
                <w:kern w:val="1"/>
                <w:sz w:val="24"/>
              </w:rPr>
              <w:t>‘</w:t>
            </w:r>
            <w:r>
              <w:rPr>
                <w:rFonts w:ascii="Times New Roman" w:hAnsi="Times New Roman"/>
                <w:color w:val="000000"/>
                <w:kern w:val="1"/>
                <w:sz w:val="24"/>
              </w:rPr>
              <w:t>三类高质量论文</w:t>
            </w:r>
            <w:r>
              <w:rPr>
                <w:rFonts w:ascii="Times New Roman" w:hAnsi="Times New Roman" w:hint="eastAsia"/>
                <w:color w:val="000000"/>
                <w:kern w:val="1"/>
                <w:sz w:val="24"/>
              </w:rPr>
              <w:t>’</w:t>
            </w:r>
            <w:r>
              <w:rPr>
                <w:rFonts w:ascii="Times New Roman" w:hAnsi="Times New Roman"/>
                <w:color w:val="000000"/>
                <w:kern w:val="1"/>
                <w:sz w:val="24"/>
              </w:rPr>
              <w:t>，发表支出或出版费可在广西科技计划项目专项资金按规定据实列支，其他论文的发表支出均不允许列支。除</w:t>
            </w:r>
            <w:r>
              <w:rPr>
                <w:rFonts w:ascii="Times New Roman" w:hAnsi="Times New Roman" w:hint="eastAsia"/>
                <w:color w:val="000000"/>
                <w:kern w:val="1"/>
                <w:sz w:val="24"/>
              </w:rPr>
              <w:t>‘</w:t>
            </w:r>
            <w:r>
              <w:rPr>
                <w:rFonts w:ascii="Times New Roman" w:hAnsi="Times New Roman"/>
                <w:color w:val="000000"/>
                <w:kern w:val="1"/>
                <w:sz w:val="24"/>
              </w:rPr>
              <w:t>三类高质量论文</w:t>
            </w:r>
            <w:r>
              <w:rPr>
                <w:rFonts w:ascii="Times New Roman" w:hAnsi="Times New Roman" w:hint="eastAsia"/>
                <w:color w:val="000000"/>
                <w:kern w:val="1"/>
                <w:sz w:val="24"/>
              </w:rPr>
              <w:t>’</w:t>
            </w:r>
            <w:r>
              <w:rPr>
                <w:rFonts w:ascii="Times New Roman" w:hAnsi="Times New Roman"/>
                <w:color w:val="000000"/>
                <w:kern w:val="1"/>
                <w:sz w:val="24"/>
              </w:rPr>
              <w:t>外的代表作数量原则上不超过</w:t>
            </w:r>
            <w:r>
              <w:rPr>
                <w:rFonts w:ascii="Times New Roman" w:hAnsi="Times New Roman"/>
                <w:color w:val="000000"/>
                <w:kern w:val="1"/>
                <w:sz w:val="24"/>
              </w:rPr>
              <w:t>2</w:t>
            </w:r>
            <w:r>
              <w:rPr>
                <w:rFonts w:ascii="Times New Roman" w:hAnsi="Times New Roman"/>
                <w:color w:val="000000"/>
                <w:kern w:val="1"/>
                <w:sz w:val="24"/>
              </w:rPr>
              <w:t>篇</w:t>
            </w:r>
            <w:r>
              <w:rPr>
                <w:rFonts w:ascii="Times New Roman" w:hAnsi="Times New Roman"/>
                <w:color w:val="000000"/>
                <w:kern w:val="1"/>
                <w:sz w:val="24"/>
              </w:rPr>
              <w:t>”</w:t>
            </w:r>
            <w:r>
              <w:rPr>
                <w:rFonts w:ascii="Times New Roman" w:hAnsi="Times New Roman"/>
                <w:color w:val="000000"/>
                <w:kern w:val="1"/>
                <w:sz w:val="24"/>
              </w:rPr>
              <w:t>。</w:t>
            </w:r>
            <w:r>
              <w:rPr>
                <w:rFonts w:ascii="Times New Roman" w:hAnsi="Times New Roman" w:hint="eastAsia"/>
                <w:color w:val="000000"/>
                <w:kern w:val="1"/>
                <w:sz w:val="24"/>
              </w:rPr>
              <w:t>建议放宽其他论文的支出限制。理由：大部分</w:t>
            </w:r>
            <w:r>
              <w:rPr>
                <w:rFonts w:ascii="Times New Roman" w:hAnsi="Times New Roman"/>
                <w:color w:val="000000"/>
                <w:kern w:val="1"/>
                <w:sz w:val="24"/>
              </w:rPr>
              <w:t>科技人才成长</w:t>
            </w:r>
            <w:r>
              <w:rPr>
                <w:rFonts w:ascii="Times New Roman" w:hAnsi="Times New Roman" w:hint="eastAsia"/>
                <w:color w:val="000000"/>
                <w:kern w:val="1"/>
                <w:sz w:val="24"/>
              </w:rPr>
              <w:t>过程中需经历</w:t>
            </w:r>
            <w:r>
              <w:rPr>
                <w:rFonts w:ascii="Times New Roman" w:hAnsi="Times New Roman"/>
                <w:color w:val="000000"/>
                <w:kern w:val="1"/>
                <w:sz w:val="24"/>
              </w:rPr>
              <w:t>“</w:t>
            </w:r>
            <w:r>
              <w:rPr>
                <w:rFonts w:ascii="Times New Roman" w:hAnsi="Times New Roman"/>
                <w:color w:val="000000"/>
                <w:kern w:val="1"/>
                <w:sz w:val="24"/>
              </w:rPr>
              <w:t>低质量论文</w:t>
            </w:r>
            <w:r>
              <w:rPr>
                <w:rFonts w:ascii="Times New Roman" w:hAnsi="Times New Roman"/>
                <w:color w:val="000000"/>
                <w:kern w:val="1"/>
                <w:sz w:val="24"/>
              </w:rPr>
              <w:t>”</w:t>
            </w:r>
            <w:r>
              <w:rPr>
                <w:rFonts w:ascii="Times New Roman" w:hAnsi="Times New Roman"/>
                <w:color w:val="000000"/>
                <w:kern w:val="1"/>
                <w:sz w:val="24"/>
              </w:rPr>
              <w:t>阶段。</w:t>
            </w:r>
          </w:p>
        </w:tc>
        <w:tc>
          <w:tcPr>
            <w:tcW w:w="542" w:type="pct"/>
            <w:vAlign w:val="center"/>
          </w:tcPr>
          <w:p w:rsidR="00CE0456" w:rsidRDefault="006E58F5">
            <w:pPr>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不采纳</w:t>
            </w:r>
          </w:p>
        </w:tc>
        <w:tc>
          <w:tcPr>
            <w:tcW w:w="1494" w:type="pct"/>
            <w:vAlign w:val="center"/>
          </w:tcPr>
          <w:p w:rsidR="00CE0456" w:rsidRDefault="006E58F5">
            <w:pPr>
              <w:spacing w:line="320" w:lineRule="exact"/>
              <w:ind w:firstLine="480"/>
              <w:rPr>
                <w:rFonts w:ascii="Times New Roman" w:hAnsi="Times New Roman"/>
                <w:color w:val="000000"/>
                <w:kern w:val="1"/>
                <w:sz w:val="24"/>
              </w:rPr>
            </w:pPr>
            <w:r>
              <w:rPr>
                <w:rFonts w:ascii="Times New Roman" w:hAnsi="Times New Roman" w:hint="eastAsia"/>
                <w:color w:val="000000"/>
                <w:kern w:val="1"/>
                <w:sz w:val="24"/>
              </w:rPr>
              <w:t>以“低质量论文”发表作为科技人才成长必经过程，这个导向不能支持。</w:t>
            </w:r>
          </w:p>
        </w:tc>
      </w:tr>
      <w:tr w:rsidR="00CE0456">
        <w:trPr>
          <w:trHeight w:val="3233"/>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九</w:t>
            </w:r>
          </w:p>
        </w:tc>
        <w:tc>
          <w:tcPr>
            <w:tcW w:w="2525" w:type="pct"/>
            <w:vAlign w:val="center"/>
          </w:tcPr>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第</w:t>
            </w:r>
            <w:r>
              <w:rPr>
                <w:rFonts w:ascii="Times New Roman" w:hAnsi="Times New Roman" w:hint="eastAsia"/>
                <w:color w:val="000000"/>
                <w:kern w:val="1"/>
                <w:sz w:val="24"/>
              </w:rPr>
              <w:t>6</w:t>
            </w:r>
            <w:r>
              <w:rPr>
                <w:rFonts w:ascii="Times New Roman" w:hAnsi="Times New Roman" w:hint="eastAsia"/>
                <w:color w:val="000000"/>
                <w:kern w:val="1"/>
                <w:sz w:val="24"/>
              </w:rPr>
              <w:t>页（八）和第</w:t>
            </w:r>
            <w:r>
              <w:rPr>
                <w:rFonts w:ascii="Times New Roman" w:hAnsi="Times New Roman" w:hint="eastAsia"/>
                <w:color w:val="000000"/>
                <w:kern w:val="1"/>
                <w:sz w:val="24"/>
              </w:rPr>
              <w:t>7</w:t>
            </w:r>
            <w:r>
              <w:rPr>
                <w:rFonts w:ascii="Times New Roman" w:hAnsi="Times New Roman" w:hint="eastAsia"/>
                <w:color w:val="000000"/>
                <w:kern w:val="1"/>
                <w:sz w:val="24"/>
              </w:rPr>
              <w:t>页（十一）修改为：参照中国科技期刊卓越行动计划入选期刊目录，以及入选《中文核心期刊要目总览》和中国科技核心期刊（中国科技论文统计源期刊）的广西科技期刊。（或者规定最多可以有若干篇发表在入选《中文核心期刊要目总览》和中国科技核心期刊（中国科技论文统计源期刊）的广西科技期刊）</w:t>
            </w:r>
          </w:p>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修改理由：</w:t>
            </w:r>
            <w:r>
              <w:rPr>
                <w:rFonts w:ascii="Times New Roman" w:hAnsi="Times New Roman" w:hint="eastAsia"/>
                <w:color w:val="000000"/>
                <w:kern w:val="1"/>
                <w:sz w:val="24"/>
              </w:rPr>
              <w:t xml:space="preserve">1. </w:t>
            </w:r>
            <w:r>
              <w:rPr>
                <w:rFonts w:ascii="Times New Roman" w:hAnsi="Times New Roman" w:hint="eastAsia"/>
                <w:color w:val="000000"/>
                <w:kern w:val="1"/>
                <w:sz w:val="24"/>
              </w:rPr>
              <w:t>中国科技期刊卓越行动计划入选期刊要求比中文核心期刊高许多，对论文要求更高；</w:t>
            </w:r>
            <w:r>
              <w:rPr>
                <w:rFonts w:ascii="Times New Roman" w:hAnsi="Times New Roman" w:hint="eastAsia"/>
                <w:color w:val="000000"/>
                <w:kern w:val="1"/>
                <w:sz w:val="24"/>
              </w:rPr>
              <w:t>2.</w:t>
            </w:r>
            <w:r>
              <w:rPr>
                <w:rFonts w:ascii="Times New Roman" w:hAnsi="Times New Roman" w:hint="eastAsia"/>
                <w:color w:val="000000"/>
                <w:kern w:val="1"/>
                <w:sz w:val="24"/>
              </w:rPr>
              <w:t>广西重点实验室的建设，理应支持广西的发展；</w:t>
            </w:r>
            <w:r>
              <w:rPr>
                <w:rFonts w:ascii="Times New Roman" w:hAnsi="Times New Roman" w:hint="eastAsia"/>
                <w:color w:val="000000"/>
                <w:kern w:val="1"/>
                <w:sz w:val="24"/>
              </w:rPr>
              <w:t>3.2020</w:t>
            </w:r>
            <w:r>
              <w:rPr>
                <w:rFonts w:ascii="Times New Roman" w:hAnsi="Times New Roman" w:hint="eastAsia"/>
                <w:color w:val="000000"/>
                <w:kern w:val="1"/>
                <w:sz w:val="24"/>
              </w:rPr>
              <w:t>年，自治区科协</w:t>
            </w:r>
            <w:r>
              <w:rPr>
                <w:rFonts w:ascii="Times New Roman" w:hAnsi="Times New Roman" w:hint="eastAsia"/>
                <w:color w:val="000000"/>
                <w:kern w:val="1"/>
                <w:sz w:val="24"/>
              </w:rPr>
              <w:t xml:space="preserve"> </w:t>
            </w:r>
            <w:r>
              <w:rPr>
                <w:rFonts w:ascii="Times New Roman" w:hAnsi="Times New Roman" w:hint="eastAsia"/>
                <w:color w:val="000000"/>
                <w:kern w:val="1"/>
                <w:sz w:val="24"/>
              </w:rPr>
              <w:t>自治区党委宣传部、自治区教育厅、自治区科技厅关于贯彻落实</w:t>
            </w:r>
            <w:r>
              <w:rPr>
                <w:rFonts w:ascii="Times New Roman" w:hAnsi="Times New Roman" w:hint="eastAsia"/>
                <w:color w:val="000000"/>
                <w:kern w:val="1"/>
                <w:sz w:val="24"/>
              </w:rPr>
              <w:t>《关于深化改革培育世界一流科技期刊的意见》的实施意见，理应支持广西科技期刊的发展。</w:t>
            </w:r>
          </w:p>
        </w:tc>
        <w:tc>
          <w:tcPr>
            <w:tcW w:w="542" w:type="pct"/>
            <w:vAlign w:val="center"/>
          </w:tcPr>
          <w:p w:rsidR="00CE0456" w:rsidRDefault="006E58F5">
            <w:pPr>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不采纳</w:t>
            </w:r>
          </w:p>
        </w:tc>
        <w:tc>
          <w:tcPr>
            <w:tcW w:w="1494" w:type="pct"/>
            <w:vAlign w:val="center"/>
          </w:tcPr>
          <w:p w:rsidR="00CE0456" w:rsidRDefault="006E58F5">
            <w:pPr>
              <w:spacing w:line="320" w:lineRule="exact"/>
              <w:ind w:firstLine="480"/>
              <w:rPr>
                <w:rFonts w:ascii="Times New Roman" w:hAnsi="Times New Roman"/>
                <w:color w:val="000000"/>
                <w:kern w:val="1"/>
                <w:sz w:val="24"/>
              </w:rPr>
            </w:pPr>
            <w:r>
              <w:rPr>
                <w:rFonts w:ascii="Times New Roman" w:hAnsi="Times New Roman" w:hint="eastAsia"/>
                <w:color w:val="000000"/>
                <w:kern w:val="1"/>
                <w:sz w:val="24"/>
              </w:rPr>
              <w:t>建议的限定语为“参照中国科技期刊卓越行动计划入选期刊目录，以及入选《中文核心期刊要目总览》和中国科技核心期刊（中国科技论文统计源期刊）的广西科技期刊”，能进入上述目录中的广西科技期刊很少，且影响因子偏低，不太符合代表制的初衷。</w:t>
            </w:r>
          </w:p>
        </w:tc>
      </w:tr>
      <w:tr w:rsidR="00CE0456">
        <w:trPr>
          <w:trHeight w:val="3233"/>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lastRenderedPageBreak/>
              <w:t>十</w:t>
            </w:r>
          </w:p>
        </w:tc>
        <w:tc>
          <w:tcPr>
            <w:tcW w:w="2525" w:type="pct"/>
            <w:vAlign w:val="center"/>
          </w:tcPr>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第</w:t>
            </w:r>
            <w:r>
              <w:rPr>
                <w:rFonts w:ascii="Times New Roman" w:hAnsi="Times New Roman" w:hint="eastAsia"/>
                <w:color w:val="000000"/>
                <w:kern w:val="1"/>
                <w:sz w:val="24"/>
              </w:rPr>
              <w:t>8</w:t>
            </w:r>
            <w:r>
              <w:rPr>
                <w:rFonts w:ascii="Times New Roman" w:hAnsi="Times New Roman" w:hint="eastAsia"/>
                <w:color w:val="000000"/>
                <w:kern w:val="1"/>
                <w:sz w:val="24"/>
              </w:rPr>
              <w:t>页（十九），修改为：（十九）积极推进自治区重点期刊高质量发展，培育和助推一批期刊入选中文核心期刊要目总</w:t>
            </w:r>
            <w:proofErr w:type="gramStart"/>
            <w:r>
              <w:rPr>
                <w:rFonts w:ascii="Times New Roman" w:hAnsi="Times New Roman" w:hint="eastAsia"/>
                <w:color w:val="000000"/>
                <w:kern w:val="1"/>
                <w:sz w:val="24"/>
              </w:rPr>
              <w:t>览</w:t>
            </w:r>
            <w:proofErr w:type="gramEnd"/>
            <w:r>
              <w:rPr>
                <w:rFonts w:ascii="Times New Roman" w:hAnsi="Times New Roman" w:hint="eastAsia"/>
                <w:color w:val="000000"/>
                <w:kern w:val="1"/>
                <w:sz w:val="24"/>
              </w:rPr>
              <w:t>和中国科技核心期刊，在此基础上参与中国科技期刊卓越行动计划，提升广西科技期刊知</w:t>
            </w:r>
            <w:r>
              <w:rPr>
                <w:rFonts w:ascii="Times New Roman" w:hAnsi="Times New Roman" w:hint="eastAsia"/>
                <w:color w:val="000000"/>
                <w:kern w:val="1"/>
                <w:sz w:val="24"/>
              </w:rPr>
              <w:t>名度和影响力。鼓励财政资金资助的论文在高质量的区内科技期刊发表。</w:t>
            </w:r>
          </w:p>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修改理由：</w:t>
            </w:r>
            <w:r>
              <w:rPr>
                <w:rFonts w:ascii="Times New Roman" w:hAnsi="Times New Roman" w:hint="eastAsia"/>
                <w:color w:val="000000"/>
                <w:kern w:val="1"/>
                <w:sz w:val="24"/>
              </w:rPr>
              <w:t xml:space="preserve">1. </w:t>
            </w:r>
            <w:r>
              <w:rPr>
                <w:rFonts w:ascii="Times New Roman" w:hAnsi="Times New Roman" w:hint="eastAsia"/>
                <w:color w:val="000000"/>
                <w:kern w:val="1"/>
                <w:sz w:val="24"/>
              </w:rPr>
              <w:t>中国科技期刊卓越行动计划入选期刊要求比中文核心期刊高许多，难以一蹴而就，需从培育和助推我区期刊入选中文核心期刊要目总</w:t>
            </w:r>
            <w:proofErr w:type="gramStart"/>
            <w:r>
              <w:rPr>
                <w:rFonts w:ascii="Times New Roman" w:hAnsi="Times New Roman" w:hint="eastAsia"/>
                <w:color w:val="000000"/>
                <w:kern w:val="1"/>
                <w:sz w:val="24"/>
              </w:rPr>
              <w:t>览</w:t>
            </w:r>
            <w:proofErr w:type="gramEnd"/>
            <w:r>
              <w:rPr>
                <w:rFonts w:ascii="Times New Roman" w:hAnsi="Times New Roman" w:hint="eastAsia"/>
                <w:color w:val="000000"/>
                <w:kern w:val="1"/>
                <w:sz w:val="24"/>
              </w:rPr>
              <w:t>和中国科技核心期刊开始；</w:t>
            </w:r>
            <w:r>
              <w:rPr>
                <w:rFonts w:ascii="Times New Roman" w:hAnsi="Times New Roman" w:hint="eastAsia"/>
                <w:color w:val="000000"/>
                <w:kern w:val="1"/>
                <w:sz w:val="24"/>
              </w:rPr>
              <w:t>2020</w:t>
            </w:r>
            <w:r>
              <w:rPr>
                <w:rFonts w:ascii="Times New Roman" w:hAnsi="Times New Roman" w:hint="eastAsia"/>
                <w:color w:val="000000"/>
                <w:kern w:val="1"/>
                <w:sz w:val="24"/>
              </w:rPr>
              <w:t>年，自治区科协</w:t>
            </w:r>
            <w:r>
              <w:rPr>
                <w:rFonts w:ascii="Times New Roman" w:hAnsi="Times New Roman" w:hint="eastAsia"/>
                <w:color w:val="000000"/>
                <w:kern w:val="1"/>
                <w:sz w:val="24"/>
              </w:rPr>
              <w:t xml:space="preserve"> </w:t>
            </w:r>
            <w:r>
              <w:rPr>
                <w:rFonts w:ascii="Times New Roman" w:hAnsi="Times New Roman" w:hint="eastAsia"/>
                <w:color w:val="000000"/>
                <w:kern w:val="1"/>
                <w:sz w:val="24"/>
              </w:rPr>
              <w:t>自治区党委宣传部、自治区教育厅、自治区科技厅关于贯彻落实《关于深化改革培育世界一流科技期刊的意见》的实施意见，理应支持广西科技期刊的发展。</w:t>
            </w:r>
          </w:p>
        </w:tc>
        <w:tc>
          <w:tcPr>
            <w:tcW w:w="542" w:type="pct"/>
            <w:vAlign w:val="center"/>
          </w:tcPr>
          <w:p w:rsidR="00CE0456" w:rsidRDefault="006E58F5">
            <w:pPr>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采纳</w:t>
            </w:r>
          </w:p>
        </w:tc>
        <w:tc>
          <w:tcPr>
            <w:tcW w:w="1494" w:type="pct"/>
            <w:vAlign w:val="center"/>
          </w:tcPr>
          <w:p w:rsidR="00CE0456" w:rsidRDefault="006E58F5">
            <w:pPr>
              <w:spacing w:line="320" w:lineRule="exact"/>
              <w:ind w:firstLine="480"/>
              <w:rPr>
                <w:rFonts w:ascii="Times New Roman" w:hAnsi="Times New Roman"/>
                <w:color w:val="000000"/>
                <w:kern w:val="1"/>
                <w:sz w:val="24"/>
              </w:rPr>
            </w:pPr>
            <w:r>
              <w:rPr>
                <w:rFonts w:ascii="Times New Roman" w:hAnsi="Times New Roman" w:hint="eastAsia"/>
                <w:color w:val="000000"/>
                <w:kern w:val="1"/>
                <w:sz w:val="24"/>
              </w:rPr>
              <w:t>原文修改为：大力推进自治区重点期刊高质量发展，培育和助推一批期刊入选中文核心期刊要目总</w:t>
            </w:r>
            <w:proofErr w:type="gramStart"/>
            <w:r>
              <w:rPr>
                <w:rFonts w:ascii="Times New Roman" w:hAnsi="Times New Roman" w:hint="eastAsia"/>
                <w:color w:val="000000"/>
                <w:kern w:val="1"/>
                <w:sz w:val="24"/>
              </w:rPr>
              <w:t>览</w:t>
            </w:r>
            <w:proofErr w:type="gramEnd"/>
            <w:r>
              <w:rPr>
                <w:rFonts w:ascii="Times New Roman" w:hAnsi="Times New Roman" w:hint="eastAsia"/>
                <w:color w:val="000000"/>
                <w:kern w:val="1"/>
                <w:sz w:val="24"/>
              </w:rPr>
              <w:t>和中国科技核心期刊，积极参与中国科技期刊卓越行动计划，力争培育一批列入中国科技期刊卓越行动计划的科技期刊。鼓励财政资金资助的论文在高质量国内科技期刊发表。</w:t>
            </w:r>
          </w:p>
        </w:tc>
      </w:tr>
      <w:tr w:rsidR="00CE0456">
        <w:trPr>
          <w:trHeight w:val="3233"/>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十一</w:t>
            </w:r>
          </w:p>
        </w:tc>
        <w:tc>
          <w:tcPr>
            <w:tcW w:w="2525" w:type="pct"/>
            <w:vAlign w:val="center"/>
          </w:tcPr>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第</w:t>
            </w:r>
            <w:r>
              <w:rPr>
                <w:rFonts w:ascii="Times New Roman" w:hAnsi="Times New Roman" w:hint="eastAsia"/>
                <w:color w:val="000000"/>
                <w:kern w:val="1"/>
                <w:sz w:val="24"/>
              </w:rPr>
              <w:t>5</w:t>
            </w:r>
            <w:r>
              <w:rPr>
                <w:rFonts w:ascii="Times New Roman" w:hAnsi="Times New Roman" w:hint="eastAsia"/>
                <w:color w:val="000000"/>
                <w:kern w:val="1"/>
                <w:sz w:val="24"/>
              </w:rPr>
              <w:t>页三、（六）删除“广西工程技术研究中心、广西临床医学研究中心等”。</w:t>
            </w:r>
          </w:p>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修改理由：作为普发性文件，一般情况下不具体点出某一单位机构名称。</w:t>
            </w:r>
          </w:p>
        </w:tc>
        <w:tc>
          <w:tcPr>
            <w:tcW w:w="542" w:type="pct"/>
            <w:vAlign w:val="center"/>
          </w:tcPr>
          <w:p w:rsidR="00CE0456" w:rsidRDefault="006E58F5">
            <w:pPr>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不采纳</w:t>
            </w:r>
          </w:p>
        </w:tc>
        <w:tc>
          <w:tcPr>
            <w:tcW w:w="1494" w:type="pct"/>
            <w:vAlign w:val="center"/>
          </w:tcPr>
          <w:p w:rsidR="00CE0456" w:rsidRDefault="006E58F5">
            <w:pPr>
              <w:spacing w:line="320" w:lineRule="exact"/>
              <w:ind w:firstLine="480"/>
              <w:rPr>
                <w:rFonts w:ascii="Times New Roman" w:hAnsi="Times New Roman"/>
                <w:color w:val="000000"/>
                <w:kern w:val="1"/>
                <w:sz w:val="24"/>
              </w:rPr>
            </w:pPr>
            <w:r>
              <w:rPr>
                <w:rFonts w:ascii="Times New Roman" w:hAnsi="Times New Roman" w:hint="eastAsia"/>
                <w:color w:val="000000"/>
                <w:kern w:val="1"/>
                <w:sz w:val="24"/>
              </w:rPr>
              <w:t>“广西工程技术研究中心、广西临床医学研究中心”</w:t>
            </w:r>
            <w:r>
              <w:rPr>
                <w:rFonts w:ascii="Times New Roman" w:hAnsi="Times New Roman" w:hint="eastAsia"/>
                <w:color w:val="000000"/>
                <w:kern w:val="1"/>
                <w:sz w:val="24"/>
              </w:rPr>
              <w:t xml:space="preserve"> </w:t>
            </w:r>
            <w:r>
              <w:rPr>
                <w:rFonts w:ascii="Times New Roman" w:hAnsi="Times New Roman" w:hint="eastAsia"/>
                <w:color w:val="000000"/>
                <w:kern w:val="1"/>
                <w:sz w:val="24"/>
              </w:rPr>
              <w:t>不是某一具体单位机构名称，是某类创新平台名称，修改理由不成立。本文</w:t>
            </w:r>
            <w:r>
              <w:rPr>
                <w:rFonts w:ascii="Times New Roman" w:hAnsi="Times New Roman" w:hint="eastAsia"/>
                <w:color w:val="000000"/>
                <w:kern w:val="1"/>
                <w:sz w:val="24"/>
              </w:rPr>
              <w:t>是参照科技部表述。</w:t>
            </w:r>
          </w:p>
        </w:tc>
      </w:tr>
      <w:tr w:rsidR="00CE0456">
        <w:trPr>
          <w:trHeight w:val="3233"/>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lastRenderedPageBreak/>
              <w:t>十二</w:t>
            </w:r>
          </w:p>
        </w:tc>
        <w:tc>
          <w:tcPr>
            <w:tcW w:w="2525" w:type="pct"/>
            <w:vAlign w:val="center"/>
          </w:tcPr>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第</w:t>
            </w:r>
            <w:r>
              <w:rPr>
                <w:rFonts w:ascii="Times New Roman" w:hAnsi="Times New Roman" w:hint="eastAsia"/>
                <w:color w:val="000000"/>
                <w:kern w:val="1"/>
                <w:sz w:val="24"/>
              </w:rPr>
              <w:t>6</w:t>
            </w:r>
            <w:r>
              <w:rPr>
                <w:rFonts w:ascii="Times New Roman" w:hAnsi="Times New Roman" w:hint="eastAsia"/>
                <w:color w:val="000000"/>
                <w:kern w:val="1"/>
                <w:sz w:val="24"/>
              </w:rPr>
              <w:t>页三、（八）“</w:t>
            </w:r>
            <w:r>
              <w:rPr>
                <w:rFonts w:ascii="Times New Roman" w:hAnsi="Times New Roman"/>
                <w:color w:val="000000"/>
                <w:kern w:val="1"/>
                <w:sz w:val="24"/>
              </w:rPr>
              <w:t>……</w:t>
            </w:r>
            <w:r>
              <w:rPr>
                <w:rFonts w:ascii="Times New Roman" w:hAnsi="Times New Roman" w:hint="eastAsia"/>
                <w:color w:val="000000"/>
                <w:kern w:val="1"/>
                <w:sz w:val="24"/>
              </w:rPr>
              <w:t>每个评价周期代表作数量原则上不超过</w:t>
            </w:r>
            <w:r>
              <w:rPr>
                <w:rFonts w:ascii="Times New Roman" w:hAnsi="Times New Roman" w:hint="eastAsia"/>
                <w:color w:val="000000"/>
                <w:kern w:val="1"/>
                <w:sz w:val="24"/>
              </w:rPr>
              <w:t>20</w:t>
            </w:r>
            <w:r>
              <w:rPr>
                <w:rFonts w:ascii="Times New Roman" w:hAnsi="Times New Roman" w:hint="eastAsia"/>
                <w:color w:val="000000"/>
                <w:kern w:val="1"/>
                <w:sz w:val="24"/>
              </w:rPr>
              <w:t>篇”，四、（十一）“</w:t>
            </w:r>
            <w:r>
              <w:rPr>
                <w:rFonts w:ascii="Times New Roman" w:hAnsi="Times New Roman"/>
                <w:color w:val="000000"/>
                <w:kern w:val="1"/>
                <w:sz w:val="24"/>
              </w:rPr>
              <w:t>……</w:t>
            </w:r>
            <w:r>
              <w:rPr>
                <w:rFonts w:ascii="Times New Roman" w:hAnsi="Times New Roman" w:hint="eastAsia"/>
                <w:color w:val="000000"/>
                <w:kern w:val="1"/>
                <w:sz w:val="24"/>
              </w:rPr>
              <w:t>每个评价周期代表作数量原则上不超过</w:t>
            </w:r>
            <w:r>
              <w:rPr>
                <w:rFonts w:ascii="Times New Roman" w:hAnsi="Times New Roman" w:hint="eastAsia"/>
                <w:color w:val="000000"/>
                <w:kern w:val="1"/>
                <w:sz w:val="24"/>
              </w:rPr>
              <w:t>40</w:t>
            </w:r>
            <w:r>
              <w:rPr>
                <w:rFonts w:ascii="Times New Roman" w:hAnsi="Times New Roman" w:hint="eastAsia"/>
                <w:color w:val="000000"/>
                <w:kern w:val="1"/>
                <w:sz w:val="24"/>
              </w:rPr>
              <w:t>篇”，六、（十六）“</w:t>
            </w:r>
            <w:r>
              <w:rPr>
                <w:rFonts w:ascii="Times New Roman" w:hAnsi="Times New Roman"/>
                <w:color w:val="000000"/>
                <w:kern w:val="1"/>
                <w:sz w:val="24"/>
              </w:rPr>
              <w:t>……</w:t>
            </w:r>
            <w:r>
              <w:rPr>
                <w:rFonts w:ascii="Times New Roman" w:hAnsi="Times New Roman" w:hint="eastAsia"/>
                <w:color w:val="000000"/>
                <w:kern w:val="1"/>
                <w:sz w:val="24"/>
              </w:rPr>
              <w:t>代表作数量原则上不超过</w:t>
            </w:r>
            <w:r>
              <w:rPr>
                <w:rFonts w:ascii="Times New Roman" w:hAnsi="Times New Roman" w:hint="eastAsia"/>
                <w:color w:val="000000"/>
                <w:kern w:val="1"/>
                <w:sz w:val="24"/>
              </w:rPr>
              <w:t>5</w:t>
            </w:r>
            <w:r>
              <w:rPr>
                <w:rFonts w:ascii="Times New Roman" w:hAnsi="Times New Roman" w:hint="eastAsia"/>
                <w:color w:val="000000"/>
                <w:kern w:val="1"/>
                <w:sz w:val="24"/>
              </w:rPr>
              <w:t>篇”，六、（十七）“</w:t>
            </w:r>
            <w:r>
              <w:rPr>
                <w:rFonts w:ascii="Times New Roman" w:hAnsi="Times New Roman"/>
                <w:color w:val="000000"/>
                <w:kern w:val="1"/>
                <w:sz w:val="24"/>
              </w:rPr>
              <w:t>……</w:t>
            </w:r>
            <w:r>
              <w:rPr>
                <w:rFonts w:ascii="Times New Roman" w:hAnsi="Times New Roman" w:hint="eastAsia"/>
                <w:color w:val="000000"/>
                <w:kern w:val="1"/>
                <w:sz w:val="24"/>
              </w:rPr>
              <w:t>代表作数量原则上不超过</w:t>
            </w:r>
            <w:r>
              <w:rPr>
                <w:rFonts w:ascii="Times New Roman" w:hAnsi="Times New Roman" w:hint="eastAsia"/>
                <w:color w:val="000000"/>
                <w:kern w:val="1"/>
                <w:sz w:val="24"/>
              </w:rPr>
              <w:t>10</w:t>
            </w:r>
            <w:r>
              <w:rPr>
                <w:rFonts w:ascii="Times New Roman" w:hAnsi="Times New Roman" w:hint="eastAsia"/>
                <w:color w:val="000000"/>
                <w:kern w:val="1"/>
                <w:sz w:val="24"/>
              </w:rPr>
              <w:t>篇”</w:t>
            </w:r>
            <w:r>
              <w:rPr>
                <w:rFonts w:ascii="Times New Roman" w:hAnsi="Times New Roman" w:hint="eastAsia"/>
                <w:color w:val="000000"/>
                <w:kern w:val="1"/>
                <w:sz w:val="24"/>
              </w:rPr>
              <w:t>.</w:t>
            </w:r>
            <w:r>
              <w:rPr>
                <w:rFonts w:ascii="Times New Roman" w:hAnsi="Times New Roman" w:hint="eastAsia"/>
                <w:color w:val="000000"/>
                <w:kern w:val="1"/>
                <w:sz w:val="24"/>
              </w:rPr>
              <w:t>认真商榷文件中涉及代表作数量。</w:t>
            </w:r>
          </w:p>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修改理由：所列代表作数量有的太大，特别是</w:t>
            </w:r>
            <w:r>
              <w:rPr>
                <w:rFonts w:ascii="Times New Roman" w:hAnsi="Times New Roman" w:hint="eastAsia"/>
                <w:color w:val="000000"/>
                <w:kern w:val="1"/>
                <w:sz w:val="24"/>
              </w:rPr>
              <w:t>20</w:t>
            </w:r>
            <w:r>
              <w:rPr>
                <w:rFonts w:ascii="Times New Roman" w:hAnsi="Times New Roman" w:hint="eastAsia"/>
                <w:color w:val="000000"/>
                <w:kern w:val="1"/>
                <w:sz w:val="24"/>
              </w:rPr>
              <w:t>篇、</w:t>
            </w:r>
            <w:r>
              <w:rPr>
                <w:rFonts w:ascii="Times New Roman" w:hAnsi="Times New Roman" w:hint="eastAsia"/>
                <w:color w:val="000000"/>
                <w:kern w:val="1"/>
                <w:sz w:val="24"/>
              </w:rPr>
              <w:t>40</w:t>
            </w:r>
            <w:r>
              <w:rPr>
                <w:rFonts w:ascii="Times New Roman" w:hAnsi="Times New Roman" w:hint="eastAsia"/>
                <w:color w:val="000000"/>
                <w:kern w:val="1"/>
                <w:sz w:val="24"/>
              </w:rPr>
              <w:t>篇。“代表作”应以质量取胜，优中选优，严格控制数量。对文中各代表作数量建议再认真商榷。</w:t>
            </w:r>
          </w:p>
        </w:tc>
        <w:tc>
          <w:tcPr>
            <w:tcW w:w="542" w:type="pct"/>
            <w:vAlign w:val="center"/>
          </w:tcPr>
          <w:p w:rsidR="00CE0456" w:rsidRDefault="006E58F5">
            <w:pPr>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不采纳</w:t>
            </w:r>
          </w:p>
        </w:tc>
        <w:tc>
          <w:tcPr>
            <w:tcW w:w="1494" w:type="pct"/>
            <w:vAlign w:val="center"/>
          </w:tcPr>
          <w:p w:rsidR="00CE0456" w:rsidRDefault="006E58F5">
            <w:pPr>
              <w:spacing w:line="320" w:lineRule="exact"/>
              <w:ind w:firstLine="480"/>
              <w:rPr>
                <w:rFonts w:ascii="Times New Roman" w:hAnsi="Times New Roman"/>
                <w:color w:val="000000"/>
                <w:kern w:val="1"/>
                <w:sz w:val="24"/>
              </w:rPr>
            </w:pPr>
            <w:r>
              <w:rPr>
                <w:rFonts w:ascii="Times New Roman" w:hAnsi="Times New Roman" w:hint="eastAsia"/>
                <w:color w:val="000000"/>
                <w:kern w:val="1"/>
                <w:sz w:val="24"/>
              </w:rPr>
              <w:t>所述代表作限定数量与科技</w:t>
            </w:r>
            <w:proofErr w:type="gramStart"/>
            <w:r>
              <w:rPr>
                <w:rFonts w:ascii="Times New Roman" w:hAnsi="Times New Roman" w:hint="eastAsia"/>
                <w:color w:val="000000"/>
                <w:kern w:val="1"/>
                <w:sz w:val="24"/>
              </w:rPr>
              <w:t>部措施</w:t>
            </w:r>
            <w:proofErr w:type="gramEnd"/>
            <w:r>
              <w:rPr>
                <w:rFonts w:ascii="Times New Roman" w:hAnsi="Times New Roman" w:hint="eastAsia"/>
                <w:color w:val="000000"/>
                <w:kern w:val="1"/>
                <w:sz w:val="24"/>
              </w:rPr>
              <w:t>一致，“不超过”恰恰是为了防止“唯论文”的多发表低质量论文导致论文泛滥，亦是为了鼓励代表作严格控制数量，以质取胜。</w:t>
            </w:r>
          </w:p>
        </w:tc>
      </w:tr>
      <w:tr w:rsidR="00CE0456">
        <w:trPr>
          <w:trHeight w:val="3233"/>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十三</w:t>
            </w:r>
          </w:p>
        </w:tc>
        <w:tc>
          <w:tcPr>
            <w:tcW w:w="2525" w:type="pct"/>
            <w:vAlign w:val="center"/>
          </w:tcPr>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第</w:t>
            </w:r>
            <w:r>
              <w:rPr>
                <w:rFonts w:ascii="Times New Roman" w:hAnsi="Times New Roman" w:hint="eastAsia"/>
                <w:color w:val="000000"/>
                <w:kern w:val="1"/>
                <w:sz w:val="24"/>
              </w:rPr>
              <w:t>8</w:t>
            </w:r>
            <w:r>
              <w:rPr>
                <w:rFonts w:ascii="Times New Roman" w:hAnsi="Times New Roman" w:hint="eastAsia"/>
                <w:color w:val="000000"/>
                <w:kern w:val="1"/>
                <w:sz w:val="24"/>
              </w:rPr>
              <w:t>页、（二十一）“</w:t>
            </w:r>
            <w:r>
              <w:rPr>
                <w:rFonts w:ascii="Times New Roman" w:hAnsi="Times New Roman"/>
                <w:color w:val="000000"/>
                <w:kern w:val="1"/>
                <w:sz w:val="24"/>
              </w:rPr>
              <w:t>……</w:t>
            </w:r>
            <w:r>
              <w:rPr>
                <w:rFonts w:ascii="Times New Roman" w:hAnsi="Times New Roman" w:hint="eastAsia"/>
                <w:color w:val="000000"/>
                <w:kern w:val="1"/>
                <w:sz w:val="24"/>
              </w:rPr>
              <w:t>不鼓励单篇论文发表支出超过</w:t>
            </w:r>
            <w:r>
              <w:rPr>
                <w:rFonts w:ascii="Times New Roman" w:hAnsi="Times New Roman" w:hint="eastAsia"/>
                <w:color w:val="000000"/>
                <w:kern w:val="1"/>
                <w:sz w:val="24"/>
              </w:rPr>
              <w:t>2</w:t>
            </w:r>
            <w:r>
              <w:rPr>
                <w:rFonts w:ascii="Times New Roman" w:hAnsi="Times New Roman" w:hint="eastAsia"/>
                <w:color w:val="000000"/>
                <w:kern w:val="1"/>
                <w:sz w:val="24"/>
              </w:rPr>
              <w:t>万元人民币”，修改为：“严格控制支出超过</w:t>
            </w:r>
            <w:r>
              <w:rPr>
                <w:rFonts w:ascii="Times New Roman" w:hAnsi="Times New Roman" w:hint="eastAsia"/>
                <w:color w:val="000000"/>
                <w:kern w:val="1"/>
                <w:sz w:val="24"/>
              </w:rPr>
              <w:t>2</w:t>
            </w:r>
            <w:r>
              <w:rPr>
                <w:rFonts w:ascii="Times New Roman" w:hAnsi="Times New Roman" w:hint="eastAsia"/>
                <w:color w:val="000000"/>
                <w:kern w:val="1"/>
                <w:sz w:val="24"/>
              </w:rPr>
              <w:t>万元人民币的单篇论文发表”。</w:t>
            </w:r>
          </w:p>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修改理由：公文表述要精准，态度要鲜明坚决，一般情况下不使用“不鼓励”这种态度相对模糊的表述。</w:t>
            </w:r>
          </w:p>
        </w:tc>
        <w:tc>
          <w:tcPr>
            <w:tcW w:w="542" w:type="pct"/>
            <w:vAlign w:val="center"/>
          </w:tcPr>
          <w:p w:rsidR="00CE0456" w:rsidRDefault="006E58F5">
            <w:pPr>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采纳</w:t>
            </w:r>
          </w:p>
        </w:tc>
        <w:tc>
          <w:tcPr>
            <w:tcW w:w="1494" w:type="pct"/>
            <w:vAlign w:val="center"/>
          </w:tcPr>
          <w:p w:rsidR="00CE0456" w:rsidRDefault="006E58F5">
            <w:pPr>
              <w:spacing w:line="320" w:lineRule="exact"/>
              <w:ind w:firstLine="480"/>
              <w:rPr>
                <w:rFonts w:ascii="Times New Roman" w:hAnsi="Times New Roman"/>
                <w:color w:val="000000"/>
                <w:kern w:val="1"/>
                <w:sz w:val="24"/>
              </w:rPr>
            </w:pPr>
            <w:r>
              <w:rPr>
                <w:rFonts w:ascii="Times New Roman" w:hAnsi="Times New Roman" w:hint="eastAsia"/>
                <w:color w:val="000000"/>
                <w:kern w:val="1"/>
                <w:sz w:val="24"/>
              </w:rPr>
              <w:t>原文修改为：</w:t>
            </w:r>
            <w:r>
              <w:rPr>
                <w:rFonts w:ascii="Times New Roman" w:hAnsi="Times New Roman"/>
                <w:color w:val="000000"/>
                <w:kern w:val="1"/>
                <w:sz w:val="24"/>
              </w:rPr>
              <w:t>……</w:t>
            </w:r>
            <w:r>
              <w:rPr>
                <w:rFonts w:ascii="Times New Roman" w:hAnsi="Times New Roman" w:hint="eastAsia"/>
                <w:color w:val="000000"/>
                <w:kern w:val="1"/>
                <w:sz w:val="24"/>
              </w:rPr>
              <w:t>对于单篇论文发表支出超过</w:t>
            </w:r>
            <w:r>
              <w:rPr>
                <w:rFonts w:ascii="Times New Roman" w:hAnsi="Times New Roman" w:hint="eastAsia"/>
                <w:color w:val="000000"/>
                <w:kern w:val="1"/>
                <w:sz w:val="24"/>
              </w:rPr>
              <w:t>2</w:t>
            </w:r>
            <w:r>
              <w:rPr>
                <w:rFonts w:ascii="Times New Roman" w:hAnsi="Times New Roman" w:hint="eastAsia"/>
                <w:color w:val="000000"/>
                <w:kern w:val="1"/>
                <w:sz w:val="24"/>
              </w:rPr>
              <w:t>万元人民币，的，需经该论文通讯作者或</w:t>
            </w:r>
            <w:r>
              <w:rPr>
                <w:rFonts w:ascii="Times New Roman" w:hAnsi="Times New Roman"/>
                <w:color w:val="000000"/>
                <w:kern w:val="1"/>
                <w:sz w:val="24"/>
              </w:rPr>
              <w:t>……</w:t>
            </w:r>
          </w:p>
        </w:tc>
      </w:tr>
      <w:tr w:rsidR="00CE0456">
        <w:trPr>
          <w:trHeight w:val="3233"/>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lastRenderedPageBreak/>
              <w:t>十四</w:t>
            </w:r>
          </w:p>
        </w:tc>
        <w:tc>
          <w:tcPr>
            <w:tcW w:w="2525" w:type="pct"/>
            <w:vAlign w:val="center"/>
          </w:tcPr>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第</w:t>
            </w:r>
            <w:r>
              <w:rPr>
                <w:rFonts w:ascii="Times New Roman" w:hAnsi="Times New Roman" w:hint="eastAsia"/>
                <w:color w:val="000000"/>
                <w:kern w:val="1"/>
                <w:sz w:val="24"/>
              </w:rPr>
              <w:t>8</w:t>
            </w:r>
            <w:r>
              <w:rPr>
                <w:rFonts w:ascii="Times New Roman" w:hAnsi="Times New Roman" w:hint="eastAsia"/>
                <w:color w:val="000000"/>
                <w:kern w:val="1"/>
                <w:sz w:val="24"/>
              </w:rPr>
              <w:t>页八、（二十四）“</w:t>
            </w:r>
            <w:r>
              <w:rPr>
                <w:rFonts w:ascii="Times New Roman" w:hAnsi="Times New Roman"/>
                <w:color w:val="000000"/>
                <w:kern w:val="1"/>
                <w:sz w:val="24"/>
              </w:rPr>
              <w:t>……</w:t>
            </w:r>
            <w:r>
              <w:rPr>
                <w:rFonts w:ascii="Times New Roman" w:hAnsi="Times New Roman" w:hint="eastAsia"/>
                <w:color w:val="000000"/>
                <w:kern w:val="1"/>
                <w:sz w:val="24"/>
              </w:rPr>
              <w:t>不允许将论文发表数量、影响因子等与奖励奖金挂钩”修改为“</w:t>
            </w:r>
            <w:r>
              <w:rPr>
                <w:rFonts w:ascii="Times New Roman" w:hAnsi="Times New Roman"/>
                <w:color w:val="000000"/>
                <w:kern w:val="1"/>
                <w:sz w:val="24"/>
              </w:rPr>
              <w:t>……</w:t>
            </w:r>
            <w:r>
              <w:rPr>
                <w:rFonts w:ascii="Times New Roman" w:hAnsi="Times New Roman" w:hint="eastAsia"/>
                <w:color w:val="000000"/>
                <w:kern w:val="1"/>
                <w:sz w:val="24"/>
              </w:rPr>
              <w:t>严禁将论文发表数量、影响因子等与奖励奖金挂钩”。</w:t>
            </w:r>
          </w:p>
          <w:p w:rsidR="00CE0456" w:rsidRDefault="006E58F5">
            <w:pPr>
              <w:spacing w:line="320" w:lineRule="exact"/>
              <w:ind w:firstLine="480"/>
              <w:jc w:val="left"/>
              <w:rPr>
                <w:rFonts w:ascii="Times New Roman" w:hAnsi="Times New Roman"/>
                <w:color w:val="000000"/>
                <w:kern w:val="1"/>
                <w:sz w:val="24"/>
              </w:rPr>
            </w:pPr>
            <w:r>
              <w:rPr>
                <w:rFonts w:ascii="Times New Roman" w:hAnsi="Times New Roman" w:hint="eastAsia"/>
                <w:color w:val="000000"/>
                <w:kern w:val="1"/>
                <w:sz w:val="24"/>
              </w:rPr>
              <w:t>修改理由：公文表述要精准，态度要鲜明坚决。</w:t>
            </w:r>
          </w:p>
        </w:tc>
        <w:tc>
          <w:tcPr>
            <w:tcW w:w="542" w:type="pct"/>
            <w:vAlign w:val="center"/>
          </w:tcPr>
          <w:p w:rsidR="00CE0456" w:rsidRDefault="006E58F5">
            <w:pPr>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不采纳</w:t>
            </w:r>
          </w:p>
        </w:tc>
        <w:tc>
          <w:tcPr>
            <w:tcW w:w="1494" w:type="pct"/>
            <w:vAlign w:val="center"/>
          </w:tcPr>
          <w:p w:rsidR="00CE0456" w:rsidRDefault="006E58F5">
            <w:pPr>
              <w:spacing w:line="320" w:lineRule="exact"/>
              <w:ind w:firstLine="480"/>
              <w:rPr>
                <w:rFonts w:ascii="Times New Roman" w:hAnsi="Times New Roman"/>
                <w:color w:val="000000"/>
                <w:kern w:val="1"/>
                <w:sz w:val="24"/>
              </w:rPr>
            </w:pPr>
            <w:r>
              <w:rPr>
                <w:rFonts w:ascii="Times New Roman" w:hAnsi="Times New Roman" w:hint="eastAsia"/>
                <w:color w:val="000000"/>
                <w:kern w:val="1"/>
                <w:sz w:val="24"/>
              </w:rPr>
              <w:t>“不允许”表达意思已经很精准，态度非常鲜明坚决。且是科技部原文的表述用词。</w:t>
            </w:r>
          </w:p>
        </w:tc>
      </w:tr>
      <w:tr w:rsidR="00CE0456">
        <w:trPr>
          <w:trHeight w:val="3233"/>
        </w:trPr>
        <w:tc>
          <w:tcPr>
            <w:tcW w:w="439" w:type="pct"/>
            <w:vAlign w:val="center"/>
          </w:tcPr>
          <w:p w:rsidR="00CE0456" w:rsidRDefault="006E58F5">
            <w:pPr>
              <w:suppressAutoHyphens/>
              <w:adjustRightInd w:val="0"/>
              <w:snapToGrid w:val="0"/>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十五</w:t>
            </w:r>
          </w:p>
        </w:tc>
        <w:tc>
          <w:tcPr>
            <w:tcW w:w="2525" w:type="pct"/>
            <w:vAlign w:val="center"/>
          </w:tcPr>
          <w:p w:rsidR="00CE0456" w:rsidRDefault="006E58F5">
            <w:pPr>
              <w:spacing w:line="320" w:lineRule="exact"/>
              <w:ind w:firstLineChars="0" w:firstLine="0"/>
              <w:jc w:val="left"/>
              <w:rPr>
                <w:rFonts w:ascii="Times New Roman" w:hAnsi="Times New Roman"/>
                <w:color w:val="000000"/>
                <w:kern w:val="1"/>
                <w:sz w:val="24"/>
              </w:rPr>
            </w:pPr>
            <w:r>
              <w:rPr>
                <w:rFonts w:ascii="Times New Roman" w:hAnsi="Times New Roman"/>
                <w:color w:val="000000"/>
                <w:kern w:val="1"/>
                <w:sz w:val="24"/>
              </w:rPr>
              <w:t>1.</w:t>
            </w:r>
            <w:r>
              <w:rPr>
                <w:rFonts w:ascii="Times New Roman" w:hAnsi="Times New Roman"/>
                <w:color w:val="000000"/>
                <w:kern w:val="1"/>
                <w:sz w:val="24"/>
              </w:rPr>
              <w:t>科技立项评价重点评价技术可行性。</w:t>
            </w:r>
          </w:p>
          <w:p w:rsidR="00CE0456" w:rsidRDefault="006E58F5">
            <w:pPr>
              <w:spacing w:line="320" w:lineRule="exact"/>
              <w:ind w:firstLineChars="0" w:firstLine="0"/>
              <w:jc w:val="left"/>
              <w:rPr>
                <w:rFonts w:ascii="Times New Roman" w:hAnsi="Times New Roman"/>
                <w:color w:val="000000"/>
                <w:kern w:val="1"/>
                <w:sz w:val="24"/>
              </w:rPr>
            </w:pPr>
            <w:r>
              <w:rPr>
                <w:rFonts w:ascii="Times New Roman" w:hAnsi="Times New Roman"/>
                <w:color w:val="000000"/>
                <w:kern w:val="1"/>
                <w:sz w:val="24"/>
              </w:rPr>
              <w:t>2.</w:t>
            </w:r>
            <w:r>
              <w:rPr>
                <w:rFonts w:ascii="Times New Roman" w:hAnsi="Times New Roman"/>
                <w:color w:val="000000"/>
                <w:kern w:val="1"/>
                <w:sz w:val="24"/>
              </w:rPr>
              <w:t>重点评价技术的原创性、去掉</w:t>
            </w:r>
            <w:r>
              <w:rPr>
                <w:rFonts w:ascii="Times New Roman" w:hAnsi="Times New Roman"/>
                <w:color w:val="000000"/>
                <w:kern w:val="1"/>
                <w:sz w:val="24"/>
              </w:rPr>
              <w:t>“</w:t>
            </w:r>
            <w:r>
              <w:rPr>
                <w:rFonts w:ascii="Times New Roman" w:hAnsi="Times New Roman"/>
                <w:color w:val="000000"/>
                <w:kern w:val="1"/>
                <w:sz w:val="24"/>
              </w:rPr>
              <w:t>唯论文、唯职称、唯学历</w:t>
            </w:r>
            <w:r>
              <w:rPr>
                <w:rFonts w:ascii="Times New Roman" w:hAnsi="Times New Roman"/>
                <w:color w:val="000000"/>
                <w:kern w:val="1"/>
                <w:sz w:val="24"/>
              </w:rPr>
              <w:t>”</w:t>
            </w:r>
            <w:r>
              <w:rPr>
                <w:rFonts w:ascii="Times New Roman" w:hAnsi="Times New Roman"/>
                <w:color w:val="000000"/>
                <w:kern w:val="1"/>
                <w:sz w:val="24"/>
              </w:rPr>
              <w:t>尊重科技瞬间灵感。</w:t>
            </w:r>
          </w:p>
          <w:p w:rsidR="00CE0456" w:rsidRDefault="006E58F5">
            <w:pPr>
              <w:spacing w:line="320" w:lineRule="exact"/>
              <w:ind w:firstLineChars="0" w:firstLine="0"/>
              <w:jc w:val="left"/>
              <w:rPr>
                <w:rFonts w:ascii="Times New Roman" w:hAnsi="Times New Roman"/>
                <w:color w:val="000000"/>
                <w:kern w:val="1"/>
                <w:sz w:val="24"/>
              </w:rPr>
            </w:pPr>
            <w:r>
              <w:rPr>
                <w:rFonts w:ascii="Times New Roman" w:hAnsi="Times New Roman"/>
                <w:color w:val="000000"/>
                <w:kern w:val="1"/>
                <w:sz w:val="24"/>
              </w:rPr>
              <w:t>3.</w:t>
            </w:r>
            <w:r>
              <w:rPr>
                <w:rFonts w:ascii="Times New Roman" w:hAnsi="Times New Roman"/>
                <w:color w:val="000000"/>
                <w:kern w:val="1"/>
                <w:sz w:val="24"/>
              </w:rPr>
              <w:t>重点评价技术贡献、市场价值、科学价值、教学价值、经济价值。</w:t>
            </w:r>
          </w:p>
          <w:p w:rsidR="00CE0456" w:rsidRDefault="006E58F5">
            <w:pPr>
              <w:spacing w:line="320" w:lineRule="exact"/>
              <w:ind w:firstLineChars="0" w:firstLine="0"/>
              <w:jc w:val="left"/>
              <w:rPr>
                <w:rFonts w:ascii="Times New Roman" w:hAnsi="Times New Roman"/>
                <w:color w:val="000000"/>
                <w:kern w:val="1"/>
                <w:sz w:val="24"/>
              </w:rPr>
            </w:pPr>
            <w:r>
              <w:rPr>
                <w:rFonts w:ascii="Times New Roman" w:hAnsi="Times New Roman"/>
                <w:color w:val="000000"/>
                <w:kern w:val="1"/>
                <w:sz w:val="24"/>
              </w:rPr>
              <w:t>4.</w:t>
            </w:r>
            <w:r>
              <w:rPr>
                <w:rFonts w:ascii="Times New Roman" w:hAnsi="Times New Roman"/>
                <w:color w:val="000000"/>
                <w:kern w:val="1"/>
                <w:sz w:val="24"/>
              </w:rPr>
              <w:t>破除项目负责任人的</w:t>
            </w:r>
            <w:r>
              <w:rPr>
                <w:rFonts w:ascii="Times New Roman" w:hAnsi="Times New Roman"/>
                <w:color w:val="000000"/>
                <w:kern w:val="1"/>
                <w:sz w:val="24"/>
              </w:rPr>
              <w:t>“</w:t>
            </w:r>
            <w:r>
              <w:rPr>
                <w:rFonts w:ascii="Times New Roman" w:hAnsi="Times New Roman"/>
                <w:color w:val="000000"/>
                <w:kern w:val="1"/>
                <w:sz w:val="24"/>
              </w:rPr>
              <w:t>经历</w:t>
            </w:r>
            <w:r>
              <w:rPr>
                <w:rFonts w:ascii="Times New Roman" w:hAnsi="Times New Roman"/>
                <w:color w:val="000000"/>
                <w:kern w:val="1"/>
                <w:sz w:val="24"/>
              </w:rPr>
              <w:t>”</w:t>
            </w:r>
            <w:r>
              <w:rPr>
                <w:rFonts w:ascii="Times New Roman" w:hAnsi="Times New Roman"/>
                <w:color w:val="000000"/>
                <w:kern w:val="1"/>
                <w:sz w:val="24"/>
              </w:rPr>
              <w:t>做到英雄不问来路，坚持谁想干让谁干，谁能干让谁干。</w:t>
            </w:r>
          </w:p>
          <w:p w:rsidR="00CE0456" w:rsidRDefault="006E58F5">
            <w:pPr>
              <w:spacing w:line="320" w:lineRule="exact"/>
              <w:ind w:firstLineChars="0" w:firstLine="0"/>
              <w:jc w:val="left"/>
              <w:rPr>
                <w:rFonts w:ascii="Times New Roman" w:hAnsi="Times New Roman"/>
                <w:color w:val="000000"/>
                <w:kern w:val="1"/>
                <w:sz w:val="24"/>
              </w:rPr>
            </w:pPr>
            <w:r>
              <w:rPr>
                <w:rFonts w:ascii="Times New Roman" w:hAnsi="Times New Roman"/>
                <w:color w:val="000000"/>
                <w:kern w:val="1"/>
                <w:sz w:val="24"/>
              </w:rPr>
              <w:t>5.</w:t>
            </w:r>
            <w:r>
              <w:rPr>
                <w:rFonts w:ascii="Times New Roman" w:hAnsi="Times New Roman"/>
                <w:color w:val="000000"/>
                <w:kern w:val="1"/>
                <w:sz w:val="24"/>
              </w:rPr>
              <w:t>项目评审不论背景。</w:t>
            </w:r>
          </w:p>
        </w:tc>
        <w:tc>
          <w:tcPr>
            <w:tcW w:w="542" w:type="pct"/>
            <w:vAlign w:val="center"/>
          </w:tcPr>
          <w:p w:rsidR="00CE0456" w:rsidRDefault="006E58F5">
            <w:pPr>
              <w:spacing w:line="320" w:lineRule="exact"/>
              <w:ind w:firstLineChars="0" w:firstLine="0"/>
              <w:jc w:val="center"/>
              <w:rPr>
                <w:rFonts w:ascii="Times New Roman" w:hAnsi="Times New Roman"/>
                <w:color w:val="000000"/>
                <w:kern w:val="1"/>
                <w:sz w:val="24"/>
              </w:rPr>
            </w:pPr>
            <w:r>
              <w:rPr>
                <w:rFonts w:ascii="Times New Roman" w:hAnsi="Times New Roman" w:hint="eastAsia"/>
                <w:color w:val="000000"/>
                <w:kern w:val="1"/>
                <w:sz w:val="24"/>
              </w:rPr>
              <w:t>部分采纳</w:t>
            </w:r>
          </w:p>
        </w:tc>
        <w:tc>
          <w:tcPr>
            <w:tcW w:w="1494" w:type="pct"/>
            <w:vAlign w:val="center"/>
          </w:tcPr>
          <w:p w:rsidR="00CE0456" w:rsidRDefault="006E58F5">
            <w:pPr>
              <w:spacing w:line="320" w:lineRule="exact"/>
              <w:ind w:firstLine="480"/>
              <w:rPr>
                <w:rFonts w:ascii="Times New Roman" w:hAnsi="Times New Roman"/>
                <w:color w:val="000000"/>
                <w:kern w:val="1"/>
                <w:sz w:val="24"/>
              </w:rPr>
            </w:pPr>
            <w:proofErr w:type="gramStart"/>
            <w:r>
              <w:rPr>
                <w:rFonts w:ascii="Times New Roman" w:hAnsi="Times New Roman" w:hint="eastAsia"/>
                <w:color w:val="000000"/>
                <w:kern w:val="1"/>
                <w:sz w:val="24"/>
              </w:rPr>
              <w:t>本措施</w:t>
            </w:r>
            <w:proofErr w:type="gramEnd"/>
            <w:r>
              <w:rPr>
                <w:rFonts w:ascii="Times New Roman" w:hAnsi="Times New Roman" w:hint="eastAsia"/>
                <w:color w:val="000000"/>
                <w:kern w:val="1"/>
                <w:sz w:val="24"/>
              </w:rPr>
              <w:t>中已经吸纳相关内容</w:t>
            </w:r>
          </w:p>
        </w:tc>
      </w:tr>
    </w:tbl>
    <w:p w:rsidR="00CE0456" w:rsidRDefault="00CE0456">
      <w:pPr>
        <w:suppressAutoHyphens/>
        <w:adjustRightInd w:val="0"/>
        <w:snapToGrid w:val="0"/>
        <w:spacing w:line="320" w:lineRule="exact"/>
        <w:ind w:firstLine="480"/>
        <w:jc w:val="center"/>
        <w:rPr>
          <w:rFonts w:ascii="Times New Roman" w:hAnsi="Times New Roman"/>
          <w:color w:val="000000"/>
          <w:kern w:val="1"/>
          <w:sz w:val="24"/>
        </w:rPr>
      </w:pPr>
    </w:p>
    <w:p w:rsidR="00CE0456" w:rsidRDefault="00CE0456">
      <w:pPr>
        <w:ind w:firstLine="640"/>
      </w:pPr>
    </w:p>
    <w:sectPr w:rsidR="00CE0456">
      <w:headerReference w:type="even" r:id="rId9"/>
      <w:headerReference w:type="default" r:id="rId10"/>
      <w:footerReference w:type="even" r:id="rId11"/>
      <w:footerReference w:type="default" r:id="rId12"/>
      <w:headerReference w:type="first" r:id="rId13"/>
      <w:footerReference w:type="first" r:id="rId14"/>
      <w:pgSz w:w="16838" w:h="11906" w:orient="landscape"/>
      <w:pgMar w:top="1587" w:right="2098" w:bottom="1474" w:left="1984" w:header="851" w:footer="992" w:gutter="0"/>
      <w:cols w:space="0"/>
      <w:docGrid w:type="lines" w:linePitch="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F5" w:rsidRDefault="006E58F5" w:rsidP="00687B0C">
      <w:pPr>
        <w:spacing w:line="240" w:lineRule="auto"/>
        <w:ind w:firstLine="640"/>
      </w:pPr>
      <w:r>
        <w:separator/>
      </w:r>
    </w:p>
  </w:endnote>
  <w:endnote w:type="continuationSeparator" w:id="0">
    <w:p w:rsidR="006E58F5" w:rsidRDefault="006E58F5" w:rsidP="00687B0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56" w:rsidRDefault="006E58F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0456" w:rsidRDefault="00CE04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56" w:rsidRDefault="006E58F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87B0C">
      <w:rPr>
        <w:rStyle w:val="a8"/>
        <w:noProof/>
      </w:rPr>
      <w:t>1</w:t>
    </w:r>
    <w:r>
      <w:rPr>
        <w:rStyle w:val="a8"/>
      </w:rPr>
      <w:fldChar w:fldCharType="end"/>
    </w:r>
  </w:p>
  <w:p w:rsidR="00CE0456" w:rsidRDefault="006E58F5">
    <w:pPr>
      <w:pStyle w:val="a5"/>
    </w:pPr>
    <w:r>
      <w:rPr>
        <w:noProof/>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51485" cy="3619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51485" cy="361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0456" w:rsidRDefault="006E58F5">
                          <w:pPr>
                            <w:pStyle w:val="a5"/>
                            <w:rPr>
                              <w:rFonts w:eastAsia="仿宋_GB2312"/>
                            </w:rPr>
                          </w:pPr>
                          <w:r>
                            <w:rPr>
                              <w:rFonts w:hint="eastAsia"/>
                            </w:rPr>
                            <w:t>—</w:t>
                          </w:r>
                          <w:r>
                            <w:rPr>
                              <w:rFonts w:hint="eastAsia"/>
                            </w:rPr>
                            <w:fldChar w:fldCharType="begin"/>
                          </w:r>
                          <w:r>
                            <w:rPr>
                              <w:rFonts w:hint="eastAsia"/>
                            </w:rPr>
                            <w:instrText xml:space="preserve"> PAGE  \* MERGEFORMAT </w:instrText>
                          </w:r>
                          <w:r>
                            <w:rPr>
                              <w:rFonts w:hint="eastAsia"/>
                            </w:rPr>
                            <w:fldChar w:fldCharType="separate"/>
                          </w:r>
                          <w:r w:rsidR="00687B0C">
                            <w:rPr>
                              <w:noProof/>
                            </w:rPr>
                            <w:t>1</w:t>
                          </w:r>
                          <w:r>
                            <w:rPr>
                              <w:rFonts w:hint="eastAsia"/>
                            </w:rPr>
                            <w:fldChar w:fldCharType="end"/>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5.65pt;margin-top:0;width:35.55pt;height:28.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" filled="f" stroked="f" strokeweight=".5pt">
              <v:textbox style="mso-fit-shape-to-text:t" inset="0,0,0,0">
                <w:txbxContent>
                  <w:p w:rsidR="00CE0456" w:rsidRDefault="006E58F5">
                    <w:pPr>
                      <w:pStyle w:val="a5"/>
                      <w:rPr>
                        <w:rFonts w:eastAsia="仿宋_GB2312"/>
                      </w:rPr>
                    </w:pPr>
                    <w:r>
                      <w:rPr>
                        <w:rFonts w:hint="eastAsia"/>
                      </w:rPr>
                      <w:t>—</w:t>
                    </w:r>
                    <w:r>
                      <w:rPr>
                        <w:rFonts w:hint="eastAsia"/>
                      </w:rPr>
                      <w:fldChar w:fldCharType="begin"/>
                    </w:r>
                    <w:r>
                      <w:rPr>
                        <w:rFonts w:hint="eastAsia"/>
                      </w:rPr>
                      <w:instrText xml:space="preserve"> PAGE  \* MERGEFORMAT </w:instrText>
                    </w:r>
                    <w:r>
                      <w:rPr>
                        <w:rFonts w:hint="eastAsia"/>
                      </w:rPr>
                      <w:fldChar w:fldCharType="separate"/>
                    </w:r>
                    <w:r w:rsidR="00687B0C">
                      <w:rPr>
                        <w:noProof/>
                      </w:rPr>
                      <w:t>1</w:t>
                    </w:r>
                    <w:r>
                      <w:rPr>
                        <w:rFonts w:hint="eastAsia"/>
                      </w:rPr>
                      <w:fldChar w:fldCharType="end"/>
                    </w:r>
                    <w:r>
                      <w:rPr>
                        <w:rFonts w:hint="eastAsia"/>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56" w:rsidRDefault="00CE04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F5" w:rsidRDefault="006E58F5" w:rsidP="00687B0C">
      <w:pPr>
        <w:spacing w:line="240" w:lineRule="auto"/>
        <w:ind w:firstLine="640"/>
      </w:pPr>
      <w:r>
        <w:separator/>
      </w:r>
    </w:p>
  </w:footnote>
  <w:footnote w:type="continuationSeparator" w:id="0">
    <w:p w:rsidR="006E58F5" w:rsidRDefault="006E58F5" w:rsidP="00687B0C">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56" w:rsidRDefault="00CE0456">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56" w:rsidRDefault="00CE0456">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56" w:rsidRDefault="00CE0456">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39"/>
    <w:rsid w:val="00001319"/>
    <w:rsid w:val="000113CE"/>
    <w:rsid w:val="00026F81"/>
    <w:rsid w:val="0005042E"/>
    <w:rsid w:val="00061565"/>
    <w:rsid w:val="00061F8F"/>
    <w:rsid w:val="000C2EF4"/>
    <w:rsid w:val="000D198C"/>
    <w:rsid w:val="001020B7"/>
    <w:rsid w:val="00106358"/>
    <w:rsid w:val="00121321"/>
    <w:rsid w:val="001A4734"/>
    <w:rsid w:val="001A5C05"/>
    <w:rsid w:val="001E52E5"/>
    <w:rsid w:val="00202C25"/>
    <w:rsid w:val="0024661B"/>
    <w:rsid w:val="002568AD"/>
    <w:rsid w:val="003545C6"/>
    <w:rsid w:val="0037591F"/>
    <w:rsid w:val="00393563"/>
    <w:rsid w:val="003A3679"/>
    <w:rsid w:val="004B7E6F"/>
    <w:rsid w:val="004D1BBA"/>
    <w:rsid w:val="005307EF"/>
    <w:rsid w:val="0054004C"/>
    <w:rsid w:val="00573030"/>
    <w:rsid w:val="00597AC4"/>
    <w:rsid w:val="005A4F19"/>
    <w:rsid w:val="00600EF4"/>
    <w:rsid w:val="00616493"/>
    <w:rsid w:val="00687B0C"/>
    <w:rsid w:val="00695671"/>
    <w:rsid w:val="006B3C42"/>
    <w:rsid w:val="006C7DBC"/>
    <w:rsid w:val="006E58F5"/>
    <w:rsid w:val="006F6DE1"/>
    <w:rsid w:val="007538CD"/>
    <w:rsid w:val="007D46A2"/>
    <w:rsid w:val="00827B0F"/>
    <w:rsid w:val="008B4C3E"/>
    <w:rsid w:val="008F5CD7"/>
    <w:rsid w:val="00911092"/>
    <w:rsid w:val="00973F54"/>
    <w:rsid w:val="00A5217F"/>
    <w:rsid w:val="00AC3B77"/>
    <w:rsid w:val="00AD0403"/>
    <w:rsid w:val="00B10A29"/>
    <w:rsid w:val="00B3061F"/>
    <w:rsid w:val="00B32851"/>
    <w:rsid w:val="00B361F4"/>
    <w:rsid w:val="00B637C8"/>
    <w:rsid w:val="00B70FD8"/>
    <w:rsid w:val="00B93447"/>
    <w:rsid w:val="00C639A7"/>
    <w:rsid w:val="00C84B44"/>
    <w:rsid w:val="00CD1539"/>
    <w:rsid w:val="00CD490D"/>
    <w:rsid w:val="00CE0456"/>
    <w:rsid w:val="00D009E0"/>
    <w:rsid w:val="00D12E7A"/>
    <w:rsid w:val="00D66605"/>
    <w:rsid w:val="00E66019"/>
    <w:rsid w:val="00E75B6F"/>
    <w:rsid w:val="00E90785"/>
    <w:rsid w:val="00EC1764"/>
    <w:rsid w:val="00EC5A36"/>
    <w:rsid w:val="00F51247"/>
    <w:rsid w:val="00F53625"/>
    <w:rsid w:val="00FB027F"/>
    <w:rsid w:val="00FC0524"/>
    <w:rsid w:val="01DE5D60"/>
    <w:rsid w:val="09362FED"/>
    <w:rsid w:val="10912662"/>
    <w:rsid w:val="141F1E68"/>
    <w:rsid w:val="319455EB"/>
    <w:rsid w:val="346A6F88"/>
    <w:rsid w:val="3BD42B57"/>
    <w:rsid w:val="3DE53471"/>
    <w:rsid w:val="4F61641D"/>
    <w:rsid w:val="69FA1895"/>
    <w:rsid w:val="6D820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header" w:semiHidden="0" w:unhideWhenUsed="0" w:qFormat="1"/>
    <w:lsdException w:name="footer" w:semiHidden="0" w:unhideWhenUsed="0" w:qFormat="1"/>
    <w:lsdException w:name="caption" w:qFormat="1"/>
    <w:lsdException w:name="page number" w:semiHidden="0" w:unhideWhenUsed="0"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semiHidden="0" w:uiPriority="1"/>
    <w:lsdException w:name="Body Text" w:semiHidden="0" w:unhideWhenUsed="0" w:qFormat="1"/>
    <w:lsdException w:name="Subtitle" w:semiHidden="0" w:unhideWhenUsed="0" w:qFormat="1"/>
    <w:lsdException w:name="Body Text First Indent"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200" w:firstLine="420"/>
      <w:jc w:val="both"/>
    </w:pPr>
    <w:rPr>
      <w:rFonts w:ascii="仿宋_GB2312" w:eastAsia="仿宋_GB2312" w:hAnsi="仿宋_GB2312" w:cstheme="minorBidi"/>
      <w:kern w:val="2"/>
      <w:sz w:val="32"/>
      <w:szCs w:val="24"/>
    </w:rPr>
  </w:style>
  <w:style w:type="paragraph" w:styleId="1">
    <w:name w:val="heading 1"/>
    <w:basedOn w:val="a"/>
    <w:next w:val="a"/>
    <w:qFormat/>
    <w:pPr>
      <w:keepNext/>
      <w:keepLines/>
      <w:outlineLvl w:val="0"/>
    </w:pPr>
    <w:rPr>
      <w:rFonts w:eastAsia="黑体"/>
      <w:kern w:val="44"/>
    </w:rPr>
  </w:style>
  <w:style w:type="paragraph" w:styleId="2">
    <w:name w:val="heading 2"/>
    <w:basedOn w:val="a"/>
    <w:next w:val="a"/>
    <w:link w:val="2Char"/>
    <w:unhideWhenUsed/>
    <w:qFormat/>
    <w:pPr>
      <w:keepNext/>
      <w:keepLines/>
      <w:outlineLvl w:val="1"/>
    </w:pPr>
    <w:rPr>
      <w:rFonts w:ascii="楷体_GB2312" w:eastAsia="楷体_GB2312" w:hAnsi="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color w:val="FF0000"/>
    </w:rPr>
  </w:style>
  <w:style w:type="paragraph" w:styleId="a4">
    <w:name w:val="Balloon Text"/>
    <w:basedOn w:val="a"/>
    <w:link w:val="Char"/>
    <w:semiHidden/>
    <w:unhideWhenUsed/>
    <w:qFormat/>
    <w:pPr>
      <w:spacing w:line="240" w:lineRule="auto"/>
    </w:pPr>
    <w:rPr>
      <w:sz w:val="18"/>
      <w:szCs w:val="18"/>
    </w:rPr>
  </w:style>
  <w:style w:type="paragraph" w:styleId="a5">
    <w:name w:val="footer"/>
    <w:basedOn w:val="a"/>
    <w:qFormat/>
    <w:pPr>
      <w:tabs>
        <w:tab w:val="center" w:pos="4153"/>
        <w:tab w:val="right" w:pos="8306"/>
      </w:tabs>
      <w:snapToGrid w:val="0"/>
      <w:ind w:firstLineChars="0" w:firstLine="0"/>
      <w:jc w:val="left"/>
    </w:pPr>
    <w:rPr>
      <w:rFonts w:ascii="宋体" w:eastAsia="宋体" w:hAnsi="宋体"/>
      <w:sz w:val="2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Body Text First Indent"/>
    <w:basedOn w:val="a3"/>
    <w:qFormat/>
    <w:pPr>
      <w:spacing w:line="600" w:lineRule="exact"/>
      <w:ind w:firstLine="720"/>
      <w:jc w:val="left"/>
    </w:pPr>
    <w:rPr>
      <w:rFonts w:ascii="宋体" w:hAnsi="宋体" w:cs="宋体"/>
      <w:sz w:val="28"/>
      <w:szCs w:val="22"/>
    </w:rPr>
  </w:style>
  <w:style w:type="character" w:styleId="a8">
    <w:name w:val="page number"/>
    <w:basedOn w:val="a0"/>
    <w:qFormat/>
  </w:style>
  <w:style w:type="paragraph" w:customStyle="1" w:styleId="a9">
    <w:name w:val="首标题"/>
    <w:basedOn w:val="a"/>
    <w:qFormat/>
    <w:pPr>
      <w:spacing w:line="600" w:lineRule="exact"/>
      <w:ind w:firstLineChars="0" w:firstLine="0"/>
      <w:jc w:val="center"/>
    </w:pPr>
    <w:rPr>
      <w:rFonts w:ascii="方正小标宋简体" w:eastAsia="方正小标宋简体" w:hAnsi="方正小标宋简体"/>
      <w:sz w:val="44"/>
    </w:rPr>
  </w:style>
  <w:style w:type="character" w:customStyle="1" w:styleId="2Char">
    <w:name w:val="标题 2 Char"/>
    <w:link w:val="2"/>
    <w:qFormat/>
    <w:rPr>
      <w:rFonts w:ascii="楷体_GB2312" w:eastAsia="楷体_GB2312" w:hAnsi="楷体_GB2312"/>
    </w:rPr>
  </w:style>
  <w:style w:type="character" w:customStyle="1" w:styleId="Char">
    <w:name w:val="批注框文本 Char"/>
    <w:basedOn w:val="a0"/>
    <w:link w:val="a4"/>
    <w:semiHidden/>
    <w:qFormat/>
    <w:rPr>
      <w:rFonts w:ascii="仿宋_GB2312" w:eastAsia="仿宋_GB2312" w:hAnsi="仿宋_GB2312"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header" w:semiHidden="0" w:unhideWhenUsed="0" w:qFormat="1"/>
    <w:lsdException w:name="footer" w:semiHidden="0" w:unhideWhenUsed="0" w:qFormat="1"/>
    <w:lsdException w:name="caption" w:qFormat="1"/>
    <w:lsdException w:name="page number" w:semiHidden="0" w:unhideWhenUsed="0"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semiHidden="0" w:uiPriority="1"/>
    <w:lsdException w:name="Body Text" w:semiHidden="0" w:unhideWhenUsed="0" w:qFormat="1"/>
    <w:lsdException w:name="Subtitle" w:semiHidden="0" w:unhideWhenUsed="0" w:qFormat="1"/>
    <w:lsdException w:name="Body Text First Indent"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200" w:firstLine="420"/>
      <w:jc w:val="both"/>
    </w:pPr>
    <w:rPr>
      <w:rFonts w:ascii="仿宋_GB2312" w:eastAsia="仿宋_GB2312" w:hAnsi="仿宋_GB2312" w:cstheme="minorBidi"/>
      <w:kern w:val="2"/>
      <w:sz w:val="32"/>
      <w:szCs w:val="24"/>
    </w:rPr>
  </w:style>
  <w:style w:type="paragraph" w:styleId="1">
    <w:name w:val="heading 1"/>
    <w:basedOn w:val="a"/>
    <w:next w:val="a"/>
    <w:qFormat/>
    <w:pPr>
      <w:keepNext/>
      <w:keepLines/>
      <w:outlineLvl w:val="0"/>
    </w:pPr>
    <w:rPr>
      <w:rFonts w:eastAsia="黑体"/>
      <w:kern w:val="44"/>
    </w:rPr>
  </w:style>
  <w:style w:type="paragraph" w:styleId="2">
    <w:name w:val="heading 2"/>
    <w:basedOn w:val="a"/>
    <w:next w:val="a"/>
    <w:link w:val="2Char"/>
    <w:unhideWhenUsed/>
    <w:qFormat/>
    <w:pPr>
      <w:keepNext/>
      <w:keepLines/>
      <w:outlineLvl w:val="1"/>
    </w:pPr>
    <w:rPr>
      <w:rFonts w:ascii="楷体_GB2312" w:eastAsia="楷体_GB2312" w:hAnsi="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color w:val="FF0000"/>
    </w:rPr>
  </w:style>
  <w:style w:type="paragraph" w:styleId="a4">
    <w:name w:val="Balloon Text"/>
    <w:basedOn w:val="a"/>
    <w:link w:val="Char"/>
    <w:semiHidden/>
    <w:unhideWhenUsed/>
    <w:qFormat/>
    <w:pPr>
      <w:spacing w:line="240" w:lineRule="auto"/>
    </w:pPr>
    <w:rPr>
      <w:sz w:val="18"/>
      <w:szCs w:val="18"/>
    </w:rPr>
  </w:style>
  <w:style w:type="paragraph" w:styleId="a5">
    <w:name w:val="footer"/>
    <w:basedOn w:val="a"/>
    <w:qFormat/>
    <w:pPr>
      <w:tabs>
        <w:tab w:val="center" w:pos="4153"/>
        <w:tab w:val="right" w:pos="8306"/>
      </w:tabs>
      <w:snapToGrid w:val="0"/>
      <w:ind w:firstLineChars="0" w:firstLine="0"/>
      <w:jc w:val="left"/>
    </w:pPr>
    <w:rPr>
      <w:rFonts w:ascii="宋体" w:eastAsia="宋体" w:hAnsi="宋体"/>
      <w:sz w:val="2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Body Text First Indent"/>
    <w:basedOn w:val="a3"/>
    <w:qFormat/>
    <w:pPr>
      <w:spacing w:line="600" w:lineRule="exact"/>
      <w:ind w:firstLine="720"/>
      <w:jc w:val="left"/>
    </w:pPr>
    <w:rPr>
      <w:rFonts w:ascii="宋体" w:hAnsi="宋体" w:cs="宋体"/>
      <w:sz w:val="28"/>
      <w:szCs w:val="22"/>
    </w:rPr>
  </w:style>
  <w:style w:type="character" w:styleId="a8">
    <w:name w:val="page number"/>
    <w:basedOn w:val="a0"/>
    <w:qFormat/>
  </w:style>
  <w:style w:type="paragraph" w:customStyle="1" w:styleId="a9">
    <w:name w:val="首标题"/>
    <w:basedOn w:val="a"/>
    <w:qFormat/>
    <w:pPr>
      <w:spacing w:line="600" w:lineRule="exact"/>
      <w:ind w:firstLineChars="0" w:firstLine="0"/>
      <w:jc w:val="center"/>
    </w:pPr>
    <w:rPr>
      <w:rFonts w:ascii="方正小标宋简体" w:eastAsia="方正小标宋简体" w:hAnsi="方正小标宋简体"/>
      <w:sz w:val="44"/>
    </w:rPr>
  </w:style>
  <w:style w:type="character" w:customStyle="1" w:styleId="2Char">
    <w:name w:val="标题 2 Char"/>
    <w:link w:val="2"/>
    <w:qFormat/>
    <w:rPr>
      <w:rFonts w:ascii="楷体_GB2312" w:eastAsia="楷体_GB2312" w:hAnsi="楷体_GB2312"/>
    </w:rPr>
  </w:style>
  <w:style w:type="character" w:customStyle="1" w:styleId="Char">
    <w:name w:val="批注框文本 Char"/>
    <w:basedOn w:val="a0"/>
    <w:link w:val="a4"/>
    <w:semiHidden/>
    <w:qFormat/>
    <w:rPr>
      <w:rFonts w:ascii="仿宋_GB2312" w:eastAsia="仿宋_GB2312" w:hAnsi="仿宋_GB2312"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BF95AC-9C22-4264-9CC4-58BFEB9C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559</Words>
  <Characters>3187</Characters>
  <Application>Microsoft Office Word</Application>
  <DocSecurity>0</DocSecurity>
  <Lines>26</Lines>
  <Paragraphs>7</Paragraphs>
  <ScaleCrop>false</ScaleCrop>
  <Company>中国石油大学</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罗夏宁</cp:lastModifiedBy>
  <cp:revision>3</cp:revision>
  <cp:lastPrinted>2021-05-13T03:00:00Z</cp:lastPrinted>
  <dcterms:created xsi:type="dcterms:W3CDTF">2021-06-22T07:26:00Z</dcterms:created>
  <dcterms:modified xsi:type="dcterms:W3CDTF">2021-06-25T03:34:00Z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AF30F83B73FA402A9E7F17888DEBC48A</vt:lpwstr>
  </property>
</Properties>
</file>