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cs="方正小标宋简体"/>
        </w:rPr>
      </w:pPr>
      <w:r>
        <w:rPr>
          <w:rFonts w:hint="eastAsia" w:cs="方正小标宋简体"/>
          <w:lang w:val="en-US" w:eastAsia="zh-CN"/>
        </w:rPr>
        <w:t>《自治区本级财政科技计划监督工作规定》（修改征求意见稿）修改意见建议采纳情况</w:t>
      </w:r>
    </w:p>
    <w:p>
      <w:pPr>
        <w:ind w:firstLine="640"/>
      </w:pPr>
      <w:r>
        <w:rPr>
          <w:rFonts w:hint="eastAsia"/>
        </w:rPr>
        <w:t>4月</w:t>
      </w:r>
      <w:r>
        <w:rPr>
          <w:rFonts w:hint="eastAsia"/>
          <w:lang w:val="en-US" w:eastAsia="zh-CN"/>
        </w:rPr>
        <w:t>30</w:t>
      </w:r>
      <w:r>
        <w:rPr>
          <w:rFonts w:hint="eastAsia"/>
        </w:rPr>
        <w:t>日-</w:t>
      </w:r>
      <w:r>
        <w:rPr>
          <w:rFonts w:hint="eastAsia"/>
          <w:lang w:val="en-US" w:eastAsia="zh-CN"/>
        </w:rPr>
        <w:t>5月</w:t>
      </w:r>
      <w:r>
        <w:rPr>
          <w:rFonts w:hint="eastAsia"/>
        </w:rPr>
        <w:t>20日，我厅发布了关于公开征求《自治区</w:t>
      </w:r>
      <w:r>
        <w:rPr>
          <w:rFonts w:hint="eastAsia"/>
          <w:lang w:eastAsia="zh-CN"/>
        </w:rPr>
        <w:t>本级</w:t>
      </w:r>
      <w:r>
        <w:rPr>
          <w:rFonts w:hint="eastAsia"/>
        </w:rPr>
        <w:t>科技</w:t>
      </w:r>
      <w:r>
        <w:rPr>
          <w:rFonts w:hint="eastAsia"/>
          <w:lang w:eastAsia="zh-CN"/>
        </w:rPr>
        <w:t>计划监督工作规定</w:t>
      </w:r>
      <w:r>
        <w:rPr>
          <w:rFonts w:hint="eastAsia"/>
        </w:rPr>
        <w:t>》（</w:t>
      </w:r>
      <w:r>
        <w:rPr>
          <w:rFonts w:hint="eastAsia"/>
          <w:lang w:eastAsia="zh-CN"/>
        </w:rPr>
        <w:t>修改</w:t>
      </w:r>
      <w:r>
        <w:rPr>
          <w:rFonts w:hint="eastAsia"/>
        </w:rPr>
        <w:t>征求意见稿）意见的通告，面向社会公开征求意见，共收集到</w:t>
      </w:r>
      <w:r>
        <w:rPr>
          <w:rFonts w:hint="eastAsia"/>
          <w:lang w:val="en-US" w:eastAsia="zh-CN"/>
        </w:rPr>
        <w:t>5</w:t>
      </w:r>
      <w:r>
        <w:rPr>
          <w:rFonts w:hint="eastAsia"/>
        </w:rPr>
        <w:t>家单位（个人）的</w:t>
      </w:r>
      <w:r>
        <w:rPr>
          <w:rFonts w:hint="eastAsia"/>
          <w:lang w:val="en-US" w:eastAsia="zh-CN"/>
        </w:rPr>
        <w:t>15</w:t>
      </w:r>
      <w:r>
        <w:rPr>
          <w:rFonts w:hint="eastAsia"/>
        </w:rPr>
        <w:t>条意见，</w:t>
      </w:r>
      <w:bookmarkStart w:id="3" w:name="_GoBack"/>
      <w:bookmarkEnd w:id="3"/>
      <w:r>
        <w:rPr>
          <w:rFonts w:hint="eastAsia"/>
        </w:rPr>
        <w:t>采纳</w:t>
      </w:r>
      <w:r>
        <w:rPr>
          <w:rFonts w:hint="eastAsia"/>
          <w:lang w:val="en-US" w:eastAsia="zh-CN"/>
        </w:rPr>
        <w:t>11</w:t>
      </w:r>
      <w:r>
        <w:rPr>
          <w:rFonts w:hint="eastAsia"/>
        </w:rPr>
        <w:t>条</w:t>
      </w:r>
      <w:r>
        <w:rPr>
          <w:rFonts w:hint="eastAsia"/>
          <w:lang w:val="en-US" w:eastAsia="zh-CN"/>
        </w:rPr>
        <w:t>,不采纳4条</w:t>
      </w:r>
      <w:r>
        <w:rPr>
          <w:rFonts w:hint="eastAsia"/>
        </w:rPr>
        <w:t>。根据要求，现公开征求意见采纳情况表。</w:t>
      </w:r>
    </w:p>
    <w:p>
      <w:pPr>
        <w:ind w:firstLine="640"/>
      </w:pPr>
    </w:p>
    <w:tbl>
      <w:tblPr>
        <w:tblStyle w:val="9"/>
        <w:tblW w:w="50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4685"/>
        <w:gridCol w:w="2233"/>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439" w:type="pct"/>
            <w:vAlign w:val="center"/>
          </w:tcPr>
          <w:p>
            <w:pPr>
              <w:widowControl/>
              <w:suppressAutoHyphens/>
              <w:adjustRightInd w:val="0"/>
              <w:snapToGrid w:val="0"/>
              <w:spacing w:line="300" w:lineRule="exact"/>
              <w:ind w:firstLine="0" w:firstLineChars="0"/>
              <w:jc w:val="center"/>
              <w:rPr>
                <w:rFonts w:ascii="Times New Roman" w:hAnsi="Times New Roman" w:eastAsia="黑体"/>
                <w:bCs/>
                <w:color w:val="000000"/>
                <w:kern w:val="0"/>
                <w:sz w:val="24"/>
              </w:rPr>
            </w:pPr>
            <w:r>
              <w:rPr>
                <w:rFonts w:hint="eastAsia" w:ascii="Times New Roman" w:hAnsi="Times New Roman" w:eastAsia="黑体"/>
                <w:bCs/>
                <w:color w:val="000000"/>
                <w:kern w:val="0"/>
                <w:sz w:val="24"/>
                <w:lang w:eastAsia="ar-SA"/>
              </w:rPr>
              <w:t>序号</w:t>
            </w:r>
          </w:p>
        </w:tc>
        <w:tc>
          <w:tcPr>
            <w:tcW w:w="1788" w:type="pct"/>
            <w:vAlign w:val="center"/>
          </w:tcPr>
          <w:p>
            <w:pPr>
              <w:widowControl/>
              <w:suppressAutoHyphens/>
              <w:adjustRightInd w:val="0"/>
              <w:snapToGrid w:val="0"/>
              <w:spacing w:line="300" w:lineRule="exact"/>
              <w:ind w:firstLine="0" w:firstLineChars="0"/>
              <w:jc w:val="center"/>
              <w:rPr>
                <w:rFonts w:ascii="Times New Roman" w:hAnsi="Times New Roman" w:eastAsia="黑体"/>
                <w:bCs/>
                <w:color w:val="000000"/>
                <w:kern w:val="0"/>
                <w:sz w:val="24"/>
              </w:rPr>
            </w:pPr>
            <w:r>
              <w:rPr>
                <w:rFonts w:hint="eastAsia" w:ascii="Times New Roman" w:hAnsi="Times New Roman" w:eastAsia="黑体"/>
                <w:bCs/>
                <w:color w:val="000000"/>
                <w:kern w:val="0"/>
                <w:sz w:val="24"/>
                <w:lang w:eastAsia="ar-SA"/>
              </w:rPr>
              <w:t>反馈意见</w:t>
            </w:r>
          </w:p>
        </w:tc>
        <w:tc>
          <w:tcPr>
            <w:tcW w:w="852" w:type="pct"/>
            <w:vAlign w:val="center"/>
          </w:tcPr>
          <w:p>
            <w:pPr>
              <w:widowControl/>
              <w:suppressAutoHyphens/>
              <w:adjustRightInd w:val="0"/>
              <w:snapToGrid w:val="0"/>
              <w:spacing w:line="300" w:lineRule="exact"/>
              <w:ind w:firstLine="0" w:firstLineChars="0"/>
              <w:jc w:val="center"/>
              <w:rPr>
                <w:rFonts w:ascii="Times New Roman" w:hAnsi="Times New Roman" w:eastAsia="黑体"/>
                <w:bCs/>
                <w:color w:val="000000"/>
                <w:kern w:val="0"/>
                <w:sz w:val="24"/>
              </w:rPr>
            </w:pPr>
            <w:r>
              <w:rPr>
                <w:rFonts w:hint="eastAsia" w:ascii="Times New Roman" w:hAnsi="Times New Roman" w:eastAsia="黑体"/>
                <w:bCs/>
                <w:color w:val="000000"/>
                <w:kern w:val="0"/>
                <w:sz w:val="24"/>
              </w:rPr>
              <w:t>采纳情况</w:t>
            </w:r>
          </w:p>
        </w:tc>
        <w:tc>
          <w:tcPr>
            <w:tcW w:w="1919" w:type="pct"/>
            <w:vAlign w:val="center"/>
          </w:tcPr>
          <w:p>
            <w:pPr>
              <w:widowControl/>
              <w:suppressAutoHyphens/>
              <w:adjustRightInd w:val="0"/>
              <w:snapToGrid w:val="0"/>
              <w:spacing w:line="300" w:lineRule="exact"/>
              <w:ind w:firstLine="0" w:firstLineChars="0"/>
              <w:jc w:val="center"/>
              <w:rPr>
                <w:rFonts w:ascii="Times New Roman" w:hAnsi="Times New Roman" w:eastAsia="黑体"/>
                <w:bCs/>
                <w:color w:val="000000"/>
                <w:kern w:val="0"/>
                <w:sz w:val="24"/>
              </w:rPr>
            </w:pPr>
            <w:r>
              <w:rPr>
                <w:rFonts w:hint="eastAsia" w:ascii="Times New Roman" w:hAnsi="Times New Roman" w:eastAsia="黑体"/>
                <w:bCs/>
                <w:color w:val="000000"/>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439" w:type="pct"/>
            <w:vAlign w:val="center"/>
          </w:tcPr>
          <w:p>
            <w:pPr>
              <w:suppressAutoHyphens/>
              <w:adjustRightInd w:val="0"/>
              <w:snapToGrid w:val="0"/>
              <w:spacing w:line="320" w:lineRule="exact"/>
              <w:ind w:firstLine="0" w:firstLineChars="0"/>
              <w:jc w:val="center"/>
              <w:rPr>
                <w:rFonts w:ascii="Times New Roman" w:hAnsi="Times New Roman"/>
                <w:color w:val="000000"/>
                <w:kern w:val="1"/>
                <w:sz w:val="24"/>
              </w:rPr>
            </w:pPr>
            <w:r>
              <w:rPr>
                <w:rFonts w:hint="eastAsia" w:cs="仿宋_GB2312"/>
                <w:kern w:val="0"/>
                <w:sz w:val="24"/>
              </w:rPr>
              <w:t>一</w:t>
            </w:r>
          </w:p>
        </w:tc>
        <w:tc>
          <w:tcPr>
            <w:tcW w:w="1788"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0C0C0C"/>
                <w:sz w:val="24"/>
                <w:szCs w:val="24"/>
              </w:rPr>
            </w:pPr>
            <w:r>
              <w:rPr>
                <w:rFonts w:hint="eastAsia" w:ascii="仿宋" w:hAnsi="仿宋" w:eastAsia="仿宋" w:cs="仿宋"/>
                <w:color w:val="0C0C0C"/>
                <w:sz w:val="24"/>
                <w:szCs w:val="24"/>
              </w:rPr>
              <w:t>建议：“第二条【适用范围】本规定适用于自治区行政区域内，自治区科技厅和财政厅、项目主管部门按照有关规章制度，对本级财政资金支持的科技计划项目组织实施、资金管理等情况进行的监督。”修改为“本规定适用于自治区行政区域内，自治区科技厅和财政厅、项目主管部门按照有关规章制度，对纳入自治区科技厅部门预算资金支持的科技项目组织实施、资金管理等情况进行的监督”。增加“纳入自治区科技厅部门预算资金支持”。</w:t>
            </w:r>
          </w:p>
          <w:p>
            <w:pPr>
              <w:suppressAutoHyphens/>
              <w:adjustRightInd w:val="0"/>
              <w:snapToGrid w:val="0"/>
              <w:spacing w:line="320" w:lineRule="exact"/>
              <w:ind w:firstLine="480"/>
              <w:jc w:val="left"/>
              <w:rPr>
                <w:rFonts w:ascii="Times New Roman" w:hAnsi="Times New Roman"/>
                <w:color w:val="000000"/>
                <w:kern w:val="1"/>
                <w:sz w:val="24"/>
              </w:rPr>
            </w:pPr>
            <w:r>
              <w:rPr>
                <w:rFonts w:hint="eastAsia" w:ascii="仿宋" w:hAnsi="仿宋" w:eastAsia="仿宋" w:cs="仿宋"/>
                <w:color w:val="0C0C0C"/>
                <w:sz w:val="24"/>
                <w:szCs w:val="24"/>
              </w:rPr>
              <w:t>理由：一是表述更精准；二是各厅局也有从自身部门预算安排支持的科技计划项目，其监督管理适用预算法律法规以及财政资金管理规章制度。</w:t>
            </w:r>
          </w:p>
        </w:tc>
        <w:tc>
          <w:tcPr>
            <w:tcW w:w="852" w:type="pct"/>
            <w:vAlign w:val="center"/>
          </w:tcPr>
          <w:p>
            <w:pPr>
              <w:suppressAutoHyphens/>
              <w:adjustRightInd w:val="0"/>
              <w:snapToGrid w:val="0"/>
              <w:spacing w:line="320" w:lineRule="exact"/>
              <w:ind w:firstLine="480"/>
              <w:rPr>
                <w:rFonts w:ascii="Times New Roman" w:hAnsi="Times New Roman"/>
                <w:color w:val="000000"/>
                <w:kern w:val="1"/>
                <w:sz w:val="24"/>
              </w:rPr>
            </w:pPr>
            <w:r>
              <w:rPr>
                <w:rFonts w:hint="eastAsia" w:ascii="Times New Roman" w:hAnsi="Times New Roman"/>
                <w:color w:val="000000"/>
                <w:kern w:val="1"/>
                <w:sz w:val="24"/>
                <w:lang w:eastAsia="zh-CN"/>
              </w:rPr>
              <w:t>不</w:t>
            </w:r>
            <w:r>
              <w:rPr>
                <w:rFonts w:hint="eastAsia" w:ascii="Times New Roman" w:hAnsi="Times New Roman"/>
                <w:color w:val="000000"/>
                <w:kern w:val="1"/>
                <w:sz w:val="24"/>
              </w:rPr>
              <w:t>采纳</w:t>
            </w:r>
          </w:p>
        </w:tc>
        <w:tc>
          <w:tcPr>
            <w:tcW w:w="1919" w:type="pct"/>
            <w:vAlign w:val="center"/>
          </w:tcPr>
          <w:p>
            <w:pPr>
              <w:suppressAutoHyphens/>
              <w:adjustRightInd w:val="0"/>
              <w:snapToGrid w:val="0"/>
              <w:spacing w:line="320" w:lineRule="exact"/>
              <w:ind w:firstLine="480"/>
              <w:jc w:val="left"/>
              <w:rPr>
                <w:rFonts w:ascii="Times New Roman" w:hAnsi="Times New Roman"/>
                <w:color w:val="000000"/>
                <w:kern w:val="1"/>
                <w:sz w:val="24"/>
              </w:rPr>
            </w:pPr>
            <w:r>
              <w:rPr>
                <w:rFonts w:hint="eastAsia" w:ascii="仿宋" w:hAnsi="仿宋" w:eastAsia="仿宋" w:cs="仿宋"/>
                <w:sz w:val="24"/>
                <w:szCs w:val="24"/>
                <w:lang w:val="en-US" w:eastAsia="zh-CN"/>
              </w:rPr>
              <w:t>本规定是与自治区财政厅联合发文，对自治区本级财政支持的科技计划项目都应列入监督范围。同时，本监督工作规定也是按有关法律法规制度的。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9" w:type="pct"/>
            <w:vAlign w:val="center"/>
          </w:tcPr>
          <w:p>
            <w:pPr>
              <w:suppressAutoHyphens/>
              <w:adjustRightInd w:val="0"/>
              <w:snapToGrid w:val="0"/>
              <w:spacing w:line="320" w:lineRule="exact"/>
              <w:ind w:firstLine="0" w:firstLineChars="0"/>
              <w:jc w:val="center"/>
              <w:rPr>
                <w:rFonts w:ascii="Times New Roman" w:hAnsi="Times New Roman"/>
                <w:color w:val="000000"/>
                <w:kern w:val="1"/>
                <w:sz w:val="24"/>
              </w:rPr>
            </w:pPr>
            <w:r>
              <w:rPr>
                <w:rFonts w:hint="eastAsia" w:ascii="Times New Roman" w:hAnsi="Times New Roman"/>
                <w:color w:val="000000"/>
                <w:kern w:val="1"/>
                <w:sz w:val="24"/>
              </w:rPr>
              <w:t>二</w:t>
            </w:r>
          </w:p>
        </w:tc>
        <w:tc>
          <w:tcPr>
            <w:tcW w:w="1788" w:type="pct"/>
            <w:vAlign w:val="center"/>
          </w:tcPr>
          <w:p>
            <w:pPr>
              <w:widowControl/>
              <w:suppressAutoHyphens/>
              <w:adjustRightInd/>
              <w:snapToGrid/>
              <w:spacing w:line="400" w:lineRule="exact"/>
              <w:ind w:firstLine="0"/>
              <w:jc w:val="left"/>
              <w:rPr>
                <w:rFonts w:ascii="Times New Roman" w:hAnsi="Times New Roman"/>
                <w:color w:val="000000"/>
                <w:kern w:val="1"/>
                <w:sz w:val="24"/>
              </w:rPr>
            </w:pPr>
            <w:r>
              <w:rPr>
                <w:rFonts w:hint="eastAsia" w:ascii="仿宋" w:hAnsi="仿宋" w:eastAsia="仿宋" w:cs="仿宋"/>
                <w:b w:val="0"/>
                <w:bCs/>
                <w:sz w:val="24"/>
                <w:szCs w:val="24"/>
              </w:rPr>
              <w:t>建议在第九条【监督部门职责】增加“对于科技计划项目</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过程和结果的真实性进行监督”的条款。理由：防止有关人员对科技计划项目弄虚作假，骗取科技项目资金。</w:t>
            </w:r>
          </w:p>
        </w:tc>
        <w:tc>
          <w:tcPr>
            <w:tcW w:w="852" w:type="pct"/>
            <w:vAlign w:val="center"/>
          </w:tcPr>
          <w:p>
            <w:pPr>
              <w:suppressAutoHyphens/>
              <w:adjustRightInd w:val="0"/>
              <w:snapToGrid w:val="0"/>
              <w:spacing w:line="320" w:lineRule="exact"/>
              <w:ind w:firstLine="0" w:firstLineChars="0"/>
              <w:jc w:val="center"/>
              <w:rPr>
                <w:rFonts w:hint="default" w:ascii="Times New Roman" w:hAnsi="Times New Roman" w:eastAsia="仿宋_GB2312"/>
                <w:color w:val="000000"/>
                <w:kern w:val="1"/>
                <w:sz w:val="24"/>
                <w:lang w:val="en-US" w:eastAsia="zh-CN"/>
              </w:rPr>
            </w:pPr>
            <w:r>
              <w:rPr>
                <w:rFonts w:hint="eastAsia" w:ascii="Times New Roman" w:hAnsi="Times New Roman"/>
                <w:color w:val="000000"/>
                <w:kern w:val="1"/>
                <w:sz w:val="24"/>
                <w:lang w:eastAsia="zh-CN"/>
              </w:rPr>
              <w:t>不</w:t>
            </w:r>
            <w:r>
              <w:rPr>
                <w:rFonts w:hint="eastAsia" w:ascii="Times New Roman" w:hAnsi="Times New Roman"/>
                <w:color w:val="000000"/>
                <w:kern w:val="1"/>
                <w:sz w:val="24"/>
              </w:rPr>
              <w:t>采纳</w:t>
            </w:r>
          </w:p>
        </w:tc>
        <w:tc>
          <w:tcPr>
            <w:tcW w:w="1919"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第九条为监督部门职责分工，不是监督内容。建议增加的内容在我厅78号文有详细的规定，这些规定与建议内容一致。为了政策体系系统化，不必在本规定再增加这些内容。</w:t>
            </w:r>
          </w:p>
          <w:p>
            <w:pPr>
              <w:suppressAutoHyphens/>
              <w:adjustRightInd w:val="0"/>
              <w:snapToGrid w:val="0"/>
              <w:spacing w:line="320" w:lineRule="exact"/>
              <w:ind w:firstLine="0" w:firstLineChars="0"/>
              <w:jc w:val="left"/>
              <w:rPr>
                <w:rFonts w:ascii="Times New Roman" w:hAnsi="Times New Roman"/>
                <w:color w:val="000000"/>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eastAsia="仿宋_GB2312"/>
                <w:color w:val="000000"/>
                <w:kern w:val="1"/>
                <w:sz w:val="24"/>
                <w:lang w:eastAsia="zh-CN"/>
              </w:rPr>
            </w:pPr>
            <w:r>
              <w:rPr>
                <w:rFonts w:hint="eastAsia" w:ascii="Times New Roman" w:hAnsi="Times New Roman"/>
                <w:color w:val="000000"/>
                <w:kern w:val="1"/>
                <w:sz w:val="24"/>
                <w:lang w:eastAsia="zh-CN"/>
              </w:rPr>
              <w:t>三</w:t>
            </w:r>
          </w:p>
        </w:tc>
        <w:tc>
          <w:tcPr>
            <w:tcW w:w="1788" w:type="pct"/>
            <w:vAlign w:val="center"/>
          </w:tcPr>
          <w:p>
            <w:pPr>
              <w:suppressAutoHyphens/>
              <w:adjustRightInd w:val="0"/>
              <w:snapToGrid w:val="0"/>
              <w:spacing w:line="320" w:lineRule="exact"/>
              <w:ind w:firstLine="480"/>
              <w:jc w:val="left"/>
              <w:rPr>
                <w:rFonts w:hint="eastAsia" w:ascii="仿宋" w:hAnsi="仿宋" w:eastAsia="仿宋" w:cs="仿宋"/>
                <w:b w:val="0"/>
                <w:bCs/>
                <w:sz w:val="24"/>
                <w:szCs w:val="24"/>
              </w:rPr>
            </w:pPr>
            <w:r>
              <w:rPr>
                <w:rFonts w:hint="eastAsia" w:ascii="仿宋" w:hAnsi="仿宋" w:eastAsia="仿宋" w:cs="仿宋"/>
                <w:b w:val="0"/>
                <w:bCs/>
                <w:sz w:val="24"/>
                <w:szCs w:val="24"/>
              </w:rPr>
              <w:t>建议在第九条【监督部门职责】的第（九）款增加“将监督结果与考核对象的项目和资金分配挂钩”的内容。理由：结果的运用有利于推动科技项目和资金的合理分配，进一步规范考核对象项目管理。</w:t>
            </w:r>
          </w:p>
        </w:tc>
        <w:tc>
          <w:tcPr>
            <w:tcW w:w="852"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val="en-US" w:eastAsia="zh-CN"/>
              </w:rPr>
            </w:pPr>
            <w:r>
              <w:rPr>
                <w:rFonts w:hint="eastAsia" w:ascii="Times New Roman" w:hAnsi="Times New Roman"/>
                <w:color w:val="000000"/>
                <w:kern w:val="1"/>
                <w:sz w:val="24"/>
                <w:lang w:val="en-US" w:eastAsia="zh-CN"/>
              </w:rPr>
              <w:t>不采纳</w:t>
            </w:r>
          </w:p>
        </w:tc>
        <w:tc>
          <w:tcPr>
            <w:tcW w:w="1919" w:type="pct"/>
            <w:vAlign w:val="center"/>
          </w:tcPr>
          <w:p>
            <w:pPr>
              <w:suppressAutoHyphens/>
              <w:adjustRightInd w:val="0"/>
              <w:snapToGrid w:val="0"/>
              <w:spacing w:line="320" w:lineRule="exact"/>
              <w:ind w:firstLine="48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在本规定第六章第四十条、第四十五条中关于监督结果运用的已有相关表述。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39" w:type="pct"/>
            <w:vAlign w:val="center"/>
          </w:tcPr>
          <w:p>
            <w:pPr>
              <w:suppressAutoHyphens/>
              <w:adjustRightInd w:val="0"/>
              <w:snapToGrid w:val="0"/>
              <w:spacing w:line="320" w:lineRule="exact"/>
              <w:ind w:firstLine="0" w:firstLineChars="0"/>
              <w:jc w:val="center"/>
              <w:rPr>
                <w:rFonts w:ascii="Times New Roman" w:hAnsi="Times New Roman"/>
                <w:color w:val="000000"/>
                <w:kern w:val="1"/>
                <w:sz w:val="24"/>
              </w:rPr>
            </w:pPr>
            <w:r>
              <w:rPr>
                <w:rFonts w:hint="eastAsia" w:ascii="Times New Roman" w:hAnsi="Times New Roman"/>
                <w:color w:val="000000"/>
                <w:kern w:val="1"/>
                <w:sz w:val="24"/>
                <w:lang w:eastAsia="zh-CN"/>
              </w:rPr>
              <w:t>四</w:t>
            </w:r>
          </w:p>
        </w:tc>
        <w:tc>
          <w:tcPr>
            <w:tcW w:w="1788" w:type="pct"/>
            <w:vAlign w:val="center"/>
          </w:tcPr>
          <w:p>
            <w:pPr>
              <w:widowControl/>
              <w:suppressAutoHyphens/>
              <w:adjustRightInd/>
              <w:snapToGrid/>
              <w:spacing w:line="400" w:lineRule="exact"/>
              <w:ind w:firstLine="0"/>
              <w:jc w:val="left"/>
              <w:rPr>
                <w:rFonts w:ascii="Times New Roman" w:hAnsi="Times New Roman"/>
                <w:color w:val="000000"/>
                <w:kern w:val="1"/>
                <w:sz w:val="24"/>
              </w:rPr>
            </w:pPr>
            <w:r>
              <w:rPr>
                <w:rFonts w:hint="eastAsia" w:ascii="仿宋" w:hAnsi="仿宋" w:eastAsia="仿宋" w:cs="仿宋"/>
                <w:sz w:val="24"/>
                <w:szCs w:val="24"/>
              </w:rPr>
              <w:t>建议增加</w:t>
            </w:r>
            <w:bookmarkStart w:id="0" w:name="_Hlk63667854"/>
            <w:bookmarkStart w:id="1" w:name="_Hlk63768539"/>
            <w:r>
              <w:rPr>
                <w:rFonts w:hint="eastAsia" w:ascii="仿宋" w:hAnsi="仿宋" w:eastAsia="仿宋" w:cs="仿宋"/>
                <w:sz w:val="24"/>
                <w:szCs w:val="24"/>
              </w:rPr>
              <w:t>科技特邀监督员</w:t>
            </w:r>
            <w:bookmarkEnd w:id="0"/>
            <w:r>
              <w:rPr>
                <w:rFonts w:hint="eastAsia" w:ascii="仿宋" w:hAnsi="仿宋" w:eastAsia="仿宋" w:cs="仿宋"/>
                <w:sz w:val="24"/>
                <w:szCs w:val="24"/>
              </w:rPr>
              <w:t>工作规范</w:t>
            </w:r>
            <w:bookmarkEnd w:id="1"/>
            <w:r>
              <w:rPr>
                <w:rFonts w:hint="eastAsia" w:ascii="仿宋" w:hAnsi="仿宋" w:eastAsia="仿宋" w:cs="仿宋"/>
                <w:sz w:val="24"/>
                <w:szCs w:val="24"/>
              </w:rPr>
              <w:t>的相关内容。</w:t>
            </w:r>
            <w:bookmarkStart w:id="2" w:name="_Hlk63768591"/>
            <w:r>
              <w:rPr>
                <w:rFonts w:hint="eastAsia" w:ascii="仿宋" w:hAnsi="仿宋" w:eastAsia="仿宋" w:cs="仿宋"/>
                <w:sz w:val="24"/>
                <w:szCs w:val="24"/>
              </w:rPr>
              <w:t>征求意见稿</w:t>
            </w:r>
            <w:bookmarkEnd w:id="2"/>
            <w:r>
              <w:rPr>
                <w:rFonts w:hint="eastAsia" w:ascii="仿宋" w:hAnsi="仿宋" w:eastAsia="仿宋" w:cs="仿宋"/>
                <w:sz w:val="24"/>
                <w:szCs w:val="24"/>
              </w:rPr>
              <w:t>中明确要建立科技特邀监督员制度，但没有明确科技特邀监督员的选拔、任用和工作机制，在监督主体、监督职责等内容中也未体现科技特邀监督员的作用，建议补充科技特邀监督员工作规范等内容，或明确“科技特邀监督员制度另行制订”。</w:t>
            </w:r>
          </w:p>
        </w:tc>
        <w:tc>
          <w:tcPr>
            <w:tcW w:w="852" w:type="pct"/>
            <w:vAlign w:val="center"/>
          </w:tcPr>
          <w:p>
            <w:pPr>
              <w:numPr>
                <w:ilvl w:val="-1"/>
                <w:numId w:val="0"/>
              </w:numPr>
              <w:suppressAutoHyphens/>
              <w:adjustRightInd w:val="0"/>
              <w:snapToGrid w:val="0"/>
              <w:spacing w:line="320" w:lineRule="exact"/>
              <w:ind w:firstLine="0" w:firstLineChars="0"/>
              <w:jc w:val="center"/>
              <w:rPr>
                <w:rFonts w:hint="default" w:ascii="Times New Roman" w:hAnsi="Times New Roman"/>
                <w:color w:val="000000"/>
                <w:kern w:val="1"/>
                <w:sz w:val="24"/>
                <w:lang w:val="en-US" w:eastAsia="zh-CN"/>
              </w:rPr>
            </w:pPr>
            <w:r>
              <w:rPr>
                <w:rFonts w:hint="eastAsia" w:ascii="Times New Roman" w:hAnsi="Times New Roman"/>
                <w:color w:val="000000"/>
                <w:kern w:val="1"/>
                <w:sz w:val="24"/>
                <w:lang w:val="en-US" w:eastAsia="zh-CN"/>
              </w:rPr>
              <w:t>部分</w:t>
            </w:r>
            <w:r>
              <w:rPr>
                <w:rFonts w:hint="eastAsia" w:ascii="Times New Roman" w:hAnsi="Times New Roman"/>
                <w:color w:val="000000"/>
                <w:kern w:val="1"/>
                <w:sz w:val="24"/>
              </w:rPr>
              <w:t>采纳</w:t>
            </w:r>
          </w:p>
        </w:tc>
        <w:tc>
          <w:tcPr>
            <w:tcW w:w="1919"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在第一章第五条中已明确提出“建立科技特邀监督员制度”。关于科技特邀监督员制度制订，将以我厅落实本规定的配套文件形式发布。</w:t>
            </w:r>
          </w:p>
          <w:p>
            <w:pPr>
              <w:widowControl/>
              <w:suppressAutoHyphens/>
              <w:adjustRightInd/>
              <w:snapToGrid/>
              <w:spacing w:line="400" w:lineRule="exact"/>
              <w:ind w:firstLine="480" w:firstLineChars="200"/>
              <w:jc w:val="left"/>
              <w:rPr>
                <w:rFonts w:ascii="Times New Roman" w:hAnsi="Times New Roman"/>
                <w:color w:val="000000"/>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五</w:t>
            </w:r>
          </w:p>
        </w:tc>
        <w:tc>
          <w:tcPr>
            <w:tcW w:w="1788" w:type="pct"/>
            <w:vAlign w:val="center"/>
          </w:tcPr>
          <w:p>
            <w:pPr>
              <w:widowControl/>
              <w:suppressAutoHyphens/>
              <w:adjustRightInd/>
              <w:snapToGrid/>
              <w:spacing w:line="400" w:lineRule="exact"/>
              <w:ind w:firstLine="0"/>
              <w:jc w:val="left"/>
              <w:rPr>
                <w:rFonts w:hint="eastAsia" w:ascii="仿宋" w:hAnsi="仿宋" w:eastAsia="仿宋" w:cs="仿宋"/>
                <w:b w:val="0"/>
                <w:bCs/>
                <w:sz w:val="24"/>
                <w:szCs w:val="24"/>
              </w:rPr>
            </w:pPr>
            <w:r>
              <w:rPr>
                <w:rFonts w:hint="eastAsia" w:ascii="仿宋" w:hAnsi="仿宋" w:eastAsia="仿宋" w:cs="仿宋"/>
                <w:sz w:val="24"/>
                <w:szCs w:val="24"/>
              </w:rPr>
              <w:t>部分表述有疑义，建议明确释义。征求意见稿中第三十六条【监督频次】“……执行期3年以内的项目原则上执行情况现场监督只进行1次;自由探索类基础研究和实施周期3年以下的科技计划项目承担单位以自我管理为主，一般不开展过程检查。”请明确释义“3年以下”与“3年以内”的区别。</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widowControl/>
              <w:suppressAutoHyphens/>
              <w:adjustRightInd/>
              <w:snapToGrid/>
              <w:spacing w:line="4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修改为“</w:t>
            </w:r>
            <w:r>
              <w:rPr>
                <w:rFonts w:hint="eastAsia" w:ascii="仿宋" w:hAnsi="仿宋" w:eastAsia="仿宋" w:cs="仿宋"/>
                <w:sz w:val="24"/>
                <w:szCs w:val="24"/>
              </w:rPr>
              <w:t>执行期3年以内</w:t>
            </w:r>
            <w:r>
              <w:rPr>
                <w:rFonts w:hint="eastAsia" w:ascii="仿宋" w:hAnsi="仿宋" w:eastAsia="仿宋" w:cs="仿宋"/>
                <w:sz w:val="24"/>
                <w:szCs w:val="24"/>
                <w:lang w:eastAsia="zh-CN"/>
              </w:rPr>
              <w:t>（含</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年）</w:t>
            </w:r>
            <w:r>
              <w:rPr>
                <w:rFonts w:hint="eastAsia" w:ascii="仿宋" w:hAnsi="仿宋" w:eastAsia="仿宋" w:cs="仿宋"/>
                <w:sz w:val="24"/>
                <w:szCs w:val="24"/>
              </w:rPr>
              <w:t>的项目原则上执行情况现场监督只进行1次;自由探索类基础研究和实施周期3年以下</w:t>
            </w:r>
            <w:r>
              <w:rPr>
                <w:rFonts w:hint="eastAsia" w:ascii="仿宋" w:hAnsi="仿宋" w:eastAsia="仿宋" w:cs="仿宋"/>
                <w:sz w:val="24"/>
                <w:szCs w:val="24"/>
                <w:lang w:eastAsia="zh-CN"/>
              </w:rPr>
              <w:t>（不含</w:t>
            </w:r>
            <w:r>
              <w:rPr>
                <w:rFonts w:hint="eastAsia" w:ascii="仿宋" w:hAnsi="仿宋" w:eastAsia="仿宋" w:cs="仿宋"/>
                <w:sz w:val="24"/>
                <w:szCs w:val="24"/>
                <w:lang w:val="en-US" w:eastAsia="zh-CN"/>
              </w:rPr>
              <w:t>3年)</w:t>
            </w:r>
            <w:r>
              <w:rPr>
                <w:rFonts w:hint="eastAsia" w:ascii="仿宋" w:hAnsi="仿宋" w:eastAsia="仿宋" w:cs="仿宋"/>
                <w:sz w:val="24"/>
                <w:szCs w:val="24"/>
              </w:rPr>
              <w:t>的科技计划项目承担单位以自我管理为主，一般不开展过程检查</w:t>
            </w:r>
            <w:r>
              <w:rPr>
                <w:rFonts w:hint="eastAsia" w:ascii="仿宋" w:hAnsi="仿宋" w:eastAsia="仿宋" w:cs="仿宋"/>
                <w:sz w:val="24"/>
                <w:szCs w:val="24"/>
                <w:lang w:val="en-US" w:eastAsia="zh-CN"/>
              </w:rPr>
              <w:t>”。</w:t>
            </w:r>
          </w:p>
          <w:p>
            <w:pPr>
              <w:suppressAutoHyphens/>
              <w:adjustRightInd w:val="0"/>
              <w:snapToGrid w:val="0"/>
              <w:spacing w:line="320" w:lineRule="exact"/>
              <w:ind w:firstLine="480" w:firstLineChars="200"/>
              <w:jc w:val="left"/>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六</w:t>
            </w:r>
          </w:p>
        </w:tc>
        <w:tc>
          <w:tcPr>
            <w:tcW w:w="1788" w:type="pct"/>
            <w:vAlign w:val="center"/>
          </w:tcPr>
          <w:p>
            <w:pPr>
              <w:suppressAutoHyphens/>
              <w:adjustRightInd w:val="0"/>
              <w:snapToGrid w:val="0"/>
              <w:spacing w:line="320" w:lineRule="exact"/>
              <w:ind w:firstLine="480"/>
              <w:jc w:val="left"/>
              <w:rPr>
                <w:rFonts w:hint="eastAsia" w:ascii="仿宋" w:hAnsi="仿宋" w:eastAsia="仿宋" w:cs="仿宋"/>
                <w:b w:val="0"/>
                <w:bCs/>
                <w:sz w:val="24"/>
                <w:szCs w:val="24"/>
              </w:rPr>
            </w:pPr>
            <w:r>
              <w:rPr>
                <w:rFonts w:hint="eastAsia" w:ascii="仿宋" w:hAnsi="仿宋" w:eastAsia="仿宋" w:cs="仿宋"/>
                <w:sz w:val="24"/>
                <w:szCs w:val="24"/>
              </w:rPr>
              <w:t>建议增加信息化管理技术进行监督管理的内容。我区科技项目信息化管理系统已运行多年，且状态良好。建议监督部门、项目管理专业机构依托科技业务管理系统开展智能监督和风险预警，提高监督工作时效性和精准度。对于项目承担单位已经按照规定在科技业务管理系统填报材料和信息，或者已经按照规定要求提供材料的，不再要求重复提交。</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在第四章第三十三条中明确了运用信息化管理技术进行监督。同时，我厅已开发“广西科研信用信息系统”，目前处在调试阶段。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439" w:type="pct"/>
            <w:vAlign w:val="center"/>
          </w:tcPr>
          <w:p>
            <w:pPr>
              <w:suppressAutoHyphens/>
              <w:adjustRightInd w:val="0"/>
              <w:snapToGrid w:val="0"/>
              <w:spacing w:line="320" w:lineRule="exact"/>
              <w:ind w:firstLine="0" w:firstLineChars="0"/>
              <w:jc w:val="center"/>
              <w:rPr>
                <w:rFonts w:hint="default" w:ascii="Times New Roman" w:hAnsi="Times New Roman" w:eastAsia="仿宋_GB2312"/>
                <w:color w:val="000000"/>
                <w:kern w:val="1"/>
                <w:sz w:val="24"/>
                <w:lang w:val="en-US" w:eastAsia="zh-CN"/>
              </w:rPr>
            </w:pPr>
            <w:r>
              <w:rPr>
                <w:rFonts w:hint="eastAsia" w:ascii="Times New Roman" w:hAnsi="Times New Roman"/>
                <w:color w:val="000000"/>
                <w:kern w:val="1"/>
                <w:sz w:val="24"/>
                <w:lang w:eastAsia="zh-CN"/>
              </w:rPr>
              <w:t>七</w:t>
            </w:r>
          </w:p>
        </w:tc>
        <w:tc>
          <w:tcPr>
            <w:tcW w:w="1788" w:type="pct"/>
            <w:vAlign w:val="center"/>
          </w:tcPr>
          <w:p>
            <w:pPr>
              <w:suppressAutoHyphens/>
              <w:adjustRightInd w:val="0"/>
              <w:snapToGrid w:val="0"/>
              <w:spacing w:line="320" w:lineRule="exact"/>
              <w:ind w:firstLine="0" w:firstLineChars="0"/>
              <w:jc w:val="left"/>
              <w:rPr>
                <w:rFonts w:hint="eastAsia" w:ascii="Times New Roman" w:hAnsi="Times New Roman"/>
                <w:color w:val="000000"/>
                <w:kern w:val="1"/>
                <w:sz w:val="24"/>
              </w:rPr>
            </w:pPr>
            <w:r>
              <w:rPr>
                <w:rFonts w:hint="eastAsia" w:ascii="仿宋" w:hAnsi="仿宋" w:eastAsia="仿宋" w:cs="仿宋"/>
                <w:b w:val="0"/>
                <w:bCs/>
                <w:sz w:val="24"/>
                <w:szCs w:val="24"/>
              </w:rPr>
              <w:t>建议在《工作规定》第二章“监督职责”中增加自治区审计厅的职责。理由：根据机构改革有关精神，财政资金检查工作主要由自治区审计厅负责，因此在资金使用检查方面应增加自治区审计厅的职责。</w:t>
            </w:r>
          </w:p>
        </w:tc>
        <w:tc>
          <w:tcPr>
            <w:tcW w:w="852"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不采纳。</w:t>
            </w:r>
          </w:p>
          <w:p>
            <w:pPr>
              <w:widowControl/>
              <w:suppressAutoHyphens/>
              <w:adjustRightInd/>
              <w:snapToGrid/>
              <w:spacing w:line="400" w:lineRule="exact"/>
              <w:ind w:firstLine="0"/>
              <w:rPr>
                <w:rFonts w:hint="eastAsia" w:ascii="Times New Roman" w:hAnsi="Times New Roman"/>
                <w:color w:val="000000"/>
                <w:kern w:val="1"/>
                <w:sz w:val="24"/>
              </w:rPr>
            </w:pPr>
          </w:p>
        </w:tc>
        <w:tc>
          <w:tcPr>
            <w:tcW w:w="1919" w:type="pct"/>
            <w:vAlign w:val="center"/>
          </w:tcPr>
          <w:p>
            <w:pPr>
              <w:suppressAutoHyphens/>
              <w:adjustRightInd w:val="0"/>
              <w:snapToGrid w:val="0"/>
              <w:spacing w:line="320" w:lineRule="exact"/>
              <w:ind w:firstLine="480" w:firstLineChars="200"/>
              <w:jc w:val="both"/>
              <w:rPr>
                <w:rFonts w:hint="default" w:ascii="Times New Roman" w:hAnsi="Times New Roman" w:eastAsia="仿宋_GB2312"/>
                <w:color w:val="000000"/>
                <w:kern w:val="1"/>
                <w:sz w:val="24"/>
                <w:lang w:val="en-US" w:eastAsia="zh-CN"/>
              </w:rPr>
            </w:pPr>
            <w:r>
              <w:rPr>
                <w:rFonts w:hint="eastAsia" w:ascii="仿宋" w:hAnsi="仿宋" w:eastAsia="仿宋" w:cs="仿宋"/>
                <w:sz w:val="24"/>
                <w:szCs w:val="24"/>
                <w:lang w:val="en-US" w:eastAsia="zh-CN"/>
              </w:rPr>
              <w:t>本规定为《自治区本级财政科技计划监督工作暂行规定》（桂科政字[2016]53号）的重新修订，该文件是我厅与财政厅联合发文，不明确自治区审计厅的相关职责，不等于该厅没有职责。另外，审计厅对自治区本级财政资金依据职能检查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八</w:t>
            </w:r>
          </w:p>
        </w:tc>
        <w:tc>
          <w:tcPr>
            <w:tcW w:w="1788" w:type="pct"/>
            <w:vAlign w:val="center"/>
          </w:tcPr>
          <w:p>
            <w:pPr>
              <w:widowControl/>
              <w:suppressAutoHyphens/>
              <w:adjustRightInd/>
              <w:snapToGrid/>
              <w:spacing w:line="400" w:lineRule="exact"/>
              <w:ind w:firstLine="0"/>
              <w:jc w:val="left"/>
              <w:rPr>
                <w:rFonts w:hint="eastAsia" w:ascii="仿宋" w:hAnsi="仿宋" w:eastAsia="仿宋" w:cs="仿宋"/>
                <w:b w:val="0"/>
                <w:bCs/>
                <w:sz w:val="24"/>
                <w:szCs w:val="24"/>
              </w:rPr>
            </w:pPr>
            <w:r>
              <w:rPr>
                <w:rFonts w:hint="eastAsia" w:ascii="仿宋" w:hAnsi="仿宋" w:eastAsia="仿宋" w:cs="仿宋"/>
                <w:b w:val="0"/>
                <w:bCs/>
                <w:sz w:val="24"/>
                <w:szCs w:val="24"/>
              </w:rPr>
              <w:t>《工作规定》第7页第九条中“自治区财政厅的监督职责”中的“对科技计划项目财政资金使用绩效适时组织开展重大评价”建议修改为“对科技计划项目财政资金使用绩效及评价适时组织开展再评价”。理由：自治区科技厅是科技计划项目直接管理部门，承担科技计划项目资金使用绩效评价第一责任，我厅将根据自治区科技厅绩效评价结果适时组织再评价。</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九</w:t>
            </w:r>
          </w:p>
        </w:tc>
        <w:tc>
          <w:tcPr>
            <w:tcW w:w="1788" w:type="pct"/>
            <w:vAlign w:val="center"/>
          </w:tcPr>
          <w:p>
            <w:pPr>
              <w:widowControl/>
              <w:suppressAutoHyphens/>
              <w:adjustRightInd/>
              <w:snapToGrid/>
              <w:spacing w:line="400" w:lineRule="exact"/>
              <w:ind w:firstLine="0"/>
              <w:jc w:val="left"/>
              <w:rPr>
                <w:rFonts w:hint="eastAsia" w:ascii="仿宋" w:hAnsi="仿宋" w:eastAsia="仿宋" w:cs="仿宋"/>
                <w:b w:val="0"/>
                <w:bCs/>
                <w:sz w:val="24"/>
                <w:szCs w:val="24"/>
              </w:rPr>
            </w:pPr>
            <w:r>
              <w:rPr>
                <w:rFonts w:hint="eastAsia" w:ascii="仿宋" w:hAnsi="仿宋" w:eastAsia="仿宋" w:cs="仿宋"/>
                <w:b w:val="0"/>
                <w:bCs/>
                <w:sz w:val="24"/>
                <w:szCs w:val="24"/>
              </w:rPr>
              <w:t>《工作规定》第8页第十三条中“自治区科技厅、财政厅牵头建立部门间会商机制”建议修改为“自治区科技厅牵头建立部门间会商机制”。理由：建立部门间会商机制是自治区科技厅的职责，我厅将积极配合相关工作。</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w:t>
            </w:r>
          </w:p>
        </w:tc>
        <w:tc>
          <w:tcPr>
            <w:tcW w:w="1788" w:type="pct"/>
            <w:vAlign w:val="center"/>
          </w:tcPr>
          <w:p>
            <w:pPr>
              <w:widowControl/>
              <w:suppressAutoHyphens/>
              <w:adjustRightInd/>
              <w:snapToGrid/>
              <w:spacing w:line="400" w:lineRule="exact"/>
              <w:ind w:firstLine="0" w:firstLineChars="0"/>
              <w:jc w:val="left"/>
              <w:rPr>
                <w:rFonts w:hint="eastAsia" w:ascii="仿宋" w:hAnsi="仿宋" w:eastAsia="仿宋" w:cs="仿宋"/>
                <w:b w:val="0"/>
                <w:bCs/>
                <w:sz w:val="24"/>
                <w:szCs w:val="24"/>
              </w:rPr>
            </w:pPr>
            <w:r>
              <w:rPr>
                <w:rFonts w:hint="eastAsia" w:ascii="仿宋" w:hAnsi="仿宋" w:eastAsia="仿宋" w:cs="仿宋"/>
                <w:b w:val="0"/>
                <w:bCs/>
                <w:sz w:val="24"/>
                <w:szCs w:val="24"/>
              </w:rPr>
              <w:t>建议在《工作规定》第9页第十五条“涉及工作委托和任务下达的，应当按照要求在合同、任务书或者协议中明确工作任务、工作期限、考核目标和指标、监督考核方式、科研诚信义务等具体事项”中加入“违约情形、违约责任、解决争议的方法”。理由：明晰权责利关系，建立有效的退出机制。</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十一</w:t>
            </w:r>
          </w:p>
        </w:tc>
        <w:tc>
          <w:tcPr>
            <w:tcW w:w="1788" w:type="pct"/>
            <w:vAlign w:val="center"/>
          </w:tcPr>
          <w:p>
            <w:pPr>
              <w:widowControl/>
              <w:suppressAutoHyphens/>
              <w:adjustRightInd/>
              <w:snapToGrid/>
              <w:spacing w:line="400" w:lineRule="exact"/>
              <w:ind w:firstLine="480"/>
              <w:jc w:val="left"/>
              <w:rPr>
                <w:rFonts w:hint="eastAsia" w:ascii="仿宋" w:hAnsi="仿宋" w:eastAsia="仿宋" w:cs="仿宋"/>
                <w:b w:val="0"/>
                <w:bCs/>
                <w:sz w:val="24"/>
                <w:szCs w:val="24"/>
              </w:rPr>
            </w:pPr>
            <w:r>
              <w:rPr>
                <w:rFonts w:hint="eastAsia" w:ascii="仿宋" w:hAnsi="仿宋" w:eastAsia="仿宋" w:cs="仿宋"/>
                <w:b w:val="0"/>
                <w:bCs/>
                <w:sz w:val="24"/>
                <w:szCs w:val="24"/>
              </w:rPr>
              <w:t>《工作规定》第9页第十六条“财政部门应当根据各自职责建立健全科技计划项目组织实施、资金管理等相关制度”建议修改为“财政部门应配合科技部门完善科技计划相关管理制度”。理由：规范表述。</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十二</w:t>
            </w:r>
          </w:p>
        </w:tc>
        <w:tc>
          <w:tcPr>
            <w:tcW w:w="1788" w:type="pct"/>
            <w:vAlign w:val="center"/>
          </w:tcPr>
          <w:p>
            <w:pPr>
              <w:widowControl/>
              <w:suppressAutoHyphens/>
              <w:adjustRightInd/>
              <w:snapToGrid/>
              <w:spacing w:line="400" w:lineRule="exact"/>
              <w:ind w:firstLine="0"/>
              <w:jc w:val="left"/>
              <w:rPr>
                <w:rFonts w:hint="eastAsia" w:ascii="仿宋" w:hAnsi="仿宋" w:eastAsia="仿宋" w:cs="仿宋"/>
                <w:b w:val="0"/>
                <w:bCs/>
                <w:sz w:val="24"/>
                <w:szCs w:val="24"/>
              </w:rPr>
            </w:pPr>
            <w:r>
              <w:rPr>
                <w:rFonts w:hint="eastAsia" w:ascii="仿宋" w:hAnsi="仿宋" w:eastAsia="仿宋" w:cs="仿宋"/>
                <w:b w:val="0"/>
                <w:bCs/>
                <w:sz w:val="24"/>
                <w:szCs w:val="24"/>
              </w:rPr>
              <w:t>《工作规定》第10页第二十二条、第16页四十六条、五十条中删除关于“财政厅”的表述。理由：涉及科技计划项目管理具体业务工作，应由自治区科技厅牵头，我厅将积极配合做好相关工作。</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十三</w:t>
            </w:r>
          </w:p>
        </w:tc>
        <w:tc>
          <w:tcPr>
            <w:tcW w:w="1788" w:type="pct"/>
            <w:vAlign w:val="center"/>
          </w:tcPr>
          <w:p>
            <w:pPr>
              <w:widowControl/>
              <w:suppressAutoHyphens/>
              <w:adjustRightInd/>
              <w:snapToGrid/>
              <w:spacing w:line="400" w:lineRule="exact"/>
              <w:ind w:firstLine="0"/>
              <w:jc w:val="left"/>
              <w:rPr>
                <w:rFonts w:hint="eastAsia" w:ascii="仿宋" w:hAnsi="仿宋" w:eastAsia="仿宋" w:cs="仿宋"/>
                <w:b w:val="0"/>
                <w:bCs/>
                <w:sz w:val="24"/>
                <w:szCs w:val="24"/>
              </w:rPr>
            </w:pPr>
            <w:r>
              <w:rPr>
                <w:rFonts w:hint="eastAsia" w:ascii="仿宋" w:hAnsi="仿宋" w:eastAsia="仿宋" w:cs="仿宋"/>
                <w:b w:val="0"/>
                <w:bCs/>
                <w:sz w:val="24"/>
                <w:szCs w:val="24"/>
              </w:rPr>
              <w:t>建议将《工作规定》第11页第二十四条“专项检查是指对项目承担单位落实法人治理结构责任、建立健全内部管理制度、执行相关财政法规和财政资金管理规定、使用财政资金等情况进行的检查”中的“执行相关财政法规和财政资金管理规定”修改为“执行相关政策法规和财政资金管理规定”。理由：规范表述，项目承担单位要执行的不仅是财政法规。</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十四</w:t>
            </w:r>
          </w:p>
        </w:tc>
        <w:tc>
          <w:tcPr>
            <w:tcW w:w="1788" w:type="pct"/>
            <w:vAlign w:val="center"/>
          </w:tcPr>
          <w:p>
            <w:pPr>
              <w:widowControl/>
              <w:suppressAutoHyphens/>
              <w:adjustRightInd/>
              <w:snapToGrid/>
              <w:spacing w:line="400" w:lineRule="exact"/>
              <w:ind w:firstLine="480"/>
              <w:jc w:val="left"/>
              <w:rPr>
                <w:rFonts w:hint="eastAsia" w:ascii="仿宋" w:hAnsi="仿宋" w:eastAsia="仿宋" w:cs="仿宋"/>
                <w:b w:val="0"/>
                <w:bCs/>
                <w:sz w:val="24"/>
                <w:szCs w:val="24"/>
              </w:rPr>
            </w:pPr>
            <w:r>
              <w:rPr>
                <w:rFonts w:hint="eastAsia" w:ascii="仿宋" w:hAnsi="仿宋" w:eastAsia="仿宋" w:cs="仿宋"/>
                <w:b w:val="0"/>
                <w:bCs/>
                <w:sz w:val="24"/>
                <w:szCs w:val="24"/>
              </w:rPr>
              <w:t>建议将第二条“本规定适用于自治区行政区域内，自治区科技厅和财政厅、项目主管部门按照有关规章制度……”修改为“本规定适用于科技计划项目监督机构按照有关规章制度对由自治区本级财政资金支持的科技计划项目进行项目实施、资金管理、成果转移转化等情况进行的监督”。理由：一是监督部门应为具有相对独立性的工作机构或工作机制。二是监督对象只涉及自治区行政区域内的项目承担主体，排除了项目承担主体为区外单位的监督对象，不符合“谁主责谁接受监督”的原则。</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p>
            <w:pPr>
              <w:suppressAutoHyphens/>
              <w:adjustRightInd w:val="0"/>
              <w:snapToGrid w:val="0"/>
              <w:spacing w:line="320" w:lineRule="exact"/>
              <w:ind w:firstLine="480"/>
              <w:rPr>
                <w:rFonts w:hint="default" w:ascii="仿宋" w:hAnsi="仿宋" w:eastAsia="仿宋" w:cs="仿宋"/>
                <w:sz w:val="24"/>
                <w:szCs w:val="24"/>
                <w:lang w:val="en-US" w:eastAsia="zh-CN"/>
              </w:rPr>
            </w:pPr>
          </w:p>
        </w:tc>
        <w:tc>
          <w:tcPr>
            <w:tcW w:w="1919" w:type="pct"/>
            <w:vAlign w:val="center"/>
          </w:tcPr>
          <w:p>
            <w:pPr>
              <w:keepNext w:val="0"/>
              <w:keepLines w:val="0"/>
              <w:pageBreakBefore w:val="0"/>
              <w:widowControl/>
              <w:numPr>
                <w:ilvl w:val="-1"/>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本规定第二条修改为：“本规定适用于对本级财政资金支持的科技计划项目组织实施、资金管理等情况进行的监督”。</w:t>
            </w:r>
          </w:p>
          <w:p>
            <w:pPr>
              <w:keepNext w:val="0"/>
              <w:keepLines w:val="0"/>
              <w:pageBreakBefore w:val="0"/>
              <w:widowControl/>
              <w:numPr>
                <w:ilvl w:val="-1"/>
                <w:numId w:val="0"/>
              </w:numPr>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val="0"/>
                <w:bCs/>
                <w:sz w:val="24"/>
                <w:szCs w:val="24"/>
                <w:lang w:val="en-US" w:eastAsia="zh-CN"/>
              </w:rPr>
            </w:pPr>
          </w:p>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439" w:type="pct"/>
            <w:vAlign w:val="center"/>
          </w:tcPr>
          <w:p>
            <w:pPr>
              <w:suppressAutoHyphens/>
              <w:adjustRightInd w:val="0"/>
              <w:snapToGrid w:val="0"/>
              <w:spacing w:line="320" w:lineRule="exact"/>
              <w:ind w:firstLine="0" w:firstLineChars="0"/>
              <w:jc w:val="center"/>
              <w:rPr>
                <w:rFonts w:hint="eastAsia" w:ascii="Times New Roman" w:hAnsi="Times New Roman"/>
                <w:color w:val="000000"/>
                <w:kern w:val="1"/>
                <w:sz w:val="24"/>
                <w:lang w:eastAsia="zh-CN"/>
              </w:rPr>
            </w:pPr>
            <w:r>
              <w:rPr>
                <w:rFonts w:hint="eastAsia" w:ascii="Times New Roman" w:hAnsi="Times New Roman"/>
                <w:color w:val="000000"/>
                <w:kern w:val="1"/>
                <w:sz w:val="24"/>
                <w:lang w:eastAsia="zh-CN"/>
              </w:rPr>
              <w:t>十五</w:t>
            </w:r>
          </w:p>
        </w:tc>
        <w:tc>
          <w:tcPr>
            <w:tcW w:w="1788" w:type="pct"/>
            <w:vAlign w:val="center"/>
          </w:tcPr>
          <w:p>
            <w:pPr>
              <w:widowControl/>
              <w:suppressAutoHyphens/>
              <w:adjustRightInd/>
              <w:snapToGrid/>
              <w:spacing w:line="400" w:lineRule="exact"/>
              <w:ind w:firstLine="0"/>
              <w:jc w:val="both"/>
              <w:rPr>
                <w:rFonts w:hint="eastAsia" w:ascii="仿宋" w:hAnsi="仿宋" w:eastAsia="仿宋" w:cs="仿宋"/>
                <w:b w:val="0"/>
                <w:bCs/>
                <w:sz w:val="24"/>
                <w:szCs w:val="24"/>
              </w:rPr>
            </w:pPr>
            <w:r>
              <w:rPr>
                <w:rFonts w:hint="eastAsia" w:ascii="仿宋" w:hAnsi="仿宋" w:eastAsia="仿宋" w:cs="仿宋"/>
                <w:b w:val="0"/>
                <w:bCs/>
                <w:sz w:val="24"/>
                <w:szCs w:val="24"/>
              </w:rPr>
              <w:t>建议修改“第八条 自治区科技厅和财政厅、有关部门”为“第八条 自治区科技厅和财政厅、项目主管部门”。理由：有关部门指向不明确，不宜作为监管主体，要突出项目主管部门。</w:t>
            </w:r>
          </w:p>
        </w:tc>
        <w:tc>
          <w:tcPr>
            <w:tcW w:w="852" w:type="pct"/>
            <w:vAlign w:val="center"/>
          </w:tcPr>
          <w:p>
            <w:pPr>
              <w:suppressAutoHyphens/>
              <w:adjustRightInd w:val="0"/>
              <w:snapToGrid w:val="0"/>
              <w:spacing w:line="3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采纳</w:t>
            </w:r>
          </w:p>
        </w:tc>
        <w:tc>
          <w:tcPr>
            <w:tcW w:w="1919" w:type="pct"/>
            <w:vAlign w:val="center"/>
          </w:tcPr>
          <w:p>
            <w:pPr>
              <w:suppressAutoHyphens/>
              <w:adjustRightInd w:val="0"/>
              <w:snapToGrid w:val="0"/>
              <w:spacing w:line="320" w:lineRule="exact"/>
              <w:ind w:firstLine="480" w:firstLineChars="200"/>
              <w:jc w:val="left"/>
              <w:rPr>
                <w:rFonts w:hint="default" w:ascii="仿宋" w:hAnsi="仿宋" w:eastAsia="仿宋" w:cs="仿宋"/>
                <w:sz w:val="24"/>
                <w:szCs w:val="24"/>
                <w:lang w:val="en-US" w:eastAsia="zh-CN"/>
              </w:rPr>
            </w:pP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2098" w:bottom="1474" w:left="1984" w:header="851" w:footer="992"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1485" cy="361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148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5pt;width:35.55pt;mso-position-horizontal:outside;mso-position-horizontal-relative:margin;mso-wrap-style:none;z-index:251659264;mso-width-relative:page;mso-height-relative:page;" filled="f" stroked="f" coordsize="21600,21600" o:gfxdata="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KHKtIAAAADAQAADwAAAAAAAAABACAA&#10;AAAiAAAAZHJzL2Rvd25yZXYueG1sUEsBAhQAFAAAAAgAh07iQO11ctgTAgAABQQAAA4AAAAAAAAA&#10;AQAgAAAAIQEAAGRycy9lMm9Eb2MueG1sUEsFBgAAAAAGAAYAWQEAAKYFAAAAAA==&#10;">
              <v:fill on="f" focussize="0,0"/>
              <v:stroke on="f" weight="0.5pt"/>
              <v:imagedata o:title=""/>
              <o:lock v:ext="edit" aspectratio="f"/>
              <v:textbox inset="0mm,0mm,0mm,0mm" style="mso-fit-shape-to-text:t;">
                <w:txbxContent>
                  <w:p>
                    <w:pPr>
                      <w:pStyle w:val="6"/>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39"/>
    <w:rsid w:val="00001319"/>
    <w:rsid w:val="00026F81"/>
    <w:rsid w:val="0005042E"/>
    <w:rsid w:val="00061565"/>
    <w:rsid w:val="000C2EF4"/>
    <w:rsid w:val="000D198C"/>
    <w:rsid w:val="001020B7"/>
    <w:rsid w:val="00106358"/>
    <w:rsid w:val="001A4734"/>
    <w:rsid w:val="001A5C05"/>
    <w:rsid w:val="001E52E5"/>
    <w:rsid w:val="0024661B"/>
    <w:rsid w:val="002568AD"/>
    <w:rsid w:val="003545C6"/>
    <w:rsid w:val="0037591F"/>
    <w:rsid w:val="00393563"/>
    <w:rsid w:val="003A3679"/>
    <w:rsid w:val="004B7E6F"/>
    <w:rsid w:val="005307EF"/>
    <w:rsid w:val="0054004C"/>
    <w:rsid w:val="00573030"/>
    <w:rsid w:val="00597AC4"/>
    <w:rsid w:val="005A4F19"/>
    <w:rsid w:val="00600EF4"/>
    <w:rsid w:val="00616493"/>
    <w:rsid w:val="00695671"/>
    <w:rsid w:val="006B3C42"/>
    <w:rsid w:val="006C7DBC"/>
    <w:rsid w:val="006F6DE1"/>
    <w:rsid w:val="007538CD"/>
    <w:rsid w:val="007D46A2"/>
    <w:rsid w:val="00827B0F"/>
    <w:rsid w:val="008B4C3E"/>
    <w:rsid w:val="00A5217F"/>
    <w:rsid w:val="00AD0403"/>
    <w:rsid w:val="00B10A29"/>
    <w:rsid w:val="00B32851"/>
    <w:rsid w:val="00B637C8"/>
    <w:rsid w:val="00B70FD8"/>
    <w:rsid w:val="00B93447"/>
    <w:rsid w:val="00C84B44"/>
    <w:rsid w:val="00CD1539"/>
    <w:rsid w:val="00D009E0"/>
    <w:rsid w:val="00D12E7A"/>
    <w:rsid w:val="00D66605"/>
    <w:rsid w:val="00E66019"/>
    <w:rsid w:val="00E75B6F"/>
    <w:rsid w:val="00E90785"/>
    <w:rsid w:val="00EC1764"/>
    <w:rsid w:val="00EC5A36"/>
    <w:rsid w:val="00FC0524"/>
    <w:rsid w:val="01DE5D60"/>
    <w:rsid w:val="02F0654F"/>
    <w:rsid w:val="075F318F"/>
    <w:rsid w:val="0D871616"/>
    <w:rsid w:val="0F2C2995"/>
    <w:rsid w:val="10912662"/>
    <w:rsid w:val="141F1E68"/>
    <w:rsid w:val="24FC3083"/>
    <w:rsid w:val="27BB7E6A"/>
    <w:rsid w:val="289B4FF6"/>
    <w:rsid w:val="289C1C53"/>
    <w:rsid w:val="2C7431CE"/>
    <w:rsid w:val="2C921279"/>
    <w:rsid w:val="2E4819F2"/>
    <w:rsid w:val="30E51936"/>
    <w:rsid w:val="319455EB"/>
    <w:rsid w:val="346A6F88"/>
    <w:rsid w:val="4BE32A61"/>
    <w:rsid w:val="52570E0F"/>
    <w:rsid w:val="577E6DC0"/>
    <w:rsid w:val="69FA1895"/>
    <w:rsid w:val="6C6B0F63"/>
    <w:rsid w:val="6D820EE6"/>
    <w:rsid w:val="6F241F5A"/>
    <w:rsid w:val="798F2B34"/>
    <w:rsid w:val="7CA72F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outlineLvl w:val="0"/>
    </w:pPr>
    <w:rPr>
      <w:rFonts w:eastAsia="黑体"/>
      <w:kern w:val="44"/>
    </w:rPr>
  </w:style>
  <w:style w:type="paragraph" w:styleId="3">
    <w:name w:val="heading 2"/>
    <w:basedOn w:val="1"/>
    <w:next w:val="1"/>
    <w:link w:val="14"/>
    <w:unhideWhenUsed/>
    <w:qFormat/>
    <w:uiPriority w:val="0"/>
    <w:pPr>
      <w:keepNext/>
      <w:keepLines/>
      <w:outlineLvl w:val="1"/>
    </w:pPr>
    <w:rPr>
      <w:rFonts w:ascii="楷体_GB2312" w:hAnsi="楷体_GB2312" w:eastAsia="楷体_GB231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rPr>
      <w:color w:val="FF0000"/>
    </w:rPr>
  </w:style>
  <w:style w:type="paragraph" w:styleId="5">
    <w:name w:val="Balloon Text"/>
    <w:basedOn w:val="1"/>
    <w:link w:val="15"/>
    <w:semiHidden/>
    <w:unhideWhenUsed/>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ind w:firstLine="0" w:firstLineChars="0"/>
      <w:jc w:val="left"/>
    </w:pPr>
    <w:rPr>
      <w:rFonts w:ascii="宋体" w:hAnsi="宋体" w:eastAsia="宋体"/>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Body Text First Indent"/>
    <w:basedOn w:val="4"/>
    <w:qFormat/>
    <w:uiPriority w:val="0"/>
    <w:pPr>
      <w:spacing w:line="600" w:lineRule="exact"/>
      <w:ind w:firstLine="720"/>
      <w:jc w:val="left"/>
    </w:pPr>
    <w:rPr>
      <w:rFonts w:ascii="宋体" w:hAnsi="宋体" w:cs="宋体"/>
      <w:sz w:val="28"/>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首标题"/>
    <w:basedOn w:val="1"/>
    <w:qFormat/>
    <w:uiPriority w:val="0"/>
    <w:pPr>
      <w:spacing w:line="600" w:lineRule="exact"/>
      <w:ind w:firstLine="0" w:firstLineChars="0"/>
      <w:jc w:val="center"/>
    </w:pPr>
    <w:rPr>
      <w:rFonts w:ascii="方正小标宋简体" w:hAnsi="方正小标宋简体" w:eastAsia="方正小标宋简体"/>
      <w:sz w:val="44"/>
    </w:rPr>
  </w:style>
  <w:style w:type="character" w:customStyle="1" w:styleId="14">
    <w:name w:val="标题 2 Char"/>
    <w:link w:val="3"/>
    <w:qFormat/>
    <w:uiPriority w:val="0"/>
    <w:rPr>
      <w:rFonts w:ascii="楷体_GB2312" w:hAnsi="楷体_GB2312" w:eastAsia="楷体_GB2312"/>
    </w:rPr>
  </w:style>
  <w:style w:type="character" w:customStyle="1" w:styleId="15">
    <w:name w:val="批注框文本 Char"/>
    <w:basedOn w:val="11"/>
    <w:link w:val="5"/>
    <w:semiHidden/>
    <w:qFormat/>
    <w:uiPriority w:val="0"/>
    <w:rPr>
      <w:rFonts w:ascii="仿宋_GB2312" w:hAnsi="仿宋_GB2312"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2729F-B0BB-4F7B-A0EE-281C3A9E54FE}">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244</Words>
  <Characters>1393</Characters>
  <Lines>11</Lines>
  <Paragraphs>3</Paragraphs>
  <TotalTime>14</TotalTime>
  <ScaleCrop>false</ScaleCrop>
  <LinksUpToDate>false</LinksUpToDate>
  <CharactersWithSpaces>1634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2021-05-20T09:26:00Z</dcterms:created>
  <dc:creator>1</dc:creator>
  <cp:lastModifiedBy>蒋任</cp:lastModifiedBy>
  <cp:lastPrinted>2021-05-13T03:00:00Z</cp:lastPrinted>
  <dcterms:modified xsi:type="dcterms:W3CDTF">2021-06-22T08:44:03Z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AF30F83B73FA402A9E7F17888DEBC48A</vt:lpwstr>
  </property>
</Properties>
</file>