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outlineLvl w:val="0"/>
        <w:rPr>
          <w:rFonts w:hint="eastAsia" w:ascii="黑体" w:hAnsi="黑体" w:eastAsia="黑体" w:cs="黑体"/>
          <w:sz w:val="32"/>
          <w:szCs w:val="32"/>
        </w:rPr>
      </w:pPr>
      <w:bookmarkStart w:id="0" w:name="_Toc33608714"/>
      <w:r>
        <w:rPr>
          <w:rFonts w:hint="eastAsia" w:ascii="黑体" w:hAnsi="黑体" w:eastAsia="黑体" w:cs="黑体"/>
          <w:sz w:val="32"/>
          <w:szCs w:val="32"/>
        </w:rPr>
        <w:t>附件</w:t>
      </w:r>
    </w:p>
    <w:p>
      <w:pPr>
        <w:pStyle w:val="3"/>
        <w:ind w:firstLine="0" w:firstLineChars="0"/>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《广西科技计划“揭榜挂帅”项目管理办法（试行）（征求意见稿）》</w:t>
      </w:r>
    </w:p>
    <w:p>
      <w:pPr>
        <w:pStyle w:val="3"/>
        <w:ind w:firstLine="0" w:firstLineChars="0"/>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公开征求意见建议反馈及采纳情况</w:t>
      </w:r>
      <w:bookmarkEnd w:id="0"/>
    </w:p>
    <w:p>
      <w:pPr>
        <w:pStyle w:val="5"/>
        <w:keepNext w:val="0"/>
        <w:keepLines w:val="0"/>
        <w:widowControl/>
        <w:suppressLineNumbers w:val="0"/>
        <w:spacing w:before="0" w:beforeAutospacing="0" w:after="0" w:afterAutospacing="0"/>
        <w:ind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202</w:t>
      </w:r>
      <w:r>
        <w:rPr>
          <w:rFonts w:hint="default" w:ascii="仿宋_GB2312" w:hAnsi="仿宋_GB2312" w:eastAsia="仿宋_GB2312" w:cs="仿宋_GB2312"/>
          <w:color w:val="auto"/>
          <w:sz w:val="24"/>
          <w:szCs w:val="24"/>
          <w:lang w:val="en" w:eastAsia="zh-CN"/>
        </w:rPr>
        <w:t>5</w:t>
      </w:r>
      <w:r>
        <w:rPr>
          <w:rFonts w:hint="eastAsia" w:ascii="仿宋_GB2312" w:hAnsi="仿宋_GB2312" w:eastAsia="仿宋_GB2312" w:cs="仿宋_GB2312"/>
          <w:color w:val="auto"/>
          <w:sz w:val="24"/>
          <w:szCs w:val="24"/>
        </w:rPr>
        <w:t>年</w:t>
      </w:r>
      <w:r>
        <w:rPr>
          <w:rFonts w:hint="default" w:ascii="仿宋_GB2312" w:hAnsi="仿宋_GB2312" w:eastAsia="仿宋_GB2312" w:cs="仿宋_GB2312"/>
          <w:color w:val="auto"/>
          <w:sz w:val="24"/>
          <w:szCs w:val="24"/>
          <w:lang w:val="en" w:eastAsia="zh-CN"/>
        </w:rPr>
        <w:t>8</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lang w:val="en" w:eastAsia="zh-CN"/>
        </w:rPr>
        <w:t>6</w:t>
      </w:r>
      <w:r>
        <w:rPr>
          <w:rFonts w:hint="eastAsia" w:ascii="仿宋_GB2312" w:hAnsi="仿宋_GB2312" w:eastAsia="仿宋_GB2312" w:cs="仿宋_GB2312"/>
          <w:color w:val="auto"/>
          <w:sz w:val="24"/>
          <w:szCs w:val="24"/>
        </w:rPr>
        <w:t>日至202</w:t>
      </w:r>
      <w:r>
        <w:rPr>
          <w:rFonts w:hint="default" w:ascii="仿宋_GB2312" w:hAnsi="仿宋_GB2312" w:eastAsia="仿宋_GB2312" w:cs="仿宋_GB2312"/>
          <w:color w:val="auto"/>
          <w:sz w:val="24"/>
          <w:szCs w:val="24"/>
          <w:lang w:val="en" w:eastAsia="zh-CN"/>
        </w:rPr>
        <w:t>5</w:t>
      </w:r>
      <w:r>
        <w:rPr>
          <w:rFonts w:hint="eastAsia" w:ascii="仿宋_GB2312" w:hAnsi="仿宋_GB2312" w:eastAsia="仿宋_GB2312" w:cs="仿宋_GB2312"/>
          <w:color w:val="auto"/>
          <w:sz w:val="24"/>
          <w:szCs w:val="24"/>
        </w:rPr>
        <w:t>年</w:t>
      </w:r>
      <w:r>
        <w:rPr>
          <w:rFonts w:hint="default" w:ascii="仿宋_GB2312" w:hAnsi="仿宋_GB2312" w:eastAsia="仿宋_GB2312" w:cs="仿宋_GB2312"/>
          <w:color w:val="auto"/>
          <w:sz w:val="24"/>
          <w:szCs w:val="24"/>
          <w:lang w:val="en" w:eastAsia="zh-CN"/>
        </w:rPr>
        <w:t>9</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lang w:val="en" w:eastAsia="zh-CN"/>
        </w:rPr>
        <w:t>5</w:t>
      </w:r>
      <w:r>
        <w:rPr>
          <w:rFonts w:hint="eastAsia" w:ascii="仿宋_GB2312" w:hAnsi="仿宋_GB2312" w:eastAsia="仿宋_GB2312" w:cs="仿宋_GB2312"/>
          <w:color w:val="auto"/>
          <w:sz w:val="24"/>
          <w:szCs w:val="24"/>
        </w:rPr>
        <w:t>日期间，我厅向社会公开征求对《广西科技计划“揭榜挂帅”项目管理办法（试行）（征求意见稿）》的</w:t>
      </w:r>
      <w:r>
        <w:rPr>
          <w:rFonts w:hint="eastAsia" w:ascii="仿宋_GB2312" w:hAnsi="仿宋_GB2312" w:eastAsia="仿宋_GB2312" w:cs="仿宋_GB2312"/>
          <w:sz w:val="24"/>
          <w:szCs w:val="24"/>
        </w:rPr>
        <w:t>修改意见建议，共收到修改意见建议</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条，</w:t>
      </w:r>
      <w:r>
        <w:rPr>
          <w:rFonts w:hint="eastAsia" w:ascii="仿宋_GB2312" w:hAnsi="仿宋_GB2312" w:eastAsia="仿宋_GB2312" w:cs="仿宋_GB2312"/>
          <w:sz w:val="24"/>
          <w:szCs w:val="24"/>
          <w:lang w:val="en-US" w:eastAsia="zh-CN"/>
        </w:rPr>
        <w:t>综合</w:t>
      </w:r>
      <w:r>
        <w:rPr>
          <w:rFonts w:hint="eastAsia" w:ascii="仿宋_GB2312" w:hAnsi="仿宋_GB2312" w:eastAsia="仿宋_GB2312" w:cs="仿宋_GB2312"/>
          <w:sz w:val="24"/>
          <w:szCs w:val="24"/>
        </w:rPr>
        <w:t>采纳</w:t>
      </w:r>
      <w:r>
        <w:rPr>
          <w:rFonts w:hint="default" w:ascii="仿宋_GB2312" w:hAnsi="仿宋_GB2312" w:eastAsia="仿宋_GB2312" w:cs="仿宋_GB2312"/>
          <w:sz w:val="24"/>
          <w:szCs w:val="24"/>
          <w:lang w:val="en" w:eastAsia="zh-CN"/>
        </w:rPr>
        <w:t>1</w:t>
      </w:r>
      <w:r>
        <w:rPr>
          <w:rFonts w:hint="eastAsia" w:ascii="仿宋_GB2312" w:hAnsi="仿宋_GB2312" w:eastAsia="仿宋_GB2312" w:cs="仿宋_GB2312"/>
          <w:sz w:val="24"/>
          <w:szCs w:val="24"/>
          <w:lang w:val="en-US" w:eastAsia="zh-CN"/>
        </w:rPr>
        <w:t>条</w:t>
      </w:r>
      <w:r>
        <w:rPr>
          <w:rFonts w:hint="eastAsia" w:ascii="仿宋_GB2312" w:hAnsi="仿宋_GB2312" w:eastAsia="仿宋_GB2312" w:cs="仿宋_GB2312"/>
          <w:sz w:val="24"/>
          <w:szCs w:val="24"/>
        </w:rPr>
        <w:t>。</w:t>
      </w:r>
    </w:p>
    <w:p/>
    <w:tbl>
      <w:tblPr>
        <w:tblStyle w:val="6"/>
        <w:tblW w:w="4999" w:type="pct"/>
        <w:tblInd w:w="0" w:type="dxa"/>
        <w:tblLayout w:type="autofit"/>
        <w:tblCellMar>
          <w:top w:w="0" w:type="dxa"/>
          <w:left w:w="108" w:type="dxa"/>
          <w:bottom w:w="0" w:type="dxa"/>
          <w:right w:w="108" w:type="dxa"/>
        </w:tblCellMar>
      </w:tblPr>
      <w:tblGrid>
        <w:gridCol w:w="942"/>
        <w:gridCol w:w="8034"/>
        <w:gridCol w:w="3993"/>
      </w:tblGrid>
      <w:tr>
        <w:tblPrEx>
          <w:tblCellMar>
            <w:top w:w="0" w:type="dxa"/>
            <w:left w:w="108" w:type="dxa"/>
            <w:bottom w:w="0" w:type="dxa"/>
            <w:right w:w="108" w:type="dxa"/>
          </w:tblCellMar>
        </w:tblPrEx>
        <w:trPr>
          <w:trHeight w:val="6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ind w:firstLine="240" w:firstLineChars="100"/>
              <w:jc w:val="left"/>
              <w:textAlignment w:val="center"/>
              <w:rPr>
                <w:rFonts w:hint="eastAsia" w:ascii="黑体" w:hAnsi="黑体" w:eastAsia="黑体" w:cs="黑体"/>
                <w:sz w:val="24"/>
              </w:rPr>
            </w:pPr>
            <w:r>
              <w:rPr>
                <w:rFonts w:hint="eastAsia" w:ascii="黑体" w:hAnsi="黑体" w:eastAsia="黑体" w:cs="黑体"/>
                <w:kern w:val="0"/>
                <w:sz w:val="24"/>
                <w:lang w:bidi="ar"/>
              </w:rPr>
              <w:t>序号</w:t>
            </w:r>
          </w:p>
        </w:tc>
        <w:tc>
          <w:tcPr>
            <w:tcW w:w="3096"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黑体" w:hAnsi="黑体" w:eastAsia="黑体" w:cs="黑体"/>
                <w:sz w:val="24"/>
              </w:rPr>
            </w:pPr>
            <w:r>
              <w:rPr>
                <w:rFonts w:hint="eastAsia" w:ascii="黑体" w:hAnsi="黑体" w:eastAsia="黑体" w:cs="黑体"/>
                <w:kern w:val="0"/>
                <w:sz w:val="24"/>
                <w:lang w:bidi="ar"/>
              </w:rPr>
              <w:t>反馈意见建议</w:t>
            </w:r>
          </w:p>
        </w:tc>
        <w:tc>
          <w:tcPr>
            <w:tcW w:w="1539"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采纳情况和理由</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建议：在技术攻关类项目中，设立“联合需求方”机制。恳请科技厅在《广西科技计划“揭榜挂帅”项目管理办事由:法(试行)》中，增设“联合需求方”机制，允许区外科技企业与区内医疗机构共同作为技术攻关类项目的需求方，以加速解决广西医疗临床痛点，提升区域医疗装备水平。</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1.主体构成:允许“区外具备核心技术研发能力的科技企业”与“区内提出明确临床需求的应用单位(如三甲医院、重点科室)”共同作为项目需求方。</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权责分工:</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区内医疗机构:负责精准定义临床需求、提供真实应用场景组织临床试验与效果评估、保障项目在院内的顺利实施。区外科技企业:负责牵头技术方案设计、投入核心研发资源、组织工程化实现与样机生产、保障供应链与后续产业化。</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3.政策依据:此模式完全符合《办法》第四条对“揭榜挂帅”项目的定义--“需求目标清晰、应用导向鲜明、最终用户明确”。医院就是最直接的“最终用户”，而区外企业则是实现技术突破的“创新主体”。</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理由：《办法》第六条规定，技术攻关类项目的需求方必须是“区内提出技术需求的企业”。这一规定在当前阶段，客观上为我们这类区外企业与区内医疗机构的深度协同研发设置了障碍。区内企业能力错配:广西区内专注于高端医疗设备研发的成熟企业数量有限，其研发方向和能力未必能精准匹配一线临床提出的、高度专业化的需求。医院无法独立发榜:虽然医院是需求的源头和最终用户，但其作为事业单位，难以完全满足《办法》第六条中“具备较强的创新资源集成能力、研发组织能力和供应链管理能力”的企业资质要求。区外企业角色受限:我司作为具备研发实力和产业化能力的区外企业，目前只能作为“揭榜方”参与，无法与提出需求的医院共同作为“需求方”</w:t>
            </w:r>
            <w:bookmarkStart w:id="1" w:name="_GoBack"/>
            <w:bookmarkEnd w:id="1"/>
            <w:r>
              <w:rPr>
                <w:rFonts w:hint="eastAsia" w:ascii="仿宋_GB2312" w:hAnsi="仿宋_GB2312" w:eastAsia="仿宋_GB2312" w:cs="仿宋_GB2312"/>
                <w:color w:val="auto"/>
                <w:kern w:val="0"/>
                <w:sz w:val="24"/>
                <w:szCs w:val="24"/>
                <w:lang w:val="en-US" w:eastAsia="zh-CN" w:bidi="ar"/>
              </w:rPr>
              <w:t>来主导项目。这不利于在项目初期就明确权责利，尤其是在知识产权归属、成果转化收益分配等核心问题上，可能影响合作的深度和效率。</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不采纳。区外科技企业作为揭榜方可负责牵头技术方案设计、投入核心研发资源、组织工程化实现与样机生产、保障供应链与后续产业化，不适宜作为需求方。知识产权归属、成果转化收益分配问题可在揭榜方揭榜后商定。</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2</w:t>
            </w:r>
          </w:p>
        </w:tc>
        <w:tc>
          <w:tcPr>
            <w:tcW w:w="30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建议：在“揭榜挂帅”技术攻关类项目中，允许区外单位以联合需求方或共同需求方身份参与，以更好推动广西医疗健康领域科技创新与发展。具体建议如下：</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（一）建议一：在技术攻关类项目中增设“联合需求方”或“共同需求方”机制。</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1.主体构成：允许由“区内应用单位（如医院、疾控中心等事业单位）”与“区外研发型企业或机构”共同作为项目需求方。</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权责划分：区内应用单位负责提出临床需求、提供应用场景、组织临床验证和后期应用推广；区外研发单位负责牵头技术攻关、投入核心研发资源、保障供应链。双方在揭榜协议中明确分工、投入比例和知识产权、收益分配方案。</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3.政策依据：此建议符合《办法》总则中“加强核心技术攻关、破解科技成果转化难题，更好服务保障广西高质量跨越式发展”的根本目标，也符合第四条“最终用户明确”的要求——医院本身就是最终用户。</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（二）建议二：对医疗健康领域的技术攻关项目，给予需求方资质认定的特殊考量。</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对于以医院为主体的需求方，应重点考察其“对重点产业领域新产品、新技术有明确的应用场景和需求”（第六条第一款）以及“能够保障项目实施的资金投入，能够提供项目实施的配套条件”（第六条第二款）的能力，而适当放宽或重新定义“创新资源集成能力、研发组织能力和供应链管理能力”的要求，因为这些能力可以通过与区外优秀伙伴的合作来弥补。</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理由：规定明确要求技术攻关类项目的需求方须为“区内提出技术需求的企业”。该要求在工业、信息技术等领域具备适用性，但在医疗健康领域却面临以下特殊问题：</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一）区内研发主体匮乏。广西区内专注于高端医疗设备、前沿诊疗技术研发的成熟企业数量有限，其研发能力与资源整合水平往往难以匹配基于临床实践所提出的、关乎重大疾病防治与区域医疗能力提升的高难度系统性技术需求。</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二）需求与能力错配。我院作为临床需求的直接提出者和最终应用者，拥有明确的应用场景和迫切的技术需求，但自身作为医疗机构，在供应链管理、大规模研发投入等方面存在天然短板，难以独立承担“需求方”的全部职责。</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三）区外合作是现实路径：要真正破解广西医疗领域“卡脖子”问题，最有效的路径是与区外顶尖的医疗科技企业、高校或科研院所建立深度合作关系，共同研发。这些区外单位拥有强大的研发实力和丰富的产业化经验，但他们目前无法作为“需求方”参与揭榜，只能作为“揭榜方”，这在权责利的划分、项目主导权以及后续成果转化的利益分配上，都可能产生障碍，不利于形成长期、稳定、高效的合作。</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综合采纳。</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建议一不采纳。区外科技企业作为揭榜方可负责牵头技术攻关、投入核心研发资源、保障供应链。需求方与揭榜方协议在揭榜项目立项后、签订任务书前明确。</w:t>
            </w:r>
          </w:p>
          <w:p>
            <w:pPr>
              <w:keepNext w:val="0"/>
              <w:keepLines w:val="0"/>
              <w:widowControl/>
              <w:suppressLineNumbers w:val="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建议二采纳。修改（第六条第一款），明确“对重点产业领域新产品、新技术有明确的应用场景和需求”与“创新资源集成能力、研发组织能力和供应链管理能力”为异或关系，两者满足其一即可。</w:t>
            </w:r>
          </w:p>
        </w:tc>
      </w:tr>
    </w:tbl>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YjRhOTgxM2EzZTFmNjQwMDFlMWM5MjExYWE3M2EifQ=="/>
  </w:docVars>
  <w:rsids>
    <w:rsidRoot w:val="7B8C15A3"/>
    <w:rsid w:val="10D80231"/>
    <w:rsid w:val="150A4901"/>
    <w:rsid w:val="38091EFE"/>
    <w:rsid w:val="3FDFC525"/>
    <w:rsid w:val="40863291"/>
    <w:rsid w:val="41EC6FB9"/>
    <w:rsid w:val="461721E3"/>
    <w:rsid w:val="46DD1E3C"/>
    <w:rsid w:val="494D5F0C"/>
    <w:rsid w:val="666469F4"/>
    <w:rsid w:val="6ABE6E95"/>
    <w:rsid w:val="6E82467D"/>
    <w:rsid w:val="779F59A6"/>
    <w:rsid w:val="7B8C15A3"/>
    <w:rsid w:val="7BFEA7FA"/>
    <w:rsid w:val="7FFBF29A"/>
    <w:rsid w:val="FA39D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uiPriority w:val="0"/>
    <w:pPr>
      <w:ind w:left="0" w:leftChars="0" w:right="0" w:rightChars="0"/>
    </w:pPr>
    <w:rPr>
      <w:rFonts w:ascii="Times New Roman" w:hAnsi="Times New Roman"/>
      <w:color w:val="000000"/>
      <w:kern w:val="0"/>
      <w:sz w:val="32"/>
    </w:rPr>
  </w:style>
  <w:style w:type="paragraph" w:styleId="3">
    <w:name w:val="Normal Indent"/>
    <w:basedOn w:val="1"/>
    <w:next w:val="1"/>
    <w:unhideWhenUsed/>
    <w:qFormat/>
    <w:uiPriority w:val="0"/>
    <w:pPr>
      <w:ind w:firstLine="420" w:firstLineChars="200"/>
    </w:pPr>
    <w:rPr>
      <w:szCs w:val="24"/>
    </w:rPr>
  </w:style>
  <w:style w:type="paragraph" w:styleId="4">
    <w:name w:val="Body Text"/>
    <w:basedOn w:val="1"/>
    <w:qFormat/>
    <w:uiPriority w:val="0"/>
    <w:pPr>
      <w:spacing w:after="120" w:afterLines="0" w:afterAutospacing="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Endnote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274</Words>
  <Characters>282</Characters>
  <Lines>0</Lines>
  <Paragraphs>0</Paragraphs>
  <TotalTime>73</TotalTime>
  <ScaleCrop>false</ScaleCrop>
  <LinksUpToDate>false</LinksUpToDate>
  <CharactersWithSpaces>282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2024-07-05T17:58:00Z</dcterms:created>
  <dc:creator>吴慧玲</dc:creator>
  <cp:lastModifiedBy>刘辉</cp:lastModifiedBy>
  <dcterms:modified xsi:type="dcterms:W3CDTF">2025-10-10T17:52:36Z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E1A9E181D1E34FC6A22C9786B52C2D63_11</vt:lpwstr>
  </property>
</Properties>
</file>