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B4FBA">
      <w:pPr>
        <w:pStyle w:val="4"/>
        <w:keepNext w:val="0"/>
        <w:keepLines w:val="0"/>
        <w:pageBreakBefore w:val="0"/>
        <w:widowControl w:val="0"/>
        <w:kinsoku/>
        <w:wordWrap/>
        <w:overflowPunct/>
        <w:topLinePunct w:val="0"/>
        <w:bidi w:val="0"/>
        <w:snapToGrid/>
        <w:spacing w:line="560" w:lineRule="exact"/>
        <w:ind w:left="0" w:leftChars="0" w:firstLine="0" w:firstLineChars="0"/>
        <w:outlineLvl w:val="0"/>
        <w:rPr>
          <w:rFonts w:hint="eastAsia" w:ascii="Times New Roman" w:hAnsi="Times New Roman" w:eastAsia="黑体"/>
          <w:b w:val="0"/>
          <w:bCs w:val="0"/>
          <w:color w:val="auto"/>
        </w:rPr>
      </w:pPr>
      <w:r>
        <w:rPr>
          <w:rFonts w:hint="eastAsia" w:ascii="Times New Roman" w:hAnsi="Times New Roman" w:eastAsia="黑体"/>
          <w:b w:val="0"/>
          <w:bCs w:val="0"/>
          <w:color w:val="auto"/>
        </w:rPr>
        <w:t>附件</w:t>
      </w:r>
    </w:p>
    <w:p w14:paraId="0687CE19">
      <w:pPr>
        <w:keepNext w:val="0"/>
        <w:keepLines w:val="0"/>
        <w:pageBreakBefore w:val="0"/>
        <w:widowControl w:val="0"/>
        <w:kinsoku/>
        <w:wordWrap/>
        <w:overflowPunct/>
        <w:topLinePunct w:val="0"/>
        <w:bidi w:val="0"/>
        <w:snapToGrid/>
        <w:spacing w:line="560" w:lineRule="exact"/>
        <w:rPr>
          <w:rFonts w:hint="eastAsia"/>
        </w:rPr>
      </w:pPr>
    </w:p>
    <w:p w14:paraId="3A029607">
      <w:pPr>
        <w:pStyle w:val="8"/>
        <w:keepNext w:val="0"/>
        <w:keepLines w:val="0"/>
        <w:pageBreakBefore w:val="0"/>
        <w:suppressLineNumbers w:val="0"/>
        <w:shd w:val="clear" w:color="auto" w:fill="auto"/>
        <w:suppressAutoHyphens/>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0"/>
        <w:rPr>
          <w:rFonts w:hint="eastAsia" w:ascii="方正小标宋_GBK" w:hAnsi="方正小标宋_GBK" w:eastAsia="方正小标宋_GBK" w:cs="方正小标宋_GBK"/>
          <w:snapToGrid/>
          <w:spacing w:val="0"/>
          <w:w w:val="100"/>
          <w:position w:val="0"/>
          <w:sz w:val="36"/>
          <w:szCs w:val="36"/>
          <w:u w:val="none"/>
          <w:shd w:val="clear" w:color="auto" w:fill="auto"/>
          <w:vertAlign w:val="baseline"/>
        </w:rPr>
      </w:pPr>
      <w:r>
        <w:rPr>
          <w:rFonts w:hint="eastAsia" w:ascii="方正小标宋_GBK" w:hAnsi="方正小标宋_GBK" w:eastAsia="方正小标宋_GBK" w:cs="方正小标宋_GBK"/>
          <w:snapToGrid/>
          <w:spacing w:val="0"/>
          <w:w w:val="100"/>
          <w:position w:val="0"/>
          <w:sz w:val="36"/>
          <w:szCs w:val="36"/>
          <w:u w:val="none"/>
          <w:shd w:val="clear" w:color="auto" w:fill="auto"/>
          <w:vertAlign w:val="baseline"/>
        </w:rPr>
        <w:t>《科创广西先行试验区（桂林）建设方案（征求意见稿）》</w:t>
      </w:r>
    </w:p>
    <w:p w14:paraId="5648707D">
      <w:pPr>
        <w:widowControl w:val="0"/>
        <w:ind w:firstLine="0" w:firstLineChars="0"/>
        <w:jc w:val="center"/>
        <w:outlineLvl w:val="0"/>
        <w:rPr>
          <w:rFonts w:hint="eastAsia"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公开征求意见建议反馈及采纳情况</w:t>
      </w:r>
    </w:p>
    <w:p w14:paraId="47775538">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202</w:t>
      </w:r>
      <w:r>
        <w:rPr>
          <w:rFonts w:hint="default" w:ascii="仿宋_GB2312" w:hAnsi="仿宋_GB2312" w:eastAsia="仿宋_GB2312" w:cs="仿宋_GB2312"/>
          <w:color w:val="auto"/>
          <w:kern w:val="0"/>
          <w:sz w:val="24"/>
          <w:szCs w:val="24"/>
          <w:lang w:val="en" w:eastAsia="zh-CN" w:bidi="ar"/>
        </w:rPr>
        <w:t>5</w:t>
      </w:r>
      <w:r>
        <w:rPr>
          <w:rFonts w:hint="eastAsia" w:ascii="仿宋_GB2312" w:hAnsi="仿宋_GB2312" w:eastAsia="仿宋_GB2312" w:cs="仿宋_GB2312"/>
          <w:color w:val="auto"/>
          <w:kern w:val="0"/>
          <w:sz w:val="24"/>
          <w:szCs w:val="24"/>
          <w:lang w:val="en-US" w:eastAsia="zh-CN" w:bidi="ar"/>
        </w:rPr>
        <w:t>年12月2日至202</w:t>
      </w:r>
      <w:r>
        <w:rPr>
          <w:rFonts w:hint="default" w:ascii="仿宋_GB2312" w:hAnsi="仿宋_GB2312" w:eastAsia="仿宋_GB2312" w:cs="仿宋_GB2312"/>
          <w:color w:val="auto"/>
          <w:kern w:val="0"/>
          <w:sz w:val="24"/>
          <w:szCs w:val="24"/>
          <w:lang w:val="en" w:eastAsia="zh-CN" w:bidi="ar"/>
        </w:rPr>
        <w:t>5</w:t>
      </w:r>
      <w:r>
        <w:rPr>
          <w:rFonts w:hint="eastAsia" w:ascii="仿宋_GB2312" w:hAnsi="仿宋_GB2312" w:eastAsia="仿宋_GB2312" w:cs="仿宋_GB2312"/>
          <w:color w:val="auto"/>
          <w:kern w:val="0"/>
          <w:sz w:val="24"/>
          <w:szCs w:val="24"/>
          <w:lang w:val="en-US" w:eastAsia="zh-CN" w:bidi="ar"/>
        </w:rPr>
        <w:t>年12月1</w:t>
      </w:r>
      <w:r>
        <w:rPr>
          <w:rFonts w:hint="default" w:ascii="仿宋_GB2312" w:hAnsi="仿宋_GB2312" w:eastAsia="仿宋_GB2312" w:cs="仿宋_GB2312"/>
          <w:color w:val="auto"/>
          <w:kern w:val="0"/>
          <w:sz w:val="24"/>
          <w:szCs w:val="24"/>
          <w:lang w:val="en" w:eastAsia="zh-CN" w:bidi="ar"/>
        </w:rPr>
        <w:t>5</w:t>
      </w:r>
      <w:r>
        <w:rPr>
          <w:rFonts w:hint="eastAsia" w:ascii="仿宋_GB2312" w:hAnsi="仿宋_GB2312" w:eastAsia="仿宋_GB2312" w:cs="仿宋_GB2312"/>
          <w:color w:val="auto"/>
          <w:kern w:val="0"/>
          <w:sz w:val="24"/>
          <w:szCs w:val="24"/>
          <w:lang w:val="en-US" w:eastAsia="zh-CN" w:bidi="ar"/>
        </w:rPr>
        <w:t>日期间，</w:t>
      </w:r>
      <w:bookmarkStart w:id="0" w:name="_GoBack"/>
      <w:bookmarkEnd w:id="0"/>
      <w:r>
        <w:rPr>
          <w:rFonts w:hint="eastAsia" w:ascii="仿宋_GB2312" w:hAnsi="仿宋_GB2312" w:eastAsia="仿宋_GB2312" w:cs="仿宋_GB2312"/>
          <w:color w:val="auto"/>
          <w:kern w:val="0"/>
          <w:sz w:val="24"/>
          <w:szCs w:val="24"/>
          <w:lang w:val="en-US" w:eastAsia="zh-CN" w:bidi="ar"/>
        </w:rPr>
        <w:t>我厅向社会公开征求对《科创广西先行试验区（桂林）建设方案（征求意见稿）》的</w:t>
      </w:r>
      <w:r>
        <w:rPr>
          <w:rFonts w:hint="eastAsia" w:ascii="仿宋_GB2312" w:hAnsi="仿宋_GB2312" w:eastAsia="仿宋_GB2312" w:cs="仿宋_GB2312"/>
          <w:kern w:val="0"/>
          <w:sz w:val="24"/>
          <w:szCs w:val="24"/>
          <w:lang w:val="en-US" w:eastAsia="zh-CN" w:bidi="ar"/>
        </w:rPr>
        <w:t>修改意见建议，共收到修改意见建议2条，综合采纳</w:t>
      </w:r>
      <w:r>
        <w:rPr>
          <w:rFonts w:hint="default" w:ascii="仿宋_GB2312" w:hAnsi="仿宋_GB2312" w:eastAsia="仿宋_GB2312" w:cs="仿宋_GB2312"/>
          <w:kern w:val="0"/>
          <w:sz w:val="24"/>
          <w:szCs w:val="24"/>
          <w:lang w:val="en" w:eastAsia="zh-CN" w:bidi="ar"/>
        </w:rPr>
        <w:t>1</w:t>
      </w:r>
      <w:r>
        <w:rPr>
          <w:rFonts w:hint="eastAsia" w:ascii="仿宋_GB2312" w:hAnsi="仿宋_GB2312" w:eastAsia="仿宋_GB2312" w:cs="仿宋_GB2312"/>
          <w:kern w:val="0"/>
          <w:sz w:val="24"/>
          <w:szCs w:val="24"/>
          <w:lang w:val="en-US" w:eastAsia="zh-CN" w:bidi="ar"/>
        </w:rPr>
        <w:t>条。</w:t>
      </w:r>
    </w:p>
    <w:p w14:paraId="71B4F105">
      <w:pPr>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kern w:val="0"/>
          <w:sz w:val="24"/>
          <w:szCs w:val="24"/>
          <w:lang w:val="en-US" w:eastAsia="zh-CN" w:bidi="ar"/>
        </w:rPr>
      </w:pPr>
    </w:p>
    <w:tbl>
      <w:tblPr>
        <w:tblStyle w:val="17"/>
        <w:tblW w:w="469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9633"/>
        <w:gridCol w:w="2766"/>
      </w:tblGrid>
      <w:tr w14:paraId="3983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280" w:type="pct"/>
            <w:tcBorders>
              <w:top w:val="single" w:color="000000" w:sz="4" w:space="0"/>
              <w:left w:val="single" w:color="000000" w:sz="4" w:space="0"/>
              <w:bottom w:val="single" w:color="000000" w:sz="4" w:space="0"/>
              <w:right w:val="single" w:color="auto" w:sz="4" w:space="0"/>
            </w:tcBorders>
            <w:noWrap/>
            <w:vAlign w:val="center"/>
          </w:tcPr>
          <w:p w14:paraId="1C9E33CB">
            <w:pPr>
              <w:keepNext w:val="0"/>
              <w:keepLines w:val="0"/>
              <w:pageBreakBefore w:val="0"/>
              <w:widowControl w:val="0"/>
              <w:kinsoku/>
              <w:wordWrap/>
              <w:overflowPunct/>
              <w:topLinePunct w:val="0"/>
              <w:autoSpaceDE/>
              <w:autoSpaceDN/>
              <w:bidi w:val="0"/>
              <w:adjustRightInd/>
              <w:spacing w:line="360" w:lineRule="exact"/>
              <w:jc w:val="center"/>
              <w:textAlignment w:val="center"/>
              <w:rPr>
                <w:rFonts w:ascii="Times New Roman" w:hAnsi="Times New Roman" w:eastAsia="黑体"/>
                <w:sz w:val="24"/>
              </w:rPr>
            </w:pPr>
            <w:r>
              <w:rPr>
                <w:rFonts w:ascii="Times New Roman" w:hAnsi="Times New Roman" w:eastAsia="黑体"/>
                <w:kern w:val="0"/>
                <w:sz w:val="24"/>
              </w:rPr>
              <w:t>序号</w:t>
            </w:r>
          </w:p>
        </w:tc>
        <w:tc>
          <w:tcPr>
            <w:tcW w:w="3666" w:type="pct"/>
            <w:tcBorders>
              <w:top w:val="single" w:color="000000" w:sz="4" w:space="0"/>
              <w:left w:val="single" w:color="auto" w:sz="4" w:space="0"/>
              <w:bottom w:val="single" w:color="000000" w:sz="4" w:space="0"/>
              <w:right w:val="single" w:color="000000" w:sz="4" w:space="0"/>
            </w:tcBorders>
            <w:noWrap/>
            <w:vAlign w:val="center"/>
          </w:tcPr>
          <w:p w14:paraId="5A572F4C">
            <w:pPr>
              <w:keepNext w:val="0"/>
              <w:keepLines w:val="0"/>
              <w:pageBreakBefore w:val="0"/>
              <w:widowControl w:val="0"/>
              <w:kinsoku/>
              <w:wordWrap/>
              <w:overflowPunct/>
              <w:topLinePunct w:val="0"/>
              <w:autoSpaceDE/>
              <w:autoSpaceDN/>
              <w:bidi w:val="0"/>
              <w:adjustRightInd/>
              <w:spacing w:line="360" w:lineRule="exact"/>
              <w:jc w:val="center"/>
              <w:textAlignment w:val="center"/>
              <w:rPr>
                <w:rFonts w:ascii="Times New Roman" w:hAnsi="Times New Roman" w:eastAsia="黑体"/>
                <w:sz w:val="24"/>
              </w:rPr>
            </w:pPr>
            <w:r>
              <w:rPr>
                <w:rFonts w:ascii="Times New Roman" w:hAnsi="Times New Roman" w:eastAsia="黑体"/>
                <w:kern w:val="0"/>
                <w:sz w:val="24"/>
              </w:rPr>
              <w:t>反馈意见建议</w:t>
            </w:r>
          </w:p>
        </w:tc>
        <w:tc>
          <w:tcPr>
            <w:tcW w:w="1052" w:type="pct"/>
            <w:tcBorders>
              <w:top w:val="single" w:color="000000" w:sz="4" w:space="0"/>
              <w:left w:val="single" w:color="auto" w:sz="4" w:space="0"/>
              <w:bottom w:val="single" w:color="000000" w:sz="4" w:space="0"/>
              <w:right w:val="single" w:color="000000" w:sz="4" w:space="0"/>
            </w:tcBorders>
            <w:noWrap/>
            <w:vAlign w:val="center"/>
          </w:tcPr>
          <w:p w14:paraId="727A4843">
            <w:pPr>
              <w:keepNext w:val="0"/>
              <w:keepLines w:val="0"/>
              <w:pageBreakBefore w:val="0"/>
              <w:widowControl w:val="0"/>
              <w:kinsoku/>
              <w:wordWrap/>
              <w:overflowPunct/>
              <w:topLinePunct w:val="0"/>
              <w:autoSpaceDE/>
              <w:autoSpaceDN/>
              <w:bidi w:val="0"/>
              <w:adjustRightInd/>
              <w:spacing w:line="360" w:lineRule="exact"/>
              <w:jc w:val="center"/>
              <w:textAlignment w:val="center"/>
              <w:rPr>
                <w:rFonts w:ascii="Times New Roman" w:hAnsi="Times New Roman" w:eastAsia="黑体"/>
                <w:kern w:val="0"/>
                <w:sz w:val="24"/>
              </w:rPr>
            </w:pPr>
            <w:r>
              <w:rPr>
                <w:rFonts w:hint="eastAsia" w:ascii="黑体" w:eastAsia="黑体" w:cs="黑体"/>
                <w:b w:val="0"/>
                <w:bCs w:val="0"/>
                <w:color w:val="auto"/>
                <w:sz w:val="24"/>
                <w:szCs w:val="24"/>
                <w:highlight w:val="none"/>
                <w:vertAlign w:val="baseline"/>
                <w:lang w:eastAsia="zh-CN"/>
              </w:rPr>
              <w:t>采纳情况及理由</w:t>
            </w:r>
          </w:p>
        </w:tc>
      </w:tr>
      <w:tr w14:paraId="25E7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0" w:type="pct"/>
            <w:tcBorders>
              <w:top w:val="single" w:color="000000" w:sz="4" w:space="0"/>
              <w:left w:val="single" w:color="000000" w:sz="4" w:space="0"/>
              <w:bottom w:val="single" w:color="000000" w:sz="4" w:space="0"/>
              <w:right w:val="single" w:color="auto" w:sz="4" w:space="0"/>
            </w:tcBorders>
            <w:noWrap/>
            <w:vAlign w:val="center"/>
          </w:tcPr>
          <w:p w14:paraId="7D95EF4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1</w:t>
            </w:r>
          </w:p>
        </w:tc>
        <w:tc>
          <w:tcPr>
            <w:tcW w:w="3666" w:type="pct"/>
            <w:tcBorders>
              <w:top w:val="single" w:color="000000" w:sz="4" w:space="0"/>
              <w:left w:val="single" w:color="auto" w:sz="4" w:space="0"/>
              <w:bottom w:val="single" w:color="000000" w:sz="4" w:space="0"/>
              <w:right w:val="single" w:color="000000" w:sz="4" w:space="0"/>
            </w:tcBorders>
            <w:noWrap/>
            <w:vAlign w:val="center"/>
          </w:tcPr>
          <w:p w14:paraId="5C114B1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一、总体要求部分：增补高职特色发展指标</w:t>
            </w:r>
          </w:p>
          <w:p w14:paraId="15183A9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在“创新生态持续优化”目标中，新增高职专项指标，强化技术技能人才支撑：</w:t>
            </w:r>
          </w:p>
          <w:p w14:paraId="2A58391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补充：“培育省级以上产教融合型企业10家、现代产业学院5个，高职毕业生本地就业率稳定在90%以上，每年为试验区企业输送技术技能人才5000名以上，开展企业职工技能提升培训6000人次以上”。</w:t>
            </w:r>
          </w:p>
          <w:p w14:paraId="62DD17D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理由：高职学院是区域技术技能人才供给主渠道，新增指标可精准对接试验区产业集群对技能型人才的迫切需求，形成“研发+技能+应用”的完整创新链条</w:t>
            </w:r>
          </w:p>
          <w:p w14:paraId="4D28D46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二、重点任务部分：深化高职学院协同参与机制</w:t>
            </w:r>
          </w:p>
          <w:p w14:paraId="6E5FF3B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lang w:eastAsia="zh-CN"/>
              </w:rPr>
              <w:t>（</w:t>
            </w:r>
            <w:r>
              <w:rPr>
                <w:rFonts w:hint="eastAsia" w:ascii="Times New Roman" w:hAnsi="Times New Roman" w:eastAsia="仿宋_GB2312"/>
                <w:bCs/>
                <w:kern w:val="0"/>
                <w:sz w:val="24"/>
              </w:rPr>
              <w:t>一</w:t>
            </w:r>
            <w:r>
              <w:rPr>
                <w:rFonts w:hint="eastAsia" w:ascii="Times New Roman" w:hAnsi="Times New Roman" w:eastAsia="仿宋_GB2312"/>
                <w:bCs/>
                <w:kern w:val="0"/>
                <w:sz w:val="24"/>
                <w:lang w:eastAsia="zh-CN"/>
              </w:rPr>
              <w:t>）</w:t>
            </w:r>
            <w:r>
              <w:rPr>
                <w:rFonts w:hint="eastAsia" w:ascii="Times New Roman" w:hAnsi="Times New Roman" w:eastAsia="仿宋_GB2312"/>
                <w:bCs/>
                <w:kern w:val="0"/>
                <w:sz w:val="24"/>
              </w:rPr>
              <w:t>高能级科创园区建设：增设高职协同载体</w:t>
            </w:r>
          </w:p>
          <w:p w14:paraId="7B6C4C3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在“增强园区创新发展动能”中，强化高职孵化服务功能：</w:t>
            </w:r>
          </w:p>
          <w:p w14:paraId="6E80DC5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修改：“构建‘创业苗圃一孵化器一加速器一产业化基地’孵化全链条，吸纳高职学院技术技能大师工作室、实训中心纳入孵化体系，对高职学院牵头或参与的孵化器，按融资额3%给予每年每家最高60万元科技经费补助”。</w:t>
            </w:r>
          </w:p>
          <w:p w14:paraId="766730B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补充：“支持园区企业与高职学院共建‘厂中校’‘校中厂’,对认定为自治区级产教融合实训基地的，给予最高100万元项目支持”。</w:t>
            </w:r>
          </w:p>
          <w:p w14:paraId="21DD549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lang w:eastAsia="zh-CN"/>
              </w:rPr>
              <w:t>（</w:t>
            </w:r>
            <w:r>
              <w:rPr>
                <w:rFonts w:hint="eastAsia" w:ascii="Times New Roman" w:hAnsi="Times New Roman" w:eastAsia="仿宋_GB2312"/>
                <w:bCs/>
                <w:kern w:val="0"/>
                <w:sz w:val="24"/>
              </w:rPr>
              <w:t>二</w:t>
            </w:r>
            <w:r>
              <w:rPr>
                <w:rFonts w:hint="eastAsia" w:ascii="Times New Roman" w:hAnsi="Times New Roman" w:eastAsia="仿宋_GB2312"/>
                <w:bCs/>
                <w:kern w:val="0"/>
                <w:sz w:val="24"/>
                <w:lang w:eastAsia="zh-CN"/>
              </w:rPr>
              <w:t>）</w:t>
            </w:r>
            <w:r>
              <w:rPr>
                <w:rFonts w:hint="eastAsia" w:ascii="Times New Roman" w:hAnsi="Times New Roman" w:eastAsia="仿宋_GB2312"/>
                <w:bCs/>
                <w:kern w:val="0"/>
                <w:sz w:val="24"/>
              </w:rPr>
              <w:t>科技成果转化集聚：强化高职技术服务能力在“聚焦优质科技成果集聚转化”中，拓展高职参与路径：</w:t>
            </w:r>
          </w:p>
          <w:p w14:paraId="6C5D7F6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补充：“将高职学院纳入桂林市高校院所科技成果转化联盟，支持高职学院与企业联合开展技术攻关、工艺改良等应用类成果转化，对高职学院牵头完成的年度技术合同成交额超1000万元的，给予最高50万元后补助”。</w:t>
            </w:r>
          </w:p>
          <w:p w14:paraId="1A69B31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优化：“推动高校(含高职)选派驻企科技副总、技术顾问、科研助理等，其中高职学院派驻的技术技能型人才占比不低于40%”。</w:t>
            </w:r>
          </w:p>
          <w:p w14:paraId="4C93B2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lang w:eastAsia="zh-CN"/>
              </w:rPr>
              <w:t>（</w:t>
            </w:r>
            <w:r>
              <w:rPr>
                <w:rFonts w:hint="eastAsia" w:ascii="Times New Roman" w:hAnsi="Times New Roman" w:eastAsia="仿宋_GB2312"/>
                <w:bCs/>
                <w:kern w:val="0"/>
                <w:sz w:val="24"/>
              </w:rPr>
              <w:t>五</w:t>
            </w:r>
            <w:r>
              <w:rPr>
                <w:rFonts w:hint="eastAsia" w:ascii="Times New Roman" w:hAnsi="Times New Roman" w:eastAsia="仿宋_GB2312"/>
                <w:bCs/>
                <w:kern w:val="0"/>
                <w:sz w:val="24"/>
                <w:lang w:eastAsia="zh-CN"/>
              </w:rPr>
              <w:t>）</w:t>
            </w:r>
            <w:r>
              <w:rPr>
                <w:rFonts w:hint="eastAsia" w:ascii="Times New Roman" w:hAnsi="Times New Roman" w:eastAsia="仿宋_GB2312"/>
                <w:bCs/>
                <w:kern w:val="0"/>
                <w:sz w:val="24"/>
              </w:rPr>
              <w:t>科技体制机制改革：优化高职创新环境</w:t>
            </w:r>
          </w:p>
          <w:p w14:paraId="670A7C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在“推进教育科技人才一体化改革”中，强化高职人才建设：</w:t>
            </w:r>
          </w:p>
          <w:p w14:paraId="402D13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补充：“建立‘双师型’教师校企互聘机制，企业技术骨干到高职学院任教可按规定认定教师资格，高职学院教师到企业挂职锻炼期间享受全额薪酬待遇，其技术服务业绩纳入职称评审”。</w:t>
            </w:r>
          </w:p>
          <w:p w14:paraId="6D85B8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优化：“‘校企联聘’高层次人才中，技能型高层次人才占比不低于30%,重点引进行业技术能手、技能大师”。</w:t>
            </w:r>
          </w:p>
        </w:tc>
        <w:tc>
          <w:tcPr>
            <w:tcW w:w="1052" w:type="pct"/>
            <w:tcBorders>
              <w:top w:val="single" w:color="000000" w:sz="4" w:space="0"/>
              <w:left w:val="single" w:color="auto" w:sz="4" w:space="0"/>
              <w:bottom w:val="single" w:color="000000" w:sz="4" w:space="0"/>
              <w:right w:val="single" w:color="000000" w:sz="4" w:space="0"/>
            </w:tcBorders>
            <w:noWrap/>
            <w:vAlign w:val="center"/>
          </w:tcPr>
          <w:p w14:paraId="71B58DF2">
            <w:pPr>
              <w:pStyle w:val="13"/>
              <w:keepNext w:val="0"/>
              <w:keepLines w:val="0"/>
              <w:pageBreakBefore w:val="0"/>
              <w:widowControl w:val="0"/>
              <w:kinsoku/>
              <w:wordWrap/>
              <w:overflowPunct/>
              <w:topLinePunct w:val="0"/>
              <w:autoSpaceDE/>
              <w:autoSpaceDN/>
              <w:bidi w:val="0"/>
              <w:adjustRightInd/>
              <w:spacing w:line="360" w:lineRule="exact"/>
              <w:rPr>
                <w:rFonts w:hint="eastAsia" w:ascii="Times New Roman" w:hAnsi="Times New Roman" w:eastAsia="仿宋_GB2312"/>
                <w:kern w:val="0"/>
                <w:sz w:val="24"/>
                <w:lang w:eastAsia="zh-CN"/>
              </w:rPr>
            </w:pPr>
            <w:r>
              <w:rPr>
                <w:rFonts w:hint="eastAsia" w:ascii="Times New Roman" w:hAnsi="Times New Roman" w:eastAsia="仿宋_GB2312"/>
                <w:kern w:val="0"/>
                <w:sz w:val="24"/>
                <w:lang w:eastAsia="zh-CN"/>
              </w:rPr>
              <w:t>不采纳一。理由：该指标非科技创新工作核心指标。</w:t>
            </w:r>
          </w:p>
          <w:p w14:paraId="6FEC0FC7">
            <w:pPr>
              <w:pStyle w:val="13"/>
              <w:keepNext w:val="0"/>
              <w:keepLines w:val="0"/>
              <w:pageBreakBefore w:val="0"/>
              <w:widowControl w:val="0"/>
              <w:kinsoku/>
              <w:wordWrap/>
              <w:overflowPunct/>
              <w:topLinePunct w:val="0"/>
              <w:autoSpaceDE/>
              <w:autoSpaceDN/>
              <w:bidi w:val="0"/>
              <w:adjustRightInd/>
              <w:spacing w:line="360" w:lineRule="exact"/>
              <w:rPr>
                <w:rFonts w:hint="eastAsia" w:ascii="Times New Roman" w:hAnsi="Times New Roman" w:eastAsia="仿宋_GB2312"/>
                <w:kern w:val="0"/>
                <w:sz w:val="24"/>
                <w:lang w:eastAsia="zh-CN"/>
              </w:rPr>
            </w:pPr>
            <w:r>
              <w:rPr>
                <w:rFonts w:hint="eastAsia" w:ascii="Times New Roman" w:hAnsi="Times New Roman" w:eastAsia="仿宋_GB2312"/>
                <w:kern w:val="0"/>
                <w:sz w:val="24"/>
                <w:lang w:eastAsia="zh-CN"/>
              </w:rPr>
              <w:t>不采纳二、（一）。理由：不符合市场公平竞争原则。</w:t>
            </w:r>
          </w:p>
          <w:p w14:paraId="74E99309">
            <w:pPr>
              <w:pStyle w:val="13"/>
              <w:keepNext w:val="0"/>
              <w:keepLines w:val="0"/>
              <w:pageBreakBefore w:val="0"/>
              <w:widowControl w:val="0"/>
              <w:kinsoku/>
              <w:wordWrap/>
              <w:overflowPunct/>
              <w:topLinePunct w:val="0"/>
              <w:autoSpaceDE/>
              <w:autoSpaceDN/>
              <w:bidi w:val="0"/>
              <w:adjustRightInd/>
              <w:spacing w:line="360" w:lineRule="exact"/>
              <w:rPr>
                <w:rFonts w:hint="eastAsia" w:ascii="Times New Roman" w:hAnsi="Times New Roman" w:eastAsia="仿宋_GB2312"/>
                <w:kern w:val="0"/>
                <w:sz w:val="24"/>
                <w:lang w:eastAsia="zh-CN"/>
              </w:rPr>
            </w:pPr>
            <w:r>
              <w:rPr>
                <w:rFonts w:hint="eastAsia" w:ascii="Times New Roman" w:hAnsi="Times New Roman" w:eastAsia="仿宋_GB2312"/>
                <w:kern w:val="0"/>
                <w:sz w:val="24"/>
                <w:lang w:eastAsia="zh-CN"/>
              </w:rPr>
              <w:t>综合采纳二、（二）。理由：成果转化联盟可根据实际情况吸收高职院校作为成员单位，高职已包含在普通高等院校范围内，无需在方案中特别体现。</w:t>
            </w:r>
          </w:p>
          <w:p w14:paraId="1F957BF2">
            <w:pPr>
              <w:pStyle w:val="13"/>
              <w:keepNext w:val="0"/>
              <w:keepLines w:val="0"/>
              <w:pageBreakBefore w:val="0"/>
              <w:widowControl w:val="0"/>
              <w:kinsoku/>
              <w:wordWrap/>
              <w:overflowPunct/>
              <w:topLinePunct w:val="0"/>
              <w:autoSpaceDE/>
              <w:autoSpaceDN/>
              <w:bidi w:val="0"/>
              <w:adjustRightInd/>
              <w:spacing w:line="360" w:lineRule="exact"/>
              <w:rPr>
                <w:rFonts w:hint="eastAsia" w:ascii="Times New Roman" w:hAnsi="Times New Roman" w:eastAsia="仿宋_GB2312"/>
                <w:kern w:val="0"/>
                <w:sz w:val="24"/>
                <w:lang w:eastAsia="zh-CN"/>
              </w:rPr>
            </w:pPr>
            <w:r>
              <w:rPr>
                <w:rFonts w:hint="eastAsia" w:ascii="Times New Roman" w:hAnsi="Times New Roman" w:eastAsia="仿宋_GB2312"/>
                <w:kern w:val="0"/>
                <w:sz w:val="24"/>
                <w:lang w:eastAsia="zh-CN"/>
              </w:rPr>
              <w:t>综合采纳二、（五）。理由：教师资格认定应符合国家规定，方案中不宜提出。其他建议与方案中现有的“校企联聘”表述重复，无需在方案中特别体现。</w:t>
            </w:r>
          </w:p>
        </w:tc>
      </w:tr>
      <w:tr w14:paraId="1F6E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0" w:type="pct"/>
            <w:tcBorders>
              <w:top w:val="single" w:color="000000" w:sz="4" w:space="0"/>
              <w:left w:val="single" w:color="000000" w:sz="4" w:space="0"/>
              <w:bottom w:val="single" w:color="000000" w:sz="4" w:space="0"/>
              <w:right w:val="single" w:color="auto" w:sz="4" w:space="0"/>
            </w:tcBorders>
            <w:noWrap/>
            <w:vAlign w:val="center"/>
          </w:tcPr>
          <w:p w14:paraId="13404F1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kern w:val="0"/>
                <w:sz w:val="24"/>
                <w:lang w:val="en-US" w:eastAsia="zh-CN"/>
              </w:rPr>
            </w:pPr>
            <w:r>
              <w:rPr>
                <w:rFonts w:hint="eastAsia" w:ascii="Times New Roman" w:hAnsi="Times New Roman" w:eastAsia="仿宋_GB2312"/>
                <w:kern w:val="0"/>
                <w:sz w:val="24"/>
                <w:lang w:val="en-US" w:eastAsia="zh-CN"/>
              </w:rPr>
              <w:t>2</w:t>
            </w:r>
          </w:p>
        </w:tc>
        <w:tc>
          <w:tcPr>
            <w:tcW w:w="3666" w:type="pct"/>
            <w:tcBorders>
              <w:top w:val="single" w:color="000000" w:sz="4" w:space="0"/>
              <w:left w:val="single" w:color="auto" w:sz="4" w:space="0"/>
              <w:bottom w:val="single" w:color="000000" w:sz="4" w:space="0"/>
              <w:right w:val="single" w:color="000000" w:sz="4" w:space="0"/>
            </w:tcBorders>
            <w:noWrap/>
            <w:vAlign w:val="center"/>
          </w:tcPr>
          <w:p w14:paraId="62C4C0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近年来，我国政府加大对特色民族医药发展的支持力度，出台了对制剂的研发、生产、备案、流通和使用等方面的相关政策，并鼓励将临床上有显著疗效的民族医药经验方开发为医疗机构民族药制剂。多种中药民族药制剂被广泛应用于临床，如金柴消癖口服液、冲和软膏等。另一方面，中药民族药制剂的研发技术不断创新和突破，如指纹图谱技术、膜分离技术等高新技术提高了民族药制剂的研发效率和质量标准。“一带一路”联合实验室的建立加强了我国中药民族药制剂与其他大国的交流与合作。随着全球医疗需求的多样化，中药民族药制剂作为补充性医疗方案，逐渐受到国际社会的认可和支持，多项合作研究成果在国际权威学术期刊上发表，推动了中药民族药在国际科研领域的地位提升。</w:t>
            </w:r>
          </w:p>
          <w:p w14:paraId="01F282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广西地处岭南亚热带地区，药用植物资源尤为丰富，壮瑶医药使用文化历史悠久。据调查，境内中草药品种达4623种，其中壮医常用药达709种，如“五虎”、“九牛”、“十八钻”、“七十二风”，在壮瑶医中有着重要的地位。医疗机构的特色壮瑶医药制剂对地方病、常见病、流行病具有显著的临床疗效，在保障人民健康和促进社会健康发展等方面发挥着重要作用。</w:t>
            </w:r>
          </w:p>
          <w:p w14:paraId="365B768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建立广西民族药制剂研发转化机构的必要性</w:t>
            </w:r>
          </w:p>
          <w:p w14:paraId="554E73C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民族药作为我国中医药的一大瑰宝，推动其高质量快速发展受到国家高度重视。然而与藏药、蒙药等民族药相比，壮瑶药的知名度和认可度相对较低，广西作为我国少数民族聚集区和中医药民族药资源富集地，拥有壮、瑶、苗等民族传统医药的深厚积淀，其特色诊疗技术和经典验方亟待系统挖掘与现代转化。目前，中药壮瑶药制剂研发领域仍存在瓶颈：一，药物成分复杂、质量标准化不足、生产工艺相对落后，药效物质基础不明晰，制约了中药制剂二次开发；二，壮瑶药的医药科研机构较少，科研力量相对薄弱，有效成分、药理作用等方面研究不够深入；三，中药新药的研发周期久，投入高，难度大，流程复杂等原因更加限制了其发展。</w:t>
            </w:r>
          </w:p>
          <w:p w14:paraId="390A470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院内中药制剂是从临床中来、到临床中去的“活资产”。这类基于临床实践研发的固定处方制剂，既凝聚着中医药临床智慧，又因疗效经长期验证、口碑稳定，成为医生信赖、患者认可的“临床利器”，是中药现代化医学理论研究、中药民族药制剂创新研发的重要资料库。为了推动广西壮瑶药中药制剂的发展，亟待加强科研投入、完善质量控制体系、加强市场推广和传承保护等方面的工作。在此背景下，建立中药民族药制剂研发、评价、转化平台，聚焦制剂创新、质量提升与药效解析三大方向，发展壮瑶药民族药制剂的创新研究是实现中药民族药产业高质量发展的关键环节，是推动中医药传承创新、服务健康中国战略的迫切需求，更是落实《广西中医药壮瑶医药发展“十四五”规划》、打造区域性中医药产业高地的关键举措。</w:t>
            </w:r>
          </w:p>
          <w:p w14:paraId="73F4ED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建立广西民族药制剂研发转化平台的路径及发展目标</w:t>
            </w:r>
          </w:p>
          <w:p w14:paraId="485FF45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建立广西中药民族药制剂研发与评价重点实验室，构建“立足广西、辐射西南、面向东盟”的省部级民族药创新研发平台，以“处方挖掘-基础研究-技术开发-成果转化-产业化-市场开拓”为核心路径，充分汲取以“壮、瑶”为核心的民族医药精华，开展中药壮瑶医药制剂的新技术、新工艺、新剂型研究，开发和丰富中药壮瑶医药制剂产品类型，完善和提升中药壮瑶医药制剂的质量标准体系，为开发安全高效、质量可控的现代中药民族药制剂提供参考。</w:t>
            </w:r>
          </w:p>
          <w:p w14:paraId="0D5AE50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研究内容：依托广西中药民族药制剂研发与评价重点实验室、科创中心、国家重点临床优势专科等平台组建由民族医药传承人、现代药学专家和临床医生共同参与的创新团队，通过重点实验室与珠三角、粤港澳大湾区中医药合作交流，完成首批具有明确临床价值的广西特色民族药经典验方、名方的制剂化转型与道地药材质量标准提升研究。重点突破“桂制剂”及特色民族药复杂物质基础解析、功效机理现代阐释、循证临床评价方法等关键技术瓶颈，建成从药材基原鉴定、中间体标准化生产到成药质量控制及评价的全链条技术体系，推动建设共享中试基地和中药制剂研究示范基地，形成“经典名方验方-中药制剂-健康产品”的成果转化管道，实现一批疗效确切的民族药制剂获得注册备案批件并进入市场。通过中国—东盟传统医药交流合作中心等平台，推动民族药制剂的技术标准输出和国际注册突破，将平台建设成为引领民族药现代化、驱动区域生物医药产业升级的战略科技力量。</w:t>
            </w:r>
          </w:p>
          <w:p w14:paraId="7A20A0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考核指标：完成1-2个协定方转中药制剂的开发研究，获得相关批文，并在医院进行成果转化；完成1-2个现有特色品种的二次开发及临床研究。</w:t>
            </w:r>
          </w:p>
          <w:p w14:paraId="2102D62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_GB2312"/>
                <w:bCs/>
                <w:kern w:val="0"/>
                <w:sz w:val="24"/>
              </w:rPr>
            </w:pPr>
            <w:r>
              <w:rPr>
                <w:rFonts w:hint="eastAsia" w:ascii="Times New Roman" w:hAnsi="Times New Roman" w:eastAsia="仿宋_GB2312"/>
                <w:bCs/>
                <w:kern w:val="0"/>
                <w:sz w:val="24"/>
              </w:rPr>
              <w:t>研究基础：桂林市中医医院“中药民族药制剂开发与临床研究科技创新中心”（简称科创中心）被认定为桂林市第一批科创中心，制剂室经批准配制54个品种，获批16个剂型，在中药制剂生产及研发等方面具有多年经验。医院获批中国-德国乳腺癌中医药防治一体化研究平台和研究合作实验室，广西血瘀证诊治重点实验室，承担国家级、省级、市级中药制剂相关课题10余项，包括制剂质量标准提升、协定方转院内制剂工艺研发等项目。</w:t>
            </w:r>
          </w:p>
        </w:tc>
        <w:tc>
          <w:tcPr>
            <w:tcW w:w="1052" w:type="pct"/>
            <w:tcBorders>
              <w:top w:val="single" w:color="000000" w:sz="4" w:space="0"/>
              <w:left w:val="single" w:color="auto" w:sz="4" w:space="0"/>
              <w:bottom w:val="single" w:color="000000" w:sz="4" w:space="0"/>
              <w:right w:val="single" w:color="000000" w:sz="4" w:space="0"/>
            </w:tcBorders>
            <w:noWrap/>
            <w:vAlign w:val="center"/>
          </w:tcPr>
          <w:p w14:paraId="20283358">
            <w:pPr>
              <w:pStyle w:val="13"/>
              <w:keepNext w:val="0"/>
              <w:keepLines w:val="0"/>
              <w:pageBreakBefore w:val="0"/>
              <w:widowControl w:val="0"/>
              <w:kinsoku/>
              <w:wordWrap/>
              <w:overflowPunct/>
              <w:topLinePunct w:val="0"/>
              <w:autoSpaceDE/>
              <w:autoSpaceDN/>
              <w:bidi w:val="0"/>
              <w:adjustRightInd/>
              <w:spacing w:line="360" w:lineRule="exact"/>
              <w:rPr>
                <w:rFonts w:hint="eastAsia" w:ascii="Times New Roman" w:hAnsi="Times New Roman" w:eastAsia="仿宋_GB2312"/>
                <w:kern w:val="0"/>
                <w:sz w:val="24"/>
                <w:lang w:eastAsia="zh-CN"/>
              </w:rPr>
            </w:pPr>
            <w:r>
              <w:rPr>
                <w:rFonts w:hint="eastAsia" w:ascii="Times New Roman" w:hAnsi="Times New Roman" w:eastAsia="仿宋_GB2312"/>
                <w:kern w:val="0"/>
                <w:sz w:val="24"/>
                <w:lang w:eastAsia="zh-CN"/>
              </w:rPr>
              <w:t>不采纳。理由：不属于文件意见内容，建议走项目申报指南。</w:t>
            </w:r>
          </w:p>
        </w:tc>
      </w:tr>
    </w:tbl>
    <w:p w14:paraId="48FF733C">
      <w:pPr>
        <w:spacing w:line="560" w:lineRule="exact"/>
        <w:ind w:firstLine="640" w:firstLineChars="200"/>
        <w:rPr>
          <w:rFonts w:hint="eastAsia" w:ascii="仿宋_GB2312" w:eastAsia="仿宋_GB2312" w:cs="仿宋_GB2312"/>
          <w:sz w:val="32"/>
          <w:szCs w:val="32"/>
        </w:rPr>
      </w:pPr>
    </w:p>
    <w:p w14:paraId="70A1D54C">
      <w:pPr>
        <w:pStyle w:val="10"/>
        <w:keepNext w:val="0"/>
        <w:keepLines w:val="0"/>
        <w:pageBreakBefore w:val="0"/>
        <w:widowControl w:val="0"/>
        <w:kinsoku/>
        <w:wordWrap/>
        <w:overflowPunct/>
        <w:topLinePunct w:val="0"/>
        <w:autoSpaceDE/>
        <w:autoSpaceDN/>
        <w:bidi w:val="0"/>
        <w:snapToGrid/>
        <w:spacing w:after="0" w:line="560" w:lineRule="exact"/>
        <w:rPr>
          <w:rFonts w:ascii="Times New Roman" w:hAnsi="Times New Roman" w:eastAsia="仿宋_GB2312" w:cs="Times New Roman"/>
          <w:color w:val="auto"/>
          <w:kern w:val="0"/>
          <w:sz w:val="32"/>
          <w:szCs w:val="32"/>
          <w:lang w:val="en-US" w:eastAsia="zh-CN"/>
        </w:rPr>
        <w:sectPr>
          <w:headerReference r:id="rId6" w:type="first"/>
          <w:footerReference r:id="rId8" w:type="first"/>
          <w:headerReference r:id="rId5" w:type="default"/>
          <w:footerReference r:id="rId7" w:type="default"/>
          <w:pgSz w:w="16838" w:h="11906" w:orient="landscape"/>
          <w:pgMar w:top="2098" w:right="1531" w:bottom="1701" w:left="1531" w:header="851" w:footer="1417" w:gutter="0"/>
          <w:paperSrc/>
          <w:cols w:space="720" w:num="1"/>
          <w:rtlGutter w:val="1"/>
          <w:docGrid w:type="lines" w:linePitch="315" w:charSpace="0"/>
        </w:sectPr>
      </w:pPr>
    </w:p>
    <w:p w14:paraId="605E9B80">
      <w:pPr>
        <w:pStyle w:val="16"/>
        <w:keepNext w:val="0"/>
        <w:keepLines w:val="0"/>
        <w:pageBreakBefore w:val="0"/>
        <w:widowControl w:val="0"/>
        <w:kinsoku/>
        <w:wordWrap/>
        <w:overflowPunct/>
        <w:topLinePunct w:val="0"/>
        <w:autoSpaceDE/>
        <w:autoSpaceDN/>
        <w:bidi w:val="0"/>
        <w:adjustRightInd/>
        <w:snapToGrid/>
        <w:spacing w:after="0" w:line="100" w:lineRule="exact"/>
        <w:ind w:firstLine="0" w:firstLineChars="0"/>
        <w:jc w:val="both"/>
        <w:textAlignment w:val="auto"/>
        <w:rPr>
          <w:rFonts w:hint="default"/>
          <w:lang w:val="en-US" w:eastAsia="zh-CN"/>
        </w:rPr>
      </w:pPr>
    </w:p>
    <w:sectPr>
      <w:pgSz w:w="16838" w:h="11906" w:orient="landscape"/>
      <w:pgMar w:top="1531" w:right="2098" w:bottom="1531" w:left="1417" w:header="851" w:footer="1417" w:gutter="0"/>
      <w:paperSrc/>
      <w:pgNumType w:fmt="decimal"/>
      <w:cols w:space="720" w:num="1"/>
      <w:titlePg/>
      <w:rtlGutter w:val="0"/>
      <w:docGrid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42C1">
    <w:pPr>
      <w:pStyle w:val="13"/>
      <w:spacing w:line="360" w:lineRule="exact"/>
      <w:jc w:val="both"/>
      <w:rPr>
        <w:rFonts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1" name="Text Box 5"/>
              <wp:cNvGraphicFramePr/>
              <a:graphic xmlns:a="http://schemas.openxmlformats.org/drawingml/2006/main">
                <a:graphicData uri="http://schemas.microsoft.com/office/word/2010/wordprocessingShape">
                  <wps:wsp>
                    <wps:cNvSpPr/>
                    <wps:spPr>
                      <a:xfrm>
                        <a:off x="0" y="0"/>
                        <a:ext cx="711199" cy="230251"/>
                      </a:xfrm>
                      <a:prstGeom prst="rect">
                        <a:avLst/>
                      </a:prstGeom>
                      <a:noFill/>
                      <a:ln w="9525" cap="flat" cmpd="sng">
                        <a:noFill/>
                        <a:prstDash val="solid"/>
                        <a:round/>
                      </a:ln>
                      <a:effectLst/>
                    </wps:spPr>
                    <wps:txbx>
                      <w:txbxContent>
                        <w:p w14:paraId="6AEFDD0B">
                          <w:pPr>
                            <w:pStyle w:val="13"/>
                            <w:rPr>
                              <w:rFonts w:hint="eastAsia" w:ascii="宋体" w:cs="宋体"/>
                              <w:sz w:val="28"/>
                              <w:szCs w:val="28"/>
                            </w:rPr>
                          </w:pPr>
                          <w:r>
                            <w:rPr>
                              <w:rFonts w:hint="eastAsia" w:asci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hint="eastAsia" w:ascii="宋体" w:cs="宋体"/>
                              <w:sz w:val="28"/>
                              <w:szCs w:val="28"/>
                            </w:rPr>
                            <w:t xml:space="preserve"> —</w:t>
                          </w:r>
                        </w:p>
                      </w:txbxContent>
                    </wps:txbx>
                    <wps:bodyPr vert="horz" wrap="none" lIns="0" tIns="0" rIns="0" bIns="0" anchor="t" anchorCtr="0" upright="0">
                      <a:spAutoFit/>
                    </wps:bodyPr>
                  </wps:wsp>
                </a:graphicData>
              </a:graphic>
            </wp:anchor>
          </w:drawing>
        </mc:Choice>
        <mc:Fallback>
          <w:pict>
            <v:rect id="Text Box 5" o:spid="_x0000_s1026" o:spt="1" style="position:absolute;left:0pt;margin-top:0pt;height:18.15pt;width:56pt;mso-position-horizontal:outside;mso-position-horizontal-relative:margin;mso-wrap-style:none;z-index:251659264;mso-width-relative:page;mso-height-relative:page;" filled="f" stroked="f" coordsize="21600,21600" o:gfxdata="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JJktEAAAAEAQAADwAAAAAAAAABACAAAAAiAAAAZHJzL2Rvd25yZXYueG1sUEsBAhQA&#10;FAAAAAgAh07iQLKYQmD5AQAAAQQAAA4AAAAAAAAAAQAgAAAAIAEAAGRycy9lMm9Eb2MueG1sUEsF&#10;BgAAAAAGAAYAWQEAAIsFAAAAAA==&#10;">
              <v:fill on="f" focussize="0,0"/>
              <v:stroke on="f" joinstyle="round"/>
              <v:imagedata o:title=""/>
              <o:lock v:ext="edit" aspectratio="f"/>
              <v:textbox inset="0mm,0mm,0mm,0mm" style="mso-fit-shape-to-text:t;">
                <w:txbxContent>
                  <w:p w14:paraId="6AEFDD0B">
                    <w:pPr>
                      <w:pStyle w:val="13"/>
                      <w:rPr>
                        <w:rFonts w:hint="eastAsia" w:ascii="宋体" w:cs="宋体"/>
                        <w:sz w:val="28"/>
                        <w:szCs w:val="28"/>
                      </w:rPr>
                    </w:pPr>
                    <w:r>
                      <w:rPr>
                        <w:rFonts w:hint="eastAsia" w:asci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18</w:t>
                    </w:r>
                    <w:r>
                      <w:rPr>
                        <w:rFonts w:ascii="Times New Roman" w:hAnsi="Times New Roman" w:cs="Times New Roman"/>
                        <w:sz w:val="28"/>
                        <w:szCs w:val="28"/>
                      </w:rPr>
                      <w:fldChar w:fldCharType="end"/>
                    </w:r>
                    <w:r>
                      <w:rPr>
                        <w:rFonts w:hint="eastAsia" w:asci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8309">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DD7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4D51">
    <w:pPr>
      <w:pStyle w:val="14"/>
      <w:pBdr>
        <w:top w:val="none" w:color="auto" w:sz="0" w:space="0"/>
        <w:left w:val="none" w:color="auto" w:sz="0" w:space="0"/>
        <w:bottom w:val="none" w:color="auto" w:sz="0" w:space="0"/>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I1ODk2NGEzN2MzMDBhODBhZmQ1MThjMGM3MGYifQ=="/>
  </w:docVars>
  <w:rsids>
    <w:rsidRoot w:val="00000000"/>
    <w:rsid w:val="15DE0AE1"/>
    <w:rsid w:val="189F20A2"/>
    <w:rsid w:val="1FEEC893"/>
    <w:rsid w:val="1FFFD1C3"/>
    <w:rsid w:val="2FADB825"/>
    <w:rsid w:val="35B58BEC"/>
    <w:rsid w:val="3956273D"/>
    <w:rsid w:val="3E7BDE10"/>
    <w:rsid w:val="497340C4"/>
    <w:rsid w:val="57D94D99"/>
    <w:rsid w:val="57F8B722"/>
    <w:rsid w:val="5E3BDCAB"/>
    <w:rsid w:val="5EEFC76F"/>
    <w:rsid w:val="5F7D64B9"/>
    <w:rsid w:val="63F7410E"/>
    <w:rsid w:val="674A6EFE"/>
    <w:rsid w:val="67B7E4AF"/>
    <w:rsid w:val="67DE53E9"/>
    <w:rsid w:val="67F6D4E4"/>
    <w:rsid w:val="6AFAD379"/>
    <w:rsid w:val="6C051776"/>
    <w:rsid w:val="6DEBF327"/>
    <w:rsid w:val="6F37C17C"/>
    <w:rsid w:val="6F6F6AD8"/>
    <w:rsid w:val="713B4B3E"/>
    <w:rsid w:val="725E6AB2"/>
    <w:rsid w:val="73FB0B44"/>
    <w:rsid w:val="74F95E53"/>
    <w:rsid w:val="75A218CF"/>
    <w:rsid w:val="76FDC26A"/>
    <w:rsid w:val="79FF939A"/>
    <w:rsid w:val="7AAB1025"/>
    <w:rsid w:val="7AFE9A22"/>
    <w:rsid w:val="7B5FE698"/>
    <w:rsid w:val="7E7FB200"/>
    <w:rsid w:val="7F5FFC7E"/>
    <w:rsid w:val="7F965F4D"/>
    <w:rsid w:val="7FBF8514"/>
    <w:rsid w:val="7FCDBA48"/>
    <w:rsid w:val="7FFD106A"/>
    <w:rsid w:val="B3FE4A4F"/>
    <w:rsid w:val="BA7D4770"/>
    <w:rsid w:val="BFE765B1"/>
    <w:rsid w:val="BFFBD780"/>
    <w:rsid w:val="CBF26FD7"/>
    <w:rsid w:val="CFDAC8C0"/>
    <w:rsid w:val="D47518D4"/>
    <w:rsid w:val="DAEFD5FF"/>
    <w:rsid w:val="DEFE19E8"/>
    <w:rsid w:val="E6DE106B"/>
    <w:rsid w:val="E77F8D7D"/>
    <w:rsid w:val="E97FAF15"/>
    <w:rsid w:val="EFA7193C"/>
    <w:rsid w:val="EFBFC5A0"/>
    <w:rsid w:val="EFF703D2"/>
    <w:rsid w:val="EFFB8D90"/>
    <w:rsid w:val="F7FB3EC1"/>
    <w:rsid w:val="F8F483EE"/>
    <w:rsid w:val="FBBC9661"/>
    <w:rsid w:val="FC657A19"/>
    <w:rsid w:val="FFA7C51C"/>
    <w:rsid w:val="FFFF6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Arial"/>
      <w:snapToGrid/>
      <w:color w:val="auto"/>
      <w:spacing w:val="0"/>
      <w:w w:val="100"/>
      <w:kern w:val="2"/>
      <w:position w:val="0"/>
      <w:sz w:val="21"/>
      <w:szCs w:val="21"/>
      <w:u w:val="none" w:color="auto"/>
      <w:shd w:val="clear" w:color="auto" w:fill="auto"/>
      <w:vertAlign w:val="baseline"/>
      <w:lang w:val="en-US" w:eastAsia="zh-CN" w:bidi="ar-SA"/>
    </w:rPr>
  </w:style>
  <w:style w:type="paragraph" w:styleId="5">
    <w:name w:val="heading 1"/>
    <w:basedOn w:val="1"/>
    <w:next w:val="1"/>
    <w:qFormat/>
    <w:uiPriority w:val="0"/>
    <w:pPr>
      <w:keepNext/>
      <w:keepLines/>
      <w:widowControl w:val="0"/>
      <w:spacing w:line="576" w:lineRule="auto"/>
      <w:ind w:firstLine="200" w:firstLineChars="200"/>
      <w:outlineLvl w:val="0"/>
    </w:pPr>
    <w:rPr>
      <w:rFonts w:ascii="黑体" w:eastAsia="黑体" w:cs="黑体"/>
      <w:bCs/>
      <w:kern w:val="44"/>
      <w:sz w:val="32"/>
      <w:szCs w:val="32"/>
    </w:rPr>
  </w:style>
  <w:style w:type="paragraph" w:styleId="6">
    <w:name w:val="heading 2"/>
    <w:basedOn w:val="1"/>
    <w:next w:val="1"/>
    <w:qFormat/>
    <w:uiPriority w:val="0"/>
    <w:pPr>
      <w:keepNext/>
      <w:keepLines/>
      <w:widowControl w:val="0"/>
      <w:spacing w:line="413" w:lineRule="auto"/>
      <w:ind w:firstLine="200" w:firstLineChars="200"/>
      <w:outlineLvl w:val="1"/>
    </w:pPr>
    <w:rPr>
      <w:rFonts w:ascii="楷体_GB2312" w:eastAsia="楷体_GB2312" w:cs="楷体_GB2312"/>
      <w:b/>
      <w:sz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19">
    <w:name w:val="Default Paragraph Font"/>
    <w:qFormat/>
    <w:uiPriority w:val="0"/>
  </w:style>
  <w:style w:type="table" w:default="1" w:styleId="17">
    <w:name w:val="Normal Table"/>
    <w:semiHidden/>
    <w:qFormat/>
    <w:uiPriority w:val="0"/>
    <w:tblPr>
      <w:tblStyle w:val="17"/>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eastAsia="宋体" w:cs="Times New Roman"/>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Normal Indent"/>
    <w:next w:val="1"/>
    <w:qFormat/>
    <w:uiPriority w:val="99"/>
    <w:pPr>
      <w:widowControl w:val="0"/>
      <w:ind w:firstLine="420" w:firstLineChars="200"/>
      <w:jc w:val="both"/>
    </w:pPr>
    <w:rPr>
      <w:rFonts w:ascii="Calibri" w:hAnsi="Calibri" w:eastAsia="宋体" w:cs="Calibri"/>
      <w:kern w:val="2"/>
      <w:sz w:val="21"/>
      <w:szCs w:val="21"/>
      <w:lang w:val="en-US" w:eastAsia="zh-CN" w:bidi="ar-SA"/>
    </w:rPr>
  </w:style>
  <w:style w:type="paragraph" w:styleId="9">
    <w:name w:val="annotation text"/>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Calibri" w:hAnsi="Calibri" w:cs="Arial"/>
      <w:snapToGrid/>
      <w:color w:val="auto"/>
      <w:spacing w:val="0"/>
      <w:w w:val="100"/>
      <w:kern w:val="2"/>
      <w:position w:val="0"/>
      <w:sz w:val="21"/>
      <w:szCs w:val="21"/>
      <w:u w:val="none" w:color="auto"/>
      <w:shd w:val="clear" w:color="auto" w:fill="auto"/>
      <w:vertAlign w:val="baseline"/>
      <w:lang w:val="en-US" w:eastAsia="zh-CN"/>
    </w:rPr>
  </w:style>
  <w:style w:type="paragraph" w:styleId="10">
    <w:name w:val="Body Text"/>
    <w:basedOn w:val="1"/>
    <w:next w:val="11"/>
    <w:qFormat/>
    <w:uiPriority w:val="0"/>
    <w:pPr>
      <w:spacing w:after="120" w:afterAutospacing="0"/>
    </w:pPr>
  </w:style>
  <w:style w:type="paragraph" w:styleId="11">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12">
    <w:name w:val="Date"/>
    <w:basedOn w:val="1"/>
    <w:next w:val="1"/>
    <w:qFormat/>
    <w:uiPriority w:val="0"/>
    <w:pPr>
      <w:ind w:left="2500" w:leftChars="2500"/>
    </w:pPr>
  </w:style>
  <w:style w:type="paragraph" w:styleId="13">
    <w:name w:val="footer"/>
    <w:basedOn w:val="1"/>
    <w:next w:val="8"/>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9"/>
    <w:next w:val="9"/>
    <w:link w:val="20"/>
    <w:qFormat/>
    <w:uiPriority w:val="0"/>
    <w:rPr>
      <w:b/>
    </w:rPr>
  </w:style>
  <w:style w:type="paragraph" w:styleId="16">
    <w:name w:val="Body Text First Indent"/>
    <w:qFormat/>
    <w:uiPriority w:val="0"/>
    <w:pPr>
      <w:widowControl w:val="0"/>
      <w:suppressAutoHyphens w:val="0"/>
      <w:autoSpaceDE/>
      <w:autoSpaceDN/>
      <w:adjustRightInd/>
      <w:spacing w:before="0" w:after="120"/>
      <w:ind w:left="0" w:firstLine="420" w:firstLineChars="100"/>
      <w:jc w:val="both"/>
    </w:pPr>
    <w:rPr>
      <w:rFonts w:ascii="Calibri" w:hAnsi="Calibri" w:eastAsia="宋体" w:cs="Times New Roman"/>
      <w:kern w:val="2"/>
      <w:sz w:val="21"/>
      <w:szCs w:val="24"/>
      <w:lang w:val="en-US" w:eastAsia="zh-CN" w:bidi="ar-SA"/>
    </w:rPr>
  </w:style>
  <w:style w:type="table" w:styleId="18">
    <w:name w:val="Table Grid"/>
    <w:basedOn w:val="17"/>
    <w:qFormat/>
    <w:uiPriority w:val="59"/>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批注主题 Char"/>
    <w:link w:val="15"/>
    <w:qFormat/>
    <w:uiPriority w:val="0"/>
    <w:rPr>
      <w:b/>
    </w:rPr>
  </w:style>
  <w:style w:type="character" w:customStyle="1" w:styleId="21">
    <w:name w:val="font11"/>
    <w:basedOn w:val="19"/>
    <w:qFormat/>
    <w:uiPriority w:val="0"/>
    <w:rPr>
      <w:rFonts w:ascii="仿宋_GB2312" w:eastAsia="仿宋_GB2312" w:cs="仿宋_GB2312"/>
      <w:color w:val="000000"/>
      <w:sz w:val="26"/>
      <w:szCs w:val="26"/>
      <w:u w:val="none"/>
    </w:rPr>
  </w:style>
  <w:style w:type="character" w:customStyle="1" w:styleId="22">
    <w:name w:val="font31"/>
    <w:basedOn w:val="19"/>
    <w:qFormat/>
    <w:uiPriority w:val="0"/>
    <w:rPr>
      <w:rFonts w:ascii="Times New Roman" w:hAnsi="Times New Roman" w:cs="Times New Roman"/>
      <w:color w:val="000000"/>
      <w:sz w:val="26"/>
      <w:szCs w:val="26"/>
      <w:u w:val="none"/>
    </w:rPr>
  </w:style>
  <w:style w:type="character" w:customStyle="1" w:styleId="23">
    <w:name w:val="font01"/>
    <w:basedOn w:val="19"/>
    <w:qFormat/>
    <w:uiPriority w:val="0"/>
    <w:rPr>
      <w:rFonts w:ascii="Calibri" w:hAnsi="Calibri" w:cs="Calibri"/>
      <w:color w:val="000000"/>
      <w:sz w:val="26"/>
      <w:szCs w:val="26"/>
      <w:u w:val="none"/>
    </w:rPr>
  </w:style>
  <w:style w:type="character" w:customStyle="1" w:styleId="24">
    <w:name w:val="font61"/>
    <w:basedOn w:val="19"/>
    <w:qFormat/>
    <w:uiPriority w:val="0"/>
    <w:rPr>
      <w:rFonts w:ascii="Times New Roman" w:hAnsi="Times New Roman" w:cs="Times New Roman"/>
      <w:color w:val="000000"/>
      <w:sz w:val="26"/>
      <w:szCs w:val="26"/>
      <w:u w:val="none"/>
    </w:rPr>
  </w:style>
  <w:style w:type="character" w:customStyle="1" w:styleId="25">
    <w:name w:val="font51"/>
    <w:basedOn w:val="19"/>
    <w:qFormat/>
    <w:uiPriority w:val="0"/>
    <w:rPr>
      <w:rFonts w:ascii="仿宋_GB2312" w:eastAsia="仿宋_GB2312" w:cs="仿宋_GB2312"/>
      <w:color w:val="000000"/>
      <w:sz w:val="26"/>
      <w:szCs w:val="2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3129</Words>
  <Characters>3172</Characters>
  <Lines>840</Lines>
  <Paragraphs>277</Paragraphs>
  <TotalTime>19.3333333333333</TotalTime>
  <ScaleCrop>false</ScaleCrop>
  <LinksUpToDate>false</LinksUpToDate>
  <CharactersWithSpaces>3172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墨迹夏子</cp:lastModifiedBy>
  <cp:lastPrinted>2025-11-25T08:37:12Z</cp:lastPrinted>
  <dcterms:modified xsi:type="dcterms:W3CDTF">2025-12-23T08:56:54Z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67A01619040E4E96A187ECAA5445729D_13</vt:lpwstr>
  </property>
</Properties>
</file>